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拍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卖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规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为了切实遵循“公开、公平、公正、价高者得”的拍卖原则，保障各方当事人的合法权益，保证本次拍卖会顺利进行，依照《中华人民共和国拍卖法》、《中华人民共和国民法典》等相关法律规定，制定本规则。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参加本次竞买活动的，必须在取得竞买资格以后才能入场参加竞买，未取得竞买资格者不能参与竞买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二、标的以现状竞买，在竞买前已进行标的展示。竞买人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（竞租人）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应在竞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前亲自审视竞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品（包括聘请专业人士协助鉴定），并对自己的竞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行为负责。竞买人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（竞租人）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一旦进入竞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席则视为已了解并接受标的的现状（包括瑕疵），拍卖人则在竞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会场不再对标的答疑，竞买成功后承租人不得以任何理由拒付成交价款。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人必须自觉遵守竞租会秩序，不得阻挠主持人依法实施的拍卖行为以及其他竞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人的竞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行为：不得有操纵、垄断、恶意串通等损害其他竞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人及资产出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让</w:t>
      </w:r>
      <w:r>
        <w:rPr>
          <w:rFonts w:hint="eastAsia" w:ascii="仿宋_GB2312" w:hAnsi="仿宋_GB2312" w:eastAsia="仿宋_GB2312" w:cs="仿宋_GB2312"/>
          <w:sz w:val="32"/>
          <w:szCs w:val="32"/>
        </w:rPr>
        <w:t>方合法权益的行为。否则，一经查实，将取消其竞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资格，其竞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人应当依法承担赔偿责任。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人应持号牌应价，未持号牌者其竞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行为无效，应价号牌的持牌人必须是竞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人本人或者其授权代理人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拍卖会由指定拍卖师主持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拍卖师报出拍卖标的物起拍价后，竞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人举牌应价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拍卖师对竞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人的加价应当即告知于众，并报出加价后的最新价格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拍卖师的每次报价都是一次要约，竞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人的每次举牌应价都是一种承诺，并对自己的竞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人一经应价，不得撤回，当其他竞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人有更高的应价时，其应价即丧失约束力。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拍卖师连续三次询问再无人应价时，以击槌予以确认，一经拍定不得反悔，最后一次应价者即为买受人，应当即签定《拍卖成交确认书》，如竞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人最高应价未达到委托人保留价时，该应价不发生法律效力，拍卖师可终止拍卖，作未成交处理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拍卖师击槌后再有竞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</w:rPr>
        <w:t>人报出新的应价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律无效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人举牌应价的加价幅度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拍卖师当场宣布，每次举牌即表示递增一档、也可举牌后口头报价，但报价必须高于递增幅度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60" w:firstLineChars="1400"/>
        <w:textAlignment w:val="auto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四川中普拍卖有限公司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363" w:right="839" w:bottom="36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GRkY2I4NmRlYjU3M2FmNzIzMDBhNzczYmJlNTUifQ=="/>
  </w:docVars>
  <w:rsids>
    <w:rsidRoot w:val="366B5251"/>
    <w:rsid w:val="0D853047"/>
    <w:rsid w:val="191C2B10"/>
    <w:rsid w:val="210162C4"/>
    <w:rsid w:val="249B29C2"/>
    <w:rsid w:val="366B5251"/>
    <w:rsid w:val="55824443"/>
    <w:rsid w:val="579C15FA"/>
    <w:rsid w:val="5EDE4DA2"/>
    <w:rsid w:val="777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800</Characters>
  <Lines>0</Lines>
  <Paragraphs>0</Paragraphs>
  <TotalTime>0</TotalTime>
  <ScaleCrop>false</ScaleCrop>
  <LinksUpToDate>false</LinksUpToDate>
  <CharactersWithSpaces>805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2021-10-14T00:37:00Z</dcterms:created>
  <dc:creator>那些年！</dc:creator>
  <cp:lastModifiedBy>那些年！</cp:lastModifiedBy>
  <dcterms:modified xsi:type="dcterms:W3CDTF">2022-08-02T01:28:08Z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A4FD6D936A5A42A9A3153E68C23C8829</vt:lpwstr>
  </property>
</Properties>
</file>