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竞买人应持号牌应价，未持号牌者其竞买行为无效，应价号牌的持牌人必须是竞买人本人或者其授权代理人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拍卖师报出拍卖标的物起拍价后，竞买人举牌应价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拍卖师对竞买人的加价应当即告知于众，并报出加价后的最新价格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拍卖师的每次报价都是一次要约，竞买人的每次举牌应价都是一种承诺，并对自己的竞买行为负责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竞买人一经应价，不得撤回，当其他竞买人有更高的应价时，其应价即丧失约束力。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买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拍卖师击槌后再有竞买人报出新的应价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竞买成功的竞买人即为买受人，买受人应同本公司签订（拍卖成交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书）。</w:t>
      </w:r>
      <w:bookmarkStart w:id="0" w:name="_GoBack"/>
      <w:bookmarkEnd w:id="0"/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060" w:firstLineChars="140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5251"/>
    <w:rsid w:val="191C2B10"/>
    <w:rsid w:val="210162C4"/>
    <w:rsid w:val="249B29C2"/>
    <w:rsid w:val="366B5251"/>
    <w:rsid w:val="55824443"/>
    <w:rsid w:val="579C15FA"/>
    <w:rsid w:val="5ED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2021-10-15T07:47:52Z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C6F209239458460D9A380CDEB8061232</vt:lpwstr>
  </property>
</Properties>
</file>