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5"/>
        <w:rPr>
          <w:rFonts w:ascii="Times New Roman"/>
          <w:sz w:val="3"/>
        </w:rPr>
      </w:pPr>
    </w:p>
    <w:p>
      <w:pPr>
        <w:pStyle w:val="8"/>
        <w:spacing w:line="20" w:lineRule="exact"/>
        <w:ind w:left="382"/>
        <w:rPr>
          <w:rFonts w:ascii="Times New Roman"/>
          <w:sz w:val="2"/>
        </w:rPr>
      </w:pPr>
    </w:p>
    <w:p>
      <w:pPr>
        <w:pStyle w:val="8"/>
        <w:spacing w:before="10"/>
        <w:rPr>
          <w:rFonts w:ascii="Times New Roman"/>
          <w:sz w:val="15"/>
        </w:rPr>
      </w:pPr>
    </w:p>
    <w:p>
      <w:pPr>
        <w:numPr>
          <w:ilvl w:val="0"/>
          <w:numId w:val="0"/>
        </w:numPr>
        <w:spacing w:beforeLines="0" w:afterLines="0" w:line="500" w:lineRule="exact"/>
        <w:rPr>
          <w:rFonts w:hint="eastAsia" w:ascii="仿宋" w:hAnsi="仿宋" w:eastAsia="仿宋" w:cs="仿宋"/>
          <w:sz w:val="32"/>
          <w:szCs w:val="32"/>
        </w:rPr>
      </w:pPr>
      <w:bookmarkStart w:id="0" w:name="采购项目编号：详见四川政府采购网公告"/>
      <w:bookmarkEnd w:id="0"/>
      <w:r>
        <w:rPr>
          <w:rFonts w:hint="eastAsia" w:ascii="黑体" w:hAnsi="黑体" w:eastAsia="黑体" w:cs="黑体"/>
          <w:color w:val="000000"/>
          <w:sz w:val="30"/>
          <w:szCs w:val="30"/>
          <w:lang w:eastAsia="zh-CN"/>
        </w:rPr>
        <w:t>采</w:t>
      </w:r>
      <w:r>
        <w:rPr>
          <w:rFonts w:hint="eastAsia" w:ascii="黑体" w:hAnsi="黑体" w:eastAsia="黑体" w:cs="黑体"/>
          <w:color w:val="000000"/>
          <w:sz w:val="30"/>
          <w:szCs w:val="30"/>
        </w:rPr>
        <w:t>购项目编号：</w:t>
      </w:r>
      <w:r>
        <w:rPr>
          <w:rFonts w:hint="eastAsia" w:cs="宋体"/>
          <w:b/>
          <w:color w:val="0000FF"/>
          <w:sz w:val="32"/>
          <w:szCs w:val="32"/>
          <w:lang w:val="en-US" w:eastAsia="zh-CN"/>
        </w:rPr>
        <w:t>渠政采磋[2023]2号</w:t>
      </w:r>
    </w:p>
    <w:p>
      <w:pPr>
        <w:pStyle w:val="8"/>
        <w:jc w:val="both"/>
        <w:rPr>
          <w:rFonts w:hint="eastAsia" w:ascii="黑体" w:hAnsi="黑体" w:cs="黑体"/>
          <w:color w:val="000000"/>
          <w:sz w:val="30"/>
          <w:szCs w:val="30"/>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00" w:lineRule="exact"/>
        <w:textAlignment w:val="auto"/>
        <w:rPr>
          <w:rFonts w:hint="eastAsia" w:ascii="黑体" w:hAnsi="黑体" w:eastAsia="黑体" w:cs="黑体"/>
          <w:color w:val="000000"/>
          <w:sz w:val="28"/>
          <w:szCs w:val="28"/>
        </w:rPr>
      </w:pPr>
      <w:r>
        <w:rPr>
          <w:rFonts w:hint="eastAsia" w:ascii="黑体" w:hAnsi="黑体" w:eastAsia="黑体" w:cs="黑体"/>
          <w:color w:val="000000"/>
          <w:sz w:val="30"/>
          <w:szCs w:val="30"/>
        </w:rPr>
        <w:t>采购项目名称：</w:t>
      </w:r>
      <w:r>
        <w:rPr>
          <w:rFonts w:hint="eastAsia" w:cs="宋体"/>
          <w:b/>
          <w:color w:val="0000FF"/>
          <w:sz w:val="32"/>
          <w:szCs w:val="32"/>
          <w:lang w:val="en-US" w:eastAsia="zh-CN"/>
        </w:rPr>
        <w:t xml:space="preserve">渠县2022年农村机电提灌站维修项目     </w:t>
      </w:r>
    </w:p>
    <w:p>
      <w:pPr>
        <w:pStyle w:val="8"/>
        <w:spacing w:before="2"/>
        <w:rPr>
          <w:b/>
          <w:sz w:val="46"/>
        </w:rPr>
      </w:pPr>
    </w:p>
    <w:p>
      <w:pPr>
        <w:keepNext w:val="0"/>
        <w:keepLines w:val="0"/>
        <w:pageBreakBefore w:val="0"/>
        <w:widowControl w:val="0"/>
        <w:kinsoku/>
        <w:wordWrap/>
        <w:overflowPunct/>
        <w:topLinePunct w:val="0"/>
        <w:autoSpaceDE w:val="0"/>
        <w:autoSpaceDN w:val="0"/>
        <w:bidi w:val="0"/>
        <w:adjustRightInd/>
        <w:snapToGrid/>
        <w:spacing w:line="360" w:lineRule="auto"/>
        <w:ind w:left="4938" w:right="4910"/>
        <w:jc w:val="both"/>
        <w:textAlignment w:val="auto"/>
        <w:rPr>
          <w:b/>
          <w:sz w:val="72"/>
          <w:szCs w:val="72"/>
        </w:rPr>
      </w:pPr>
      <w:r>
        <w:rPr>
          <w:b/>
          <w:sz w:val="72"/>
          <w:szCs w:val="72"/>
        </w:rPr>
        <w:t>资格预审文件</w:t>
      </w:r>
    </w:p>
    <w:p>
      <w:pPr>
        <w:pStyle w:val="3"/>
        <w:spacing w:before="405"/>
        <w:ind w:right="50"/>
      </w:pPr>
      <w:bookmarkStart w:id="1" w:name="中国·四川（达州）"/>
      <w:bookmarkEnd w:id="1"/>
      <w:bookmarkStart w:id="2" w:name="_Toc11771"/>
      <w:bookmarkStart w:id="3" w:name="_Toc6046"/>
      <w:r>
        <w:t>中国</w:t>
      </w:r>
      <w:r>
        <w:rPr>
          <w:rFonts w:ascii="Tahoma" w:hAnsi="Tahoma" w:eastAsia="Tahoma"/>
        </w:rPr>
        <w:t>·</w:t>
      </w:r>
      <w:r>
        <w:t>四川（达州）</w:t>
      </w:r>
      <w:bookmarkEnd w:id="2"/>
      <w:bookmarkEnd w:id="3"/>
    </w:p>
    <w:p>
      <w:pPr>
        <w:pStyle w:val="8"/>
        <w:spacing w:before="7"/>
        <w:rPr>
          <w:b/>
          <w:sz w:val="37"/>
        </w:rPr>
      </w:pPr>
    </w:p>
    <w:p>
      <w:pPr>
        <w:ind w:right="38"/>
        <w:jc w:val="both"/>
        <w:rPr>
          <w:rFonts w:hint="eastAsia"/>
          <w:b/>
          <w:color w:val="0000FF"/>
          <w:sz w:val="32"/>
          <w:szCs w:val="32"/>
          <w:lang w:val="en-US" w:eastAsia="zh-CN"/>
        </w:rPr>
      </w:pPr>
    </w:p>
    <w:p>
      <w:pPr>
        <w:spacing w:line="360" w:lineRule="auto"/>
        <w:jc w:val="center"/>
        <w:rPr>
          <w:rFonts w:hint="eastAsia" w:ascii="黑体" w:hAnsi="黑体" w:eastAsia="宋体"/>
          <w:color w:val="000000"/>
          <w:sz w:val="32"/>
          <w:szCs w:val="32"/>
          <w:lang w:val="en-US" w:eastAsia="zh-CN"/>
        </w:rPr>
      </w:pPr>
      <w:bookmarkStart w:id="4" w:name="PO_采购人_1"/>
      <w:r>
        <w:rPr>
          <w:rFonts w:hint="eastAsia" w:ascii="黑体" w:hAnsi="黑体" w:eastAsia="黑体" w:cs="黑体"/>
          <w:color w:val="000000"/>
          <w:sz w:val="32"/>
          <w:szCs w:val="32"/>
        </w:rPr>
        <w:t>（采购人</w:t>
      </w:r>
      <w:bookmarkEnd w:id="4"/>
      <w:r>
        <w:rPr>
          <w:rFonts w:hint="eastAsia" w:ascii="黑体" w:hAnsi="黑体" w:eastAsia="黑体" w:cs="黑体"/>
          <w:color w:val="000000"/>
          <w:sz w:val="32"/>
          <w:szCs w:val="32"/>
        </w:rPr>
        <w:t>：</w:t>
      </w:r>
      <w:r>
        <w:rPr>
          <w:rFonts w:hint="eastAsia" w:cs="宋体"/>
          <w:b/>
          <w:color w:val="0000FF"/>
          <w:sz w:val="32"/>
          <w:szCs w:val="32"/>
          <w:lang w:val="en-US" w:eastAsia="zh-CN"/>
        </w:rPr>
        <w:t xml:space="preserve">渠县农兴集体经济发展有限责任公司 </w:t>
      </w:r>
      <w:r>
        <w:rPr>
          <w:rFonts w:hint="eastAsia"/>
          <w:b/>
          <w:bCs/>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（采购代理机构：</w:t>
      </w:r>
      <w:r>
        <w:rPr>
          <w:rFonts w:hint="eastAsia" w:ascii="黑体" w:hAnsi="黑体" w:eastAsia="黑体" w:cs="黑体"/>
          <w:color w:val="000000"/>
          <w:sz w:val="32"/>
          <w:szCs w:val="32"/>
          <w:lang w:val="en-US" w:eastAsia="zh-CN"/>
        </w:rPr>
        <w:t>渠</w:t>
      </w:r>
      <w:r>
        <w:rPr>
          <w:rFonts w:hint="eastAsia" w:ascii="黑体" w:hAnsi="黑体" w:eastAsia="黑体" w:cs="黑体"/>
          <w:color w:val="000000"/>
          <w:sz w:val="32"/>
          <w:szCs w:val="32"/>
          <w:lang w:eastAsia="zh-CN"/>
        </w:rPr>
        <w:t>县</w:t>
      </w:r>
      <w:r>
        <w:rPr>
          <w:rFonts w:hint="eastAsia"/>
          <w:b/>
          <w:bCs/>
          <w:color w:val="000000"/>
          <w:sz w:val="32"/>
          <w:szCs w:val="32"/>
        </w:rPr>
        <w:t>政府采购中心</w:t>
      </w:r>
      <w:r>
        <w:rPr>
          <w:rFonts w:hint="eastAsia" w:ascii="黑体" w:hAnsi="黑体" w:eastAsia="黑体" w:cs="黑体"/>
          <w:color w:val="000000"/>
          <w:sz w:val="32"/>
          <w:szCs w:val="32"/>
        </w:rPr>
        <w:t>）</w:t>
      </w:r>
    </w:p>
    <w:p>
      <w:pPr>
        <w:spacing w:line="360" w:lineRule="auto"/>
        <w:jc w:val="center"/>
        <w:rPr>
          <w:rFonts w:ascii="黑体" w:hAnsi="黑体" w:eastAsia="黑体"/>
          <w:color w:val="000000"/>
          <w:sz w:val="32"/>
          <w:szCs w:val="32"/>
        </w:rPr>
      </w:pPr>
      <w:r>
        <w:rPr>
          <w:rFonts w:hint="eastAsia" w:ascii="黑体" w:hAnsi="黑体" w:eastAsia="黑体" w:cs="黑体"/>
          <w:color w:val="000000"/>
          <w:sz w:val="32"/>
          <w:szCs w:val="32"/>
        </w:rPr>
        <w:t>共同编制</w:t>
      </w:r>
    </w:p>
    <w:p>
      <w:pPr>
        <w:jc w:val="center"/>
        <w:rPr>
          <w:sz w:val="32"/>
        </w:rPr>
        <w:sectPr>
          <w:headerReference r:id="rId3" w:type="default"/>
          <w:footerReference r:id="rId4" w:type="default"/>
          <w:type w:val="continuous"/>
          <w:pgSz w:w="11910" w:h="16840"/>
          <w:pgMar w:top="720" w:right="780" w:bottom="800" w:left="800" w:header="525" w:footer="606" w:gutter="0"/>
          <w:pgNumType w:fmt="decimal" w:start="1"/>
          <w:cols w:space="720" w:num="1"/>
        </w:sectPr>
      </w:pPr>
      <w:bookmarkStart w:id="5" w:name="PO_年份小写_1"/>
      <w:r>
        <w:rPr>
          <w:rFonts w:hint="eastAsia" w:ascii="黑体" w:hAnsi="黑体" w:eastAsia="黑体" w:cs="黑体"/>
          <w:color w:val="000000"/>
          <w:sz w:val="32"/>
          <w:szCs w:val="32"/>
        </w:rPr>
        <w:t>202</w:t>
      </w:r>
      <w:r>
        <w:rPr>
          <w:rFonts w:hint="eastAsia" w:ascii="黑体" w:hAnsi="黑体" w:eastAsia="黑体" w:cs="黑体"/>
          <w:color w:val="000000"/>
          <w:sz w:val="32"/>
          <w:szCs w:val="32"/>
          <w:lang w:val="en-US" w:eastAsia="zh-CN"/>
        </w:rPr>
        <w:t>3</w:t>
      </w:r>
      <w:r>
        <w:rPr>
          <w:rFonts w:hint="eastAsia" w:ascii="黑体" w:hAnsi="黑体" w:eastAsia="黑体" w:cs="黑体"/>
          <w:color w:val="000000"/>
          <w:sz w:val="32"/>
          <w:szCs w:val="32"/>
          <w:lang w:val="zh-CN"/>
        </w:rPr>
        <w:t>年</w:t>
      </w:r>
      <w:bookmarkEnd w:id="5"/>
      <w:bookmarkStart w:id="6" w:name="PO_月份小写_1"/>
      <w:r>
        <w:rPr>
          <w:rFonts w:hint="eastAsia" w:ascii="黑体" w:hAnsi="黑体" w:eastAsia="黑体" w:cs="黑体"/>
          <w:color w:val="0000FF"/>
          <w:sz w:val="32"/>
          <w:szCs w:val="32"/>
          <w:lang w:val="en-US" w:eastAsia="zh-CN"/>
        </w:rPr>
        <w:t>4</w:t>
      </w:r>
      <w:r>
        <w:rPr>
          <w:rFonts w:hint="eastAsia" w:ascii="黑体" w:hAnsi="黑体" w:eastAsia="黑体" w:cs="黑体"/>
          <w:color w:val="000000"/>
          <w:sz w:val="32"/>
          <w:szCs w:val="32"/>
          <w:lang w:val="zh-CN"/>
        </w:rPr>
        <w:t>月</w:t>
      </w:r>
      <w:bookmarkEnd w:id="6"/>
    </w:p>
    <w:p>
      <w:pPr>
        <w:pStyle w:val="8"/>
        <w:spacing w:before="2"/>
        <w:rPr>
          <w:b/>
          <w:sz w:val="3"/>
        </w:rPr>
      </w:pPr>
    </w:p>
    <w:p>
      <w:pPr>
        <w:pStyle w:val="8"/>
        <w:spacing w:line="20" w:lineRule="exact"/>
        <w:ind w:left="382"/>
        <w:rPr>
          <w:sz w:val="2"/>
        </w:rPr>
      </w:pPr>
    </w:p>
    <w:p>
      <w:pPr>
        <w:tabs>
          <w:tab w:val="left" w:pos="933"/>
        </w:tabs>
        <w:spacing w:before="3"/>
        <w:ind w:left="34"/>
        <w:jc w:val="center"/>
        <w:rPr>
          <w:b/>
          <w:sz w:val="36"/>
        </w:rPr>
      </w:pPr>
      <w:r>
        <w:rPr>
          <w:b/>
          <w:sz w:val="36"/>
        </w:rPr>
        <w:t>目</w:t>
      </w:r>
      <w:r>
        <w:rPr>
          <w:b/>
          <w:sz w:val="36"/>
        </w:rPr>
        <w:tab/>
      </w:r>
      <w:r>
        <w:rPr>
          <w:b/>
          <w:sz w:val="36"/>
        </w:rPr>
        <w:t>录</w:t>
      </w:r>
    </w:p>
    <w:sdt>
      <w:sdtPr>
        <w:rPr>
          <w:sz w:val="21"/>
          <w:szCs w:val="24"/>
        </w:rPr>
        <w:id w:val="147456839"/>
        <w:docPartObj>
          <w:docPartGallery w:val="Table of Contents"/>
          <w:docPartUnique/>
        </w:docPartObj>
      </w:sdtPr>
      <w:sdtEndPr>
        <w:rPr>
          <w:sz w:val="24"/>
          <w:szCs w:val="24"/>
        </w:rPr>
      </w:sdtEndPr>
      <w:sdtContent>
        <w:p>
          <w:pPr>
            <w:jc w:val="center"/>
          </w:pPr>
        </w:p>
        <w:p>
          <w:pPr>
            <w:pStyle w:val="12"/>
            <w:tabs>
              <w:tab w:val="right" w:leader="dot" w:pos="8310"/>
            </w:tabs>
            <w:rPr>
              <w:sz w:val="32"/>
              <w:szCs w:val="32"/>
            </w:rPr>
          </w:pPr>
          <w:r>
            <w:rPr>
              <w:rFonts w:ascii="宋体" w:hAnsi="宋体" w:eastAsia="宋体" w:cs="宋体"/>
              <w:spacing w:val="-5"/>
              <w:sz w:val="22"/>
              <w:szCs w:val="22"/>
              <w:lang w:val="zh-CN" w:eastAsia="zh-CN" w:bidi="zh-CN"/>
            </w:rPr>
            <w:fldChar w:fldCharType="begin"/>
          </w:r>
          <w:r>
            <w:rPr>
              <w:rFonts w:ascii="宋体" w:hAnsi="宋体" w:eastAsia="宋体" w:cs="宋体"/>
              <w:spacing w:val="-5"/>
              <w:sz w:val="22"/>
              <w:szCs w:val="22"/>
              <w:lang w:val="zh-CN" w:eastAsia="zh-CN" w:bidi="zh-CN"/>
            </w:rPr>
            <w:instrText xml:space="preserve">TOC \o "1-1" \h \u </w:instrText>
          </w:r>
          <w:r>
            <w:rPr>
              <w:rFonts w:ascii="宋体" w:hAnsi="宋体" w:eastAsia="宋体" w:cs="宋体"/>
              <w:spacing w:val="-5"/>
              <w:sz w:val="22"/>
              <w:szCs w:val="22"/>
              <w:lang w:val="zh-CN" w:eastAsia="zh-CN" w:bidi="zh-CN"/>
            </w:rPr>
            <w:fldChar w:fldCharType="separate"/>
          </w: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_Toc9058 </w:instrText>
          </w:r>
          <w:r>
            <w:rPr>
              <w:rFonts w:ascii="宋体" w:hAnsi="宋体" w:eastAsia="宋体" w:cs="宋体"/>
              <w:spacing w:val="-5"/>
              <w:sz w:val="32"/>
              <w:szCs w:val="22"/>
              <w:lang w:val="zh-CN" w:eastAsia="zh-CN" w:bidi="zh-CN"/>
            </w:rPr>
            <w:fldChar w:fldCharType="separate"/>
          </w:r>
          <w:r>
            <w:rPr>
              <w:sz w:val="32"/>
              <w:szCs w:val="32"/>
            </w:rPr>
            <w:t>第一章 资格预审邀请</w:t>
          </w:r>
          <w:r>
            <w:rPr>
              <w:sz w:val="32"/>
              <w:szCs w:val="32"/>
            </w:rPr>
            <w:tab/>
          </w:r>
          <w:r>
            <w:rPr>
              <w:sz w:val="32"/>
              <w:szCs w:val="32"/>
            </w:rPr>
            <w:fldChar w:fldCharType="begin"/>
          </w:r>
          <w:r>
            <w:rPr>
              <w:sz w:val="32"/>
              <w:szCs w:val="32"/>
            </w:rPr>
            <w:instrText xml:space="preserve"> PAGEREF _Toc9058 \h </w:instrText>
          </w:r>
          <w:r>
            <w:rPr>
              <w:sz w:val="32"/>
              <w:szCs w:val="32"/>
            </w:rPr>
            <w:fldChar w:fldCharType="separate"/>
          </w:r>
          <w:r>
            <w:rPr>
              <w:sz w:val="32"/>
              <w:szCs w:val="32"/>
            </w:rPr>
            <w:t>3</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_Toc19387 </w:instrText>
          </w:r>
          <w:r>
            <w:rPr>
              <w:rFonts w:ascii="宋体" w:hAnsi="宋体" w:eastAsia="宋体" w:cs="宋体"/>
              <w:spacing w:val="-5"/>
              <w:sz w:val="32"/>
              <w:szCs w:val="22"/>
              <w:lang w:val="zh-CN" w:eastAsia="zh-CN" w:bidi="zh-CN"/>
            </w:rPr>
            <w:fldChar w:fldCharType="separate"/>
          </w:r>
          <w:r>
            <w:rPr>
              <w:sz w:val="32"/>
              <w:szCs w:val="32"/>
            </w:rPr>
            <w:t>第二章 资格预审申请人须知</w:t>
          </w:r>
          <w:r>
            <w:rPr>
              <w:sz w:val="32"/>
              <w:szCs w:val="32"/>
            </w:rPr>
            <w:tab/>
          </w:r>
          <w:r>
            <w:rPr>
              <w:sz w:val="32"/>
              <w:szCs w:val="32"/>
            </w:rPr>
            <w:fldChar w:fldCharType="begin"/>
          </w:r>
          <w:r>
            <w:rPr>
              <w:sz w:val="32"/>
              <w:szCs w:val="32"/>
            </w:rPr>
            <w:instrText xml:space="preserve"> PAGEREF _Toc19387 \h </w:instrText>
          </w:r>
          <w:r>
            <w:rPr>
              <w:sz w:val="32"/>
              <w:szCs w:val="32"/>
            </w:rPr>
            <w:fldChar w:fldCharType="separate"/>
          </w:r>
          <w:r>
            <w:rPr>
              <w:sz w:val="32"/>
              <w:szCs w:val="32"/>
            </w:rPr>
            <w:t>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_Toc17331 </w:instrText>
          </w:r>
          <w:r>
            <w:rPr>
              <w:rFonts w:ascii="宋体" w:hAnsi="宋体" w:eastAsia="宋体" w:cs="宋体"/>
              <w:spacing w:val="-5"/>
              <w:sz w:val="32"/>
              <w:szCs w:val="22"/>
              <w:lang w:val="zh-CN" w:eastAsia="zh-CN" w:bidi="zh-CN"/>
            </w:rPr>
            <w:fldChar w:fldCharType="separate"/>
          </w:r>
          <w:r>
            <w:rPr>
              <w:sz w:val="32"/>
              <w:szCs w:val="32"/>
            </w:rPr>
            <w:t>第三章 申请人资格、资质性及其他类似效力要求</w:t>
          </w:r>
          <w:r>
            <w:rPr>
              <w:sz w:val="32"/>
              <w:szCs w:val="32"/>
            </w:rPr>
            <w:tab/>
          </w:r>
          <w:r>
            <w:rPr>
              <w:sz w:val="32"/>
              <w:szCs w:val="32"/>
            </w:rPr>
            <w:fldChar w:fldCharType="begin"/>
          </w:r>
          <w:r>
            <w:rPr>
              <w:sz w:val="32"/>
              <w:szCs w:val="32"/>
            </w:rPr>
            <w:instrText xml:space="preserve"> PAGEREF _Toc17331 \h </w:instrText>
          </w:r>
          <w:r>
            <w:rPr>
              <w:sz w:val="32"/>
              <w:szCs w:val="32"/>
            </w:rPr>
            <w:fldChar w:fldCharType="separate"/>
          </w:r>
          <w:r>
            <w:rPr>
              <w:sz w:val="32"/>
              <w:szCs w:val="32"/>
            </w:rPr>
            <w:t>14</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jc w:val="both"/>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_Toc19696 </w:instrText>
          </w:r>
          <w:r>
            <w:rPr>
              <w:rFonts w:ascii="宋体" w:hAnsi="宋体" w:eastAsia="宋体" w:cs="宋体"/>
              <w:spacing w:val="-5"/>
              <w:sz w:val="32"/>
              <w:szCs w:val="22"/>
              <w:lang w:val="zh-CN" w:eastAsia="zh-CN" w:bidi="zh-CN"/>
            </w:rPr>
            <w:fldChar w:fldCharType="separate"/>
          </w:r>
          <w:r>
            <w:rPr>
              <w:sz w:val="32"/>
              <w:szCs w:val="32"/>
            </w:rPr>
            <w:t>第四章 申请人应当提供的资格、资质性及其他类似效力要求的相关证明材料</w:t>
          </w:r>
          <w:r>
            <w:rPr>
              <w:sz w:val="32"/>
              <w:szCs w:val="32"/>
            </w:rPr>
            <w:tab/>
          </w:r>
          <w:r>
            <w:rPr>
              <w:sz w:val="32"/>
              <w:szCs w:val="32"/>
            </w:rPr>
            <w:fldChar w:fldCharType="begin"/>
          </w:r>
          <w:r>
            <w:rPr>
              <w:sz w:val="32"/>
              <w:szCs w:val="32"/>
            </w:rPr>
            <w:instrText xml:space="preserve"> PAGEREF _Toc19696 \h </w:instrText>
          </w:r>
          <w:r>
            <w:rPr>
              <w:sz w:val="32"/>
              <w:szCs w:val="32"/>
            </w:rPr>
            <w:fldChar w:fldCharType="separate"/>
          </w:r>
          <w:r>
            <w:rPr>
              <w:sz w:val="32"/>
              <w:szCs w:val="32"/>
            </w:rPr>
            <w:t>16</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_Toc20792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五</w:t>
          </w:r>
          <w:r>
            <w:rPr>
              <w:sz w:val="32"/>
              <w:szCs w:val="32"/>
            </w:rPr>
            <w:t>章 申请文件格式</w:t>
          </w:r>
          <w:r>
            <w:rPr>
              <w:sz w:val="32"/>
              <w:szCs w:val="32"/>
            </w:rPr>
            <w:tab/>
          </w:r>
          <w:r>
            <w:rPr>
              <w:sz w:val="32"/>
              <w:szCs w:val="32"/>
            </w:rPr>
            <w:fldChar w:fldCharType="begin"/>
          </w:r>
          <w:r>
            <w:rPr>
              <w:sz w:val="32"/>
              <w:szCs w:val="32"/>
            </w:rPr>
            <w:instrText xml:space="preserve"> PAGEREF _Toc20792 \h </w:instrText>
          </w:r>
          <w:r>
            <w:rPr>
              <w:sz w:val="32"/>
              <w:szCs w:val="32"/>
            </w:rPr>
            <w:fldChar w:fldCharType="separate"/>
          </w:r>
          <w:r>
            <w:rPr>
              <w:sz w:val="32"/>
              <w:szCs w:val="32"/>
            </w:rPr>
            <w:t>17</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_Toc5962 </w:instrText>
          </w:r>
          <w:r>
            <w:rPr>
              <w:rFonts w:ascii="宋体" w:hAnsi="宋体" w:eastAsia="宋体" w:cs="宋体"/>
              <w:spacing w:val="-5"/>
              <w:sz w:val="32"/>
              <w:szCs w:val="22"/>
              <w:lang w:val="zh-CN" w:eastAsia="zh-CN" w:bidi="zh-CN"/>
            </w:rPr>
            <w:fldChar w:fldCharType="separate"/>
          </w:r>
          <w:r>
            <w:rPr>
              <w:sz w:val="32"/>
              <w:szCs w:val="32"/>
            </w:rPr>
            <w:t>第</w:t>
          </w:r>
          <w:r>
            <w:rPr>
              <w:rFonts w:hint="eastAsia"/>
              <w:sz w:val="32"/>
              <w:szCs w:val="32"/>
            </w:rPr>
            <w:t>六</w:t>
          </w:r>
          <w:r>
            <w:rPr>
              <w:sz w:val="32"/>
              <w:szCs w:val="32"/>
            </w:rPr>
            <w:t>章 评审方法</w:t>
          </w:r>
          <w:r>
            <w:rPr>
              <w:sz w:val="32"/>
              <w:szCs w:val="32"/>
            </w:rPr>
            <w:tab/>
          </w:r>
          <w:r>
            <w:rPr>
              <w:sz w:val="32"/>
              <w:szCs w:val="32"/>
            </w:rPr>
            <w:fldChar w:fldCharType="begin"/>
          </w:r>
          <w:r>
            <w:rPr>
              <w:sz w:val="32"/>
              <w:szCs w:val="32"/>
            </w:rPr>
            <w:instrText xml:space="preserve"> PAGEREF _Toc5962 \h </w:instrText>
          </w:r>
          <w:r>
            <w:rPr>
              <w:sz w:val="32"/>
              <w:szCs w:val="32"/>
            </w:rPr>
            <w:fldChar w:fldCharType="separate"/>
          </w:r>
          <w:r>
            <w:rPr>
              <w:sz w:val="32"/>
              <w:szCs w:val="32"/>
            </w:rPr>
            <w:t>29</w:t>
          </w:r>
          <w:r>
            <w:rPr>
              <w:sz w:val="32"/>
              <w:szCs w:val="32"/>
            </w:rPr>
            <w:fldChar w:fldCharType="end"/>
          </w:r>
          <w:r>
            <w:rPr>
              <w:rFonts w:ascii="宋体" w:hAnsi="宋体" w:eastAsia="宋体" w:cs="宋体"/>
              <w:spacing w:val="-5"/>
              <w:sz w:val="32"/>
              <w:szCs w:val="22"/>
              <w:lang w:val="zh-CN" w:eastAsia="zh-CN" w:bidi="zh-CN"/>
            </w:rPr>
            <w:fldChar w:fldCharType="end"/>
          </w:r>
        </w:p>
        <w:p>
          <w:pPr>
            <w:pStyle w:val="12"/>
            <w:tabs>
              <w:tab w:val="right" w:leader="dot" w:pos="8310"/>
            </w:tabs>
            <w:rPr>
              <w:sz w:val="32"/>
              <w:szCs w:val="32"/>
            </w:rPr>
          </w:pPr>
          <w:r>
            <w:rPr>
              <w:rFonts w:ascii="宋体" w:hAnsi="宋体" w:eastAsia="宋体" w:cs="宋体"/>
              <w:spacing w:val="-5"/>
              <w:sz w:val="32"/>
              <w:szCs w:val="22"/>
              <w:lang w:val="zh-CN" w:eastAsia="zh-CN" w:bidi="zh-CN"/>
            </w:rPr>
            <w:fldChar w:fldCharType="begin"/>
          </w:r>
          <w:r>
            <w:rPr>
              <w:rFonts w:ascii="宋体" w:hAnsi="宋体" w:eastAsia="宋体" w:cs="宋体"/>
              <w:spacing w:val="-5"/>
              <w:sz w:val="32"/>
              <w:szCs w:val="22"/>
              <w:lang w:val="zh-CN" w:eastAsia="zh-CN" w:bidi="zh-CN"/>
            </w:rPr>
            <w:instrText xml:space="preserve"> HYPERLINK \l _Toc13916 </w:instrText>
          </w:r>
          <w:r>
            <w:rPr>
              <w:rFonts w:ascii="宋体" w:hAnsi="宋体" w:eastAsia="宋体" w:cs="宋体"/>
              <w:spacing w:val="-5"/>
              <w:sz w:val="32"/>
              <w:szCs w:val="22"/>
              <w:lang w:val="zh-CN" w:eastAsia="zh-CN" w:bidi="zh-CN"/>
            </w:rPr>
            <w:fldChar w:fldCharType="separate"/>
          </w:r>
          <w:r>
            <w:rPr>
              <w:rFonts w:hint="eastAsia"/>
              <w:sz w:val="32"/>
              <w:szCs w:val="32"/>
            </w:rPr>
            <w:t xml:space="preserve">第七章 </w:t>
          </w:r>
          <w:r>
            <w:rPr>
              <w:spacing w:val="-5"/>
              <w:sz w:val="32"/>
              <w:szCs w:val="32"/>
            </w:rPr>
            <w:t>采</w:t>
          </w:r>
          <w:r>
            <w:rPr>
              <w:sz w:val="32"/>
              <w:szCs w:val="32"/>
            </w:rPr>
            <w:t>购项目概况及需求</w:t>
          </w:r>
          <w:r>
            <w:rPr>
              <w:sz w:val="32"/>
              <w:szCs w:val="32"/>
            </w:rPr>
            <w:tab/>
          </w:r>
          <w:r>
            <w:rPr>
              <w:sz w:val="32"/>
              <w:szCs w:val="32"/>
            </w:rPr>
            <w:fldChar w:fldCharType="begin"/>
          </w:r>
          <w:r>
            <w:rPr>
              <w:sz w:val="32"/>
              <w:szCs w:val="32"/>
            </w:rPr>
            <w:instrText xml:space="preserve"> PAGEREF _Toc13916 \h </w:instrText>
          </w:r>
          <w:r>
            <w:rPr>
              <w:sz w:val="32"/>
              <w:szCs w:val="32"/>
            </w:rPr>
            <w:fldChar w:fldCharType="separate"/>
          </w:r>
          <w:r>
            <w:rPr>
              <w:sz w:val="32"/>
              <w:szCs w:val="32"/>
            </w:rPr>
            <w:t>33</w:t>
          </w:r>
          <w:r>
            <w:rPr>
              <w:sz w:val="32"/>
              <w:szCs w:val="32"/>
            </w:rPr>
            <w:fldChar w:fldCharType="end"/>
          </w:r>
          <w:r>
            <w:rPr>
              <w:rFonts w:ascii="宋体" w:hAnsi="宋体" w:eastAsia="宋体" w:cs="宋体"/>
              <w:spacing w:val="-5"/>
              <w:sz w:val="32"/>
              <w:szCs w:val="22"/>
              <w:lang w:val="zh-CN" w:eastAsia="zh-CN" w:bidi="zh-CN"/>
            </w:rPr>
            <w:fldChar w:fldCharType="end"/>
          </w:r>
        </w:p>
        <w:p>
          <w:pPr>
            <w:pStyle w:val="8"/>
            <w:keepNext w:val="0"/>
            <w:keepLines w:val="0"/>
            <w:pageBreakBefore w:val="0"/>
            <w:kinsoku/>
            <w:wordWrap/>
            <w:overflowPunct/>
            <w:topLinePunct w:val="0"/>
            <w:bidi w:val="0"/>
            <w:adjustRightInd/>
            <w:snapToGrid/>
            <w:spacing w:before="120" w:line="578" w:lineRule="exact"/>
            <w:textAlignment w:val="auto"/>
            <w:rPr>
              <w:sz w:val="3"/>
            </w:rPr>
          </w:pPr>
          <w:r>
            <w:rPr>
              <w:rFonts w:ascii="宋体" w:hAnsi="宋体" w:eastAsia="宋体" w:cs="宋体"/>
              <w:spacing w:val="-5"/>
              <w:sz w:val="22"/>
              <w:szCs w:val="22"/>
              <w:lang w:val="zh-CN" w:eastAsia="zh-CN" w:bidi="zh-CN"/>
            </w:rPr>
            <w:fldChar w:fldCharType="end"/>
          </w:r>
        </w:p>
      </w:sdtContent>
    </w:sdt>
    <w:p>
      <w:pPr>
        <w:pStyle w:val="8"/>
        <w:keepNext w:val="0"/>
        <w:keepLines w:val="0"/>
        <w:pageBreakBefore w:val="0"/>
        <w:tabs>
          <w:tab w:val="left" w:pos="5932"/>
        </w:tabs>
        <w:kinsoku/>
        <w:wordWrap/>
        <w:overflowPunct/>
        <w:topLinePunct w:val="0"/>
        <w:bidi w:val="0"/>
        <w:adjustRightInd/>
        <w:snapToGrid/>
        <w:spacing w:before="120" w:line="578" w:lineRule="exact"/>
        <w:ind w:left="382"/>
        <w:textAlignment w:val="auto"/>
        <w:rPr>
          <w:rFonts w:hint="eastAsia" w:eastAsia="宋体"/>
          <w:sz w:val="2"/>
          <w:lang w:eastAsia="zh-CN"/>
        </w:rPr>
      </w:pPr>
      <w:r>
        <w:rPr>
          <w:rFonts w:hint="eastAsia"/>
          <w:sz w:val="2"/>
          <w:lang w:eastAsia="zh-CN"/>
        </w:rPr>
        <w:tab/>
      </w:r>
      <w:r>
        <w:rPr>
          <w:rFonts w:hint="eastAsia"/>
          <w:sz w:val="2"/>
          <w:lang w:eastAsia="zh-CN"/>
        </w:rPr>
        <w:t>━</w:t>
      </w:r>
    </w:p>
    <w:p>
      <w:pPr>
        <w:keepNext w:val="0"/>
        <w:keepLines w:val="0"/>
        <w:pageBreakBefore w:val="0"/>
        <w:kinsoku/>
        <w:wordWrap/>
        <w:overflowPunct/>
        <w:topLinePunct w:val="0"/>
        <w:bidi w:val="0"/>
        <w:adjustRightInd/>
        <w:snapToGrid/>
        <w:spacing w:before="120" w:line="578" w:lineRule="exact"/>
        <w:textAlignment w:val="auto"/>
      </w:pPr>
      <w:bookmarkStart w:id="7" w:name="第一章_资格预审邀请"/>
      <w:bookmarkEnd w:id="7"/>
      <w:r>
        <w:br w:type="page"/>
      </w:r>
    </w:p>
    <w:p>
      <w:pPr>
        <w:pStyle w:val="3"/>
        <w:keepNext w:val="0"/>
        <w:keepLines w:val="0"/>
        <w:pageBreakBefore w:val="0"/>
        <w:widowControl w:val="0"/>
        <w:kinsoku/>
        <w:wordWrap/>
        <w:overflowPunct/>
        <w:topLinePunct w:val="0"/>
        <w:autoSpaceDE w:val="0"/>
        <w:autoSpaceDN w:val="0"/>
        <w:bidi w:val="0"/>
        <w:adjustRightInd/>
        <w:snapToGrid/>
        <w:spacing w:before="0" w:line="460" w:lineRule="exact"/>
        <w:textAlignment w:val="auto"/>
      </w:pPr>
      <w:bookmarkStart w:id="8" w:name="_Toc9058"/>
      <w:r>
        <w:t>第一章 资格预审邀请</w:t>
      </w:r>
      <w:bookmarkEnd w:id="8"/>
    </w:p>
    <w:p>
      <w:pPr>
        <w:pStyle w:val="8"/>
        <w:keepNext w:val="0"/>
        <w:keepLines w:val="0"/>
        <w:pageBreakBefore w:val="0"/>
        <w:widowControl w:val="0"/>
        <w:kinsoku/>
        <w:wordWrap/>
        <w:overflowPunct/>
        <w:topLinePunct w:val="0"/>
        <w:autoSpaceDE w:val="0"/>
        <w:autoSpaceDN w:val="0"/>
        <w:bidi w:val="0"/>
        <w:adjustRightInd/>
        <w:snapToGrid/>
        <w:spacing w:line="460" w:lineRule="exact"/>
        <w:textAlignment w:val="auto"/>
        <w:rPr>
          <w:b/>
          <w:sz w:val="28"/>
        </w:rPr>
      </w:pPr>
    </w:p>
    <w:p>
      <w:pPr>
        <w:pStyle w:val="8"/>
        <w:ind w:firstLine="480" w:firstLineChars="200"/>
        <w:jc w:val="left"/>
      </w:pPr>
      <w:r>
        <w:rPr>
          <w:rFonts w:hint="eastAsia"/>
          <w:color w:val="000000" w:themeColor="text1"/>
          <w:u w:val="none"/>
          <w14:textFill>
            <w14:solidFill>
              <w14:schemeClr w14:val="tx1"/>
            </w14:solidFill>
          </w14:textFill>
        </w:rPr>
        <w:t>渠县政府采购中心</w:t>
      </w:r>
      <w:r>
        <w:t>受</w:t>
      </w:r>
      <w:r>
        <w:rPr>
          <w:rFonts w:hint="eastAsia"/>
          <w:color w:val="0000FF"/>
          <w:u w:val="single"/>
          <w:lang w:val="en-US" w:eastAsia="zh-CN"/>
        </w:rPr>
        <w:t xml:space="preserve">渠县农兴集体经济发展有限责任公司 </w:t>
      </w:r>
      <w:r>
        <w:t>委托，拟</w:t>
      </w:r>
      <w:r>
        <w:rPr>
          <w:spacing w:val="4"/>
        </w:rPr>
        <w:t>对</w:t>
      </w:r>
      <w:r>
        <w:rPr>
          <w:rFonts w:hint="eastAsia" w:cs="宋体"/>
          <w:color w:val="0000FF"/>
          <w:u w:val="single"/>
          <w:lang w:val="en-US" w:eastAsia="zh-CN"/>
        </w:rPr>
        <w:t xml:space="preserve">渠县2022年农村机电提灌站维修项目 </w:t>
      </w:r>
      <w:r>
        <w:t>采用</w:t>
      </w:r>
      <w:r>
        <w:rPr>
          <w:rFonts w:hint="eastAsia"/>
          <w:color w:val="0000FF"/>
          <w:u w:val="single"/>
          <w:lang w:val="en-US" w:eastAsia="zh-CN"/>
        </w:rPr>
        <w:t>竞争性磋商</w:t>
      </w:r>
      <w:r>
        <w:t>方式进行采购，兹邀请符合本次采购项目资格预审公告</w:t>
      </w:r>
      <w:r>
        <w:rPr>
          <w:spacing w:val="-3"/>
        </w:rPr>
        <w:t>要</w:t>
      </w:r>
      <w:r>
        <w:t>求</w:t>
      </w:r>
      <w:r>
        <w:rPr>
          <w:spacing w:val="-3"/>
        </w:rPr>
        <w:t>的</w:t>
      </w:r>
      <w:r>
        <w:t>申</w:t>
      </w:r>
      <w:r>
        <w:rPr>
          <w:spacing w:val="-3"/>
        </w:rPr>
        <w:t>请</w:t>
      </w:r>
      <w:r>
        <w:t>人参</w:t>
      </w:r>
      <w:r>
        <w:rPr>
          <w:spacing w:val="-3"/>
        </w:rPr>
        <w:t>与</w:t>
      </w:r>
      <w:r>
        <w:t>资</w:t>
      </w:r>
      <w:r>
        <w:rPr>
          <w:spacing w:val="-3"/>
        </w:rPr>
        <w:t>格</w:t>
      </w:r>
      <w:r>
        <w:t>预审</w:t>
      </w:r>
      <w:r>
        <w:rPr>
          <w:spacing w:val="-3"/>
        </w:rPr>
        <w:t>，</w:t>
      </w:r>
      <w:r>
        <w:t>资</w:t>
      </w:r>
      <w:r>
        <w:rPr>
          <w:spacing w:val="-3"/>
        </w:rPr>
        <w:t>格</w:t>
      </w:r>
      <w:r>
        <w:t>预</w:t>
      </w:r>
      <w:r>
        <w:rPr>
          <w:spacing w:val="-3"/>
        </w:rPr>
        <w:t>审</w:t>
      </w:r>
      <w:r>
        <w:t>通过</w:t>
      </w:r>
      <w:r>
        <w:rPr>
          <w:spacing w:val="-3"/>
        </w:rPr>
        <w:t>后</w:t>
      </w:r>
      <w:r>
        <w:t>的</w:t>
      </w:r>
      <w:r>
        <w:rPr>
          <w:spacing w:val="-3"/>
        </w:rPr>
        <w:t>申</w:t>
      </w:r>
      <w:r>
        <w:t>请人</w:t>
      </w:r>
      <w:r>
        <w:rPr>
          <w:spacing w:val="-3"/>
        </w:rPr>
        <w:t>可</w:t>
      </w:r>
      <w:r>
        <w:t>参</w:t>
      </w:r>
      <w:r>
        <w:rPr>
          <w:spacing w:val="-3"/>
        </w:rPr>
        <w:t>加</w:t>
      </w:r>
      <w:r>
        <w:t>后</w:t>
      </w:r>
      <w:r>
        <w:rPr>
          <w:spacing w:val="-3"/>
        </w:rPr>
        <w:t>续</w:t>
      </w:r>
      <w:r>
        <w:t>采购</w:t>
      </w:r>
      <w:r>
        <w:rPr>
          <w:spacing w:val="-3"/>
        </w:rPr>
        <w:t>活</w:t>
      </w:r>
      <w:r>
        <w:t>动。</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9" w:name="一、采购项目基本情况："/>
      <w:bookmarkEnd w:id="9"/>
      <w:r>
        <w:t>一、采购项目基本情况：</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1</w:t>
      </w:r>
      <w:r>
        <w:rPr>
          <w:rFonts w:hint="eastAsia"/>
          <w:sz w:val="24"/>
          <w:lang w:val="en-US"/>
        </w:rPr>
        <w:t>、项目受理编号：</w:t>
      </w:r>
      <w:r>
        <w:rPr>
          <w:rFonts w:hint="eastAsia"/>
          <w:color w:val="0000FF"/>
          <w:sz w:val="24"/>
          <w:u w:val="single"/>
          <w:lang w:val="en-US" w:eastAsia="zh-CN"/>
        </w:rPr>
        <w:t>渠政采磋[2023]2号</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rFonts w:hint="eastAsia"/>
          <w:color w:val="0000FF"/>
          <w:sz w:val="24"/>
          <w:u w:val="single"/>
          <w:lang w:val="en-US" w:eastAsia="zh-CN"/>
        </w:rPr>
      </w:pPr>
      <w:r>
        <w:rPr>
          <w:rFonts w:hint="eastAsia"/>
          <w:sz w:val="24"/>
          <w:lang w:val="en-US" w:eastAsia="zh-CN"/>
        </w:rPr>
        <w:t>2</w:t>
      </w:r>
      <w:r>
        <w:rPr>
          <w:rFonts w:hint="eastAsia"/>
          <w:sz w:val="24"/>
          <w:lang w:val="en-US"/>
        </w:rPr>
        <w:t>、</w:t>
      </w:r>
      <w:r>
        <w:rPr>
          <w:sz w:val="24"/>
        </w:rPr>
        <w:t>项目名称</w:t>
      </w:r>
      <w:r>
        <w:rPr>
          <w:rFonts w:hint="eastAsia" w:cs="宋体"/>
          <w:color w:val="auto"/>
          <w:kern w:val="0"/>
          <w:sz w:val="24"/>
          <w:szCs w:val="24"/>
          <w:u w:val="none"/>
          <w:lang w:val="en-US" w:eastAsia="zh-CN"/>
        </w:rPr>
        <w:t xml:space="preserve">: </w:t>
      </w:r>
      <w:r>
        <w:rPr>
          <w:rFonts w:hint="eastAsia"/>
          <w:color w:val="0000FF"/>
          <w:sz w:val="24"/>
          <w:u w:val="single"/>
          <w:lang w:val="en-US" w:eastAsia="zh-CN"/>
        </w:rPr>
        <w:t xml:space="preserve">渠县2022年农村机电提灌站维修项目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Chars="200"/>
        <w:textAlignment w:val="auto"/>
        <w:rPr>
          <w:sz w:val="24"/>
        </w:rPr>
      </w:pPr>
      <w:r>
        <w:rPr>
          <w:rFonts w:hint="eastAsia"/>
          <w:sz w:val="24"/>
          <w:lang w:val="en-US" w:eastAsia="zh-CN"/>
        </w:rPr>
        <w:t>3</w:t>
      </w:r>
      <w:r>
        <w:rPr>
          <w:rFonts w:hint="eastAsia"/>
          <w:sz w:val="24"/>
          <w:lang w:val="en-US"/>
        </w:rPr>
        <w:t>、</w:t>
      </w:r>
      <w:r>
        <w:rPr>
          <w:sz w:val="24"/>
        </w:rPr>
        <w:t>采购人：</w:t>
      </w:r>
      <w:r>
        <w:rPr>
          <w:rFonts w:hint="eastAsia"/>
          <w:color w:val="0000FF"/>
          <w:sz w:val="24"/>
          <w:u w:val="single"/>
          <w:lang w:val="en-US" w:eastAsia="zh-CN"/>
        </w:rPr>
        <w:t xml:space="preserve">渠县农兴集体经济发展有限责任公司    </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0"/>
        <w:textAlignment w:val="auto"/>
        <w:rPr>
          <w:sz w:val="24"/>
        </w:rPr>
      </w:pPr>
      <w:r>
        <w:rPr>
          <w:rFonts w:hint="eastAsia"/>
          <w:sz w:val="24"/>
          <w:lang w:val="en-US"/>
        </w:rPr>
        <w:t xml:space="preserve">    </w:t>
      </w:r>
      <w:r>
        <w:rPr>
          <w:rFonts w:hint="eastAsia"/>
          <w:sz w:val="24"/>
          <w:lang w:val="en-US" w:eastAsia="zh-CN"/>
        </w:rPr>
        <w:t>4</w:t>
      </w:r>
      <w:r>
        <w:rPr>
          <w:rFonts w:hint="eastAsia"/>
          <w:sz w:val="24"/>
          <w:lang w:val="en-US"/>
        </w:rPr>
        <w:t>、</w:t>
      </w:r>
      <w:r>
        <w:rPr>
          <w:sz w:val="24"/>
        </w:rPr>
        <w:t>采购代理机构：</w:t>
      </w:r>
      <w:r>
        <w:rPr>
          <w:rFonts w:hint="eastAsia"/>
          <w:sz w:val="24"/>
        </w:rPr>
        <w:t>渠县政府采购中心</w:t>
      </w:r>
    </w:p>
    <w:p>
      <w:pPr>
        <w:pStyle w:val="24"/>
        <w:keepNext w:val="0"/>
        <w:keepLines w:val="0"/>
        <w:pageBreakBefore w:val="0"/>
        <w:widowControl w:val="0"/>
        <w:tabs>
          <w:tab w:val="left" w:pos="1231"/>
        </w:tabs>
        <w:kinsoku/>
        <w:wordWrap/>
        <w:overflowPunct/>
        <w:topLinePunct w:val="0"/>
        <w:autoSpaceDE w:val="0"/>
        <w:autoSpaceDN w:val="0"/>
        <w:bidi w:val="0"/>
        <w:adjustRightInd/>
        <w:snapToGrid/>
        <w:spacing w:line="460" w:lineRule="exact"/>
        <w:ind w:left="0" w:firstLine="482" w:firstLineChars="200"/>
        <w:textAlignment w:val="auto"/>
        <w:rPr>
          <w:b/>
          <w:sz w:val="24"/>
        </w:rPr>
      </w:pPr>
      <w:r>
        <w:rPr>
          <w:b/>
          <w:sz w:val="24"/>
        </w:rPr>
        <w:t>二、资金情况：</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color w:val="auto"/>
          <w:lang w:val="en-US" w:eastAsia="zh-CN"/>
        </w:rPr>
      </w:pPr>
      <w:r>
        <w:t>资金来源及金额：</w:t>
      </w:r>
      <w:r>
        <w:rPr>
          <w:rFonts w:hint="eastAsia"/>
        </w:rPr>
        <w:t>采购预算价</w:t>
      </w:r>
      <w:r>
        <w:rPr>
          <w:rFonts w:hint="eastAsia"/>
          <w:lang w:val="en-US" w:eastAsia="zh-CN"/>
        </w:rPr>
        <w:t xml:space="preserve"> </w:t>
      </w:r>
      <w:r>
        <w:rPr>
          <w:rFonts w:hint="eastAsia"/>
          <w:color w:val="0000FF"/>
          <w:u w:val="single"/>
          <w:lang w:val="en-US" w:eastAsia="zh-CN"/>
        </w:rPr>
        <w:t xml:space="preserve"> 194.5407</w:t>
      </w:r>
      <w:r>
        <w:rPr>
          <w:rFonts w:hint="eastAsia" w:ascii="宋体" w:hAnsi="宋体" w:eastAsia="宋体" w:cs="宋体"/>
          <w:color w:val="0000FF"/>
          <w:u w:val="single"/>
          <w:lang w:val="en-US" w:eastAsia="zh-CN"/>
        </w:rPr>
        <w:t xml:space="preserve"> </w:t>
      </w:r>
      <w:r>
        <w:rPr>
          <w:rFonts w:hint="eastAsia"/>
        </w:rPr>
        <w:t>万元，最高限</w:t>
      </w:r>
      <w:r>
        <w:rPr>
          <w:rFonts w:hint="eastAsia"/>
          <w:lang w:val="en-US" w:eastAsia="zh-CN"/>
        </w:rPr>
        <w:t>价</w:t>
      </w:r>
      <w:r>
        <w:rPr>
          <w:rFonts w:hint="eastAsia" w:cs="宋体"/>
          <w:color w:val="0000FF"/>
          <w:u w:val="single"/>
          <w:lang w:val="en-US" w:eastAsia="zh-CN"/>
        </w:rPr>
        <w:t xml:space="preserve"> 194.5407 </w:t>
      </w:r>
      <w:r>
        <w:rPr>
          <w:rFonts w:hint="eastAsia"/>
        </w:rPr>
        <w:t>万元，</w:t>
      </w:r>
      <w:r>
        <w:t>资金来源为</w:t>
      </w:r>
      <w:r>
        <w:rPr>
          <w:rFonts w:hint="eastAsia"/>
          <w:color w:val="0000FF"/>
          <w:u w:val="single"/>
          <w:lang w:val="en-US" w:eastAsia="zh-CN"/>
        </w:rPr>
        <w:t>财政资</w:t>
      </w:r>
      <w:r>
        <w:rPr>
          <w:rFonts w:hint="eastAsia"/>
          <w:color w:val="0000FF"/>
          <w:u w:val="single"/>
        </w:rPr>
        <w:t>金</w:t>
      </w:r>
    </w:p>
    <w:p>
      <w:pPr>
        <w:keepNext w:val="0"/>
        <w:keepLines w:val="0"/>
        <w:pageBreakBefore w:val="0"/>
        <w:widowControl w:val="0"/>
        <w:kinsoku/>
        <w:wordWrap/>
        <w:overflowPunct/>
        <w:topLinePunct w:val="0"/>
        <w:autoSpaceDE w:val="0"/>
        <w:autoSpaceDN w:val="0"/>
        <w:bidi w:val="0"/>
        <w:adjustRightInd/>
        <w:snapToGrid/>
        <w:spacing w:line="460" w:lineRule="exact"/>
        <w:ind w:firstLine="482" w:firstLineChars="200"/>
        <w:textAlignment w:val="auto"/>
      </w:pPr>
      <w:r>
        <w:rPr>
          <w:b/>
          <w:sz w:val="24"/>
        </w:rPr>
        <w:t>三、资格预审申请人邀请方式：</w:t>
      </w:r>
      <w:r>
        <w:rPr>
          <w:rFonts w:ascii="宋体" w:hAnsi="宋体" w:eastAsia="宋体" w:cs="宋体"/>
        </w:rPr>
        <w:fldChar w:fldCharType="begin"/>
      </w:r>
      <w:r>
        <w:rPr>
          <w:rFonts w:ascii="宋体" w:hAnsi="宋体" w:eastAsia="宋体" w:cs="宋体"/>
        </w:rPr>
        <w:instrText xml:space="preserve"> HYPERLINK "http://www.ccgp-sichuan.gov.cn/" \h </w:instrText>
      </w:r>
      <w:r>
        <w:rPr>
          <w:rFonts w:ascii="宋体" w:hAnsi="宋体" w:eastAsia="宋体" w:cs="宋体"/>
        </w:rPr>
        <w:fldChar w:fldCharType="separate"/>
      </w:r>
      <w:r>
        <w:rPr>
          <w:rFonts w:ascii="宋体" w:hAnsi="宋体" w:eastAsia="宋体" w:cs="宋体"/>
        </w:rPr>
        <w:t>公告方式：本次资格预审邀请在</w:t>
      </w:r>
      <w:r>
        <w:rPr>
          <w:rFonts w:hint="eastAsia" w:ascii="宋体" w:hAnsi="宋体" w:eastAsia="宋体" w:cs="宋体"/>
          <w:lang w:val="en-US" w:eastAsia="zh-CN"/>
        </w:rPr>
        <w:t>渠县公共资源交易服务网</w:t>
      </w:r>
      <w:r>
        <w:rPr>
          <w:rFonts w:ascii="宋体" w:hAnsi="宋体" w:eastAsia="宋体" w:cs="宋体"/>
        </w:rPr>
        <w:t>（</w:t>
      </w:r>
      <w:r>
        <w:rPr>
          <w:rFonts w:hint="eastAsia" w:ascii="宋体" w:hAnsi="宋体" w:eastAsia="宋体" w:cs="宋体"/>
        </w:rPr>
        <w:t>http://www.dzggzy.cn/qxweb/</w:t>
      </w:r>
      <w:r>
        <w:rPr>
          <w:rFonts w:ascii="宋体" w:hAnsi="宋体" w:eastAsia="宋体" w:cs="宋体"/>
        </w:rPr>
        <w:fldChar w:fldCharType="end"/>
      </w:r>
      <w:r>
        <w:rPr>
          <w:rFonts w:ascii="宋体" w:hAnsi="宋体" w:eastAsia="宋体" w:cs="宋体"/>
        </w:rPr>
        <w:t>）上以公</w:t>
      </w:r>
      <w:r>
        <w:t>告形式发布，公告期限为</w:t>
      </w:r>
      <w:r>
        <w:rPr>
          <w:b/>
          <w:bCs/>
          <w:color w:val="1D41D5"/>
        </w:rPr>
        <w:t>5</w:t>
      </w:r>
      <w:r>
        <w:t>个工作日。</w:t>
      </w: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10" w:name="四、资格预审申请人参加本次资格预审应具备下列条件："/>
      <w:bookmarkEnd w:id="10"/>
      <w:r>
        <w:t>四、资格预审申请人参加本次资格预审应具备下列条件：</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（一）参与资格预审的申请人应符合政府采购法第二十二条规定的条件：</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1、具有独立承担民事责任的能力；</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2、具有良好的商业信誉和健全的财务会计制度；</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pPr>
      <w:r>
        <w:t>3、具有履行合同所必须的设备和专业技术能力；</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t>4、具</w:t>
      </w:r>
      <w:r>
        <w:rPr>
          <w:rFonts w:ascii="宋体" w:hAnsi="宋体" w:eastAsia="宋体" w:cs="宋体"/>
        </w:rPr>
        <w:t>有依法缴纳税收和社会保障资金的良好记录；</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5、参加本次政府采购活动前三年内，在经营活动中没有重大违法记录；</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ascii="宋体" w:hAnsi="宋体" w:eastAsia="宋体" w:cs="宋体"/>
        </w:rPr>
      </w:pPr>
      <w:r>
        <w:rPr>
          <w:rFonts w:ascii="宋体" w:hAnsi="宋体" w:eastAsia="宋体" w:cs="宋体"/>
        </w:rPr>
        <w:t>6、法律、行政法规规定的其他条件；</w:t>
      </w:r>
    </w:p>
    <w:p>
      <w:pPr>
        <w:pStyle w:val="26"/>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zh-CN"/>
        </w:rPr>
        <w:t>（1）具有建设行政主管部门核发的</w:t>
      </w:r>
      <w:r>
        <w:rPr>
          <w:rFonts w:hint="eastAsia" w:ascii="宋体" w:hAnsi="宋体" w:cs="宋体"/>
          <w:color w:val="0000FF"/>
          <w:kern w:val="0"/>
          <w:sz w:val="24"/>
          <w:lang w:val="en-US" w:eastAsia="zh-CN"/>
        </w:rPr>
        <w:t>水利水电施工总承包叁级及以上资质</w:t>
      </w:r>
      <w:r>
        <w:rPr>
          <w:rFonts w:hint="eastAsia" w:ascii="宋体" w:hAnsi="宋体" w:cs="宋体"/>
          <w:color w:val="0000FF"/>
          <w:kern w:val="0"/>
          <w:sz w:val="24"/>
          <w:lang w:val="zh-CN"/>
        </w:rPr>
        <w:t>；</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zh-CN"/>
        </w:rPr>
        <w:t>（2）具备有效的《安全生产许可证》；</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eastAsia="zh-CN"/>
        </w:rPr>
      </w:pPr>
      <w:r>
        <w:rPr>
          <w:rFonts w:hint="eastAsia" w:ascii="宋体" w:hAnsi="宋体" w:cs="宋体"/>
          <w:color w:val="0000FF"/>
          <w:kern w:val="0"/>
          <w:sz w:val="24"/>
          <w:lang w:val="zh-CN" w:eastAsia="zh-CN"/>
        </w:rPr>
        <w:t>（</w:t>
      </w:r>
      <w:r>
        <w:rPr>
          <w:rFonts w:hint="eastAsia" w:ascii="宋体" w:hAnsi="宋体" w:cs="宋体"/>
          <w:color w:val="0000FF"/>
          <w:kern w:val="0"/>
          <w:sz w:val="24"/>
          <w:lang w:val="en-US" w:eastAsia="zh-CN"/>
        </w:rPr>
        <w:t>3</w:t>
      </w:r>
      <w:r>
        <w:rPr>
          <w:rFonts w:hint="eastAsia" w:ascii="宋体" w:hAnsi="宋体" w:cs="宋体"/>
          <w:color w:val="0000FF"/>
          <w:kern w:val="0"/>
          <w:sz w:val="24"/>
          <w:lang w:val="zh-CN" w:eastAsia="zh-CN"/>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en-US" w:eastAsia="zh-CN"/>
        </w:rPr>
        <w:t>8、</w:t>
      </w:r>
      <w:r>
        <w:rPr>
          <w:rFonts w:hint="eastAsia" w:ascii="宋体" w:hAnsi="宋体" w:cs="宋体"/>
          <w:color w:val="0000FF"/>
          <w:kern w:val="0"/>
          <w:sz w:val="24"/>
          <w:lang w:val="zh-CN"/>
        </w:rPr>
        <w:t>本项目不允许联合体参加。</w:t>
      </w:r>
    </w:p>
    <w:p>
      <w:pPr>
        <w:autoSpaceDE w:val="0"/>
        <w:autoSpaceDN w:val="0"/>
        <w:adjustRightInd w:val="0"/>
        <w:spacing w:line="360" w:lineRule="auto"/>
        <w:ind w:firstLine="480" w:firstLineChars="200"/>
        <w:jc w:val="left"/>
        <w:rPr>
          <w:rFonts w:hint="eastAsia" w:ascii="宋体" w:hAnsi="宋体" w:cs="宋体"/>
          <w:color w:val="0000FF"/>
          <w:kern w:val="0"/>
          <w:sz w:val="24"/>
          <w:lang w:val="en-US" w:eastAsia="zh-CN"/>
        </w:rPr>
      </w:pPr>
      <w:r>
        <w:rPr>
          <w:rFonts w:hint="eastAsia" w:ascii="宋体" w:hAnsi="宋体" w:cs="宋体"/>
          <w:color w:val="0000FF"/>
          <w:kern w:val="0"/>
          <w:sz w:val="24"/>
          <w:lang w:val="en-US" w:eastAsia="zh-CN"/>
        </w:rPr>
        <w:t>9、本项目专门面向中小企业采购；</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五、资格预审方法:</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firstLineChars="200"/>
        <w:textAlignment w:val="auto"/>
        <w:rPr>
          <w:rFonts w:hint="eastAsia" w:eastAsia="宋体"/>
          <w:lang w:eastAsia="zh-CN"/>
        </w:rPr>
      </w:pPr>
      <w:r>
        <w:t>本项目向所有通过资格预审的供应商发出采购文件(参与资格预审的供应商不足3家或者通过资格审查的供应商不足3家的，本次资格预审活动终止，将重新组织资格预审。</w:t>
      </w:r>
      <w:r>
        <w:rPr>
          <w:rFonts w:hint="eastAsia"/>
          <w:lang w:eastAsia="zh-CN"/>
        </w:rPr>
        <w:t>）</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r>
        <w:t>六、禁止参加资格预审的申请人：</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textAlignment w:val="auto"/>
      </w:pPr>
      <w:r>
        <w:rPr>
          <w:spacing w:val="-5"/>
        </w:rPr>
        <w:t>根据《关于在政府采购活动中查询及使用信用记录有关问题的通知》</w:t>
      </w:r>
      <w:r>
        <w:rPr>
          <w:spacing w:val="4"/>
        </w:rPr>
        <w:t>（</w:t>
      </w:r>
      <w:r>
        <w:rPr>
          <w:spacing w:val="-7"/>
        </w:rPr>
        <w:t>财库〔</w:t>
      </w:r>
      <w:r>
        <w:t>2016</w:t>
      </w:r>
      <w:r>
        <w:rPr>
          <w:spacing w:val="-24"/>
        </w:rPr>
        <w:t>〕</w:t>
      </w:r>
      <w:r>
        <w:t>125 号）</w:t>
      </w:r>
      <w:r>
        <w:rPr>
          <w:spacing w:val="-2"/>
        </w:rPr>
        <w:t>的要求，通过</w:t>
      </w:r>
      <w:r>
        <w:fldChar w:fldCharType="begin"/>
      </w:r>
      <w:r>
        <w:instrText xml:space="preserve"> HYPERLINK "http://www.creditchina.gov.cn/" \h </w:instrText>
      </w:r>
      <w:r>
        <w:fldChar w:fldCharType="separate"/>
      </w:r>
      <w:r>
        <w:t>“信用中国”网（www.creditchina.gov.cn</w:t>
      </w:r>
      <w:r>
        <w:fldChar w:fldCharType="end"/>
      </w:r>
      <w:r>
        <w:t>）</w:t>
      </w:r>
      <w:r>
        <w:rPr>
          <w:spacing w:val="-6"/>
        </w:rPr>
        <w:t>、“中国</w:t>
      </w:r>
      <w:r>
        <w:rPr>
          <w:spacing w:val="-3"/>
        </w:rPr>
        <w:t>政府采购网 ”网</w:t>
      </w:r>
      <w:r>
        <w:t xml:space="preserve">（ </w:t>
      </w:r>
      <w:r>
        <w:fldChar w:fldCharType="begin"/>
      </w:r>
      <w:r>
        <w:instrText xml:space="preserve"> HYPERLINK "http://www.ccgp.gov.cn/" \h </w:instrText>
      </w:r>
      <w:r>
        <w:fldChar w:fldCharType="separate"/>
      </w:r>
      <w:r>
        <w:t xml:space="preserve">www.ccgp.gov.cn </w:t>
      </w:r>
      <w:r>
        <w:fldChar w:fldCharType="end"/>
      </w:r>
      <w:r>
        <w:rPr>
          <w:spacing w:val="-8"/>
        </w:rPr>
        <w:t>）</w:t>
      </w:r>
      <w:r>
        <w:t>等渠道查询申请人在资格预审公告发布之日前的</w:t>
      </w:r>
      <w:r>
        <w:rPr>
          <w:spacing w:val="-4"/>
        </w:rPr>
        <w:t>信用记录并保存信用记录结果网页截图，拒绝列入失信被执行人名单、重大税收违法案件当</w:t>
      </w:r>
      <w:r>
        <w:t>事人名单、政府采购严重违法失信行为记录名单中的申请人报名参加本项目的资格预审。</w:t>
      </w:r>
    </w:p>
    <w:p>
      <w:pPr>
        <w:pStyle w:val="6"/>
        <w:keepNext w:val="0"/>
        <w:keepLines w:val="0"/>
        <w:pageBreakBefore w:val="0"/>
        <w:widowControl w:val="0"/>
        <w:kinsoku/>
        <w:wordWrap/>
        <w:overflowPunct/>
        <w:topLinePunct w:val="0"/>
        <w:autoSpaceDE w:val="0"/>
        <w:autoSpaceDN w:val="0"/>
        <w:bidi w:val="0"/>
        <w:adjustRightInd/>
        <w:snapToGrid/>
        <w:spacing w:line="460" w:lineRule="exact"/>
        <w:ind w:left="0" w:firstLine="482" w:firstLineChars="200"/>
        <w:textAlignment w:val="auto"/>
      </w:pPr>
      <w:bookmarkStart w:id="11" w:name="七、资格预审文件获取方式、时间、地点："/>
      <w:bookmarkEnd w:id="11"/>
      <w:r>
        <w:t>七、资格预审文件获取方式、时间、地点：</w:t>
      </w:r>
    </w:p>
    <w:p>
      <w:pPr>
        <w:keepNext w:val="0"/>
        <w:keepLines w:val="0"/>
        <w:pageBreakBefore w:val="0"/>
        <w:widowControl w:val="0"/>
        <w:kinsoku/>
        <w:wordWrap/>
        <w:overflowPunct/>
        <w:topLinePunct w:val="0"/>
        <w:autoSpaceDE w:val="0"/>
        <w:autoSpaceDN w:val="0"/>
        <w:bidi w:val="0"/>
        <w:adjustRightInd/>
        <w:snapToGrid/>
        <w:spacing w:line="460" w:lineRule="exact"/>
        <w:ind w:firstLine="604" w:firstLineChars="263"/>
        <w:textAlignment w:val="auto"/>
        <w:rPr>
          <w:rFonts w:hint="eastAsia" w:ascii="宋体" w:hAnsi="宋体" w:cs="宋体"/>
          <w:bCs/>
          <w:sz w:val="24"/>
          <w:highlight w:val="white"/>
          <w:lang w:val="zh-CN"/>
        </w:rPr>
      </w:pPr>
      <w:r>
        <w:rPr>
          <w:spacing w:val="-5"/>
          <w:sz w:val="24"/>
          <w:szCs w:val="24"/>
        </w:rPr>
        <w:t>资格预审文件获取</w:t>
      </w:r>
      <w:r>
        <w:rPr>
          <w:rFonts w:hint="eastAsia"/>
          <w:spacing w:val="-5"/>
          <w:sz w:val="24"/>
          <w:szCs w:val="24"/>
          <w:lang w:val="en-US" w:eastAsia="zh-CN"/>
        </w:rPr>
        <w:t>及</w:t>
      </w:r>
      <w:r>
        <w:rPr>
          <w:rFonts w:hint="eastAsia"/>
          <w:spacing w:val="-5"/>
          <w:sz w:val="24"/>
          <w:szCs w:val="24"/>
          <w:lang w:val="en-US"/>
        </w:rPr>
        <w:t>报名</w:t>
      </w:r>
      <w:r>
        <w:rPr>
          <w:rFonts w:hint="eastAsia"/>
          <w:spacing w:val="-5"/>
          <w:sz w:val="24"/>
          <w:szCs w:val="24"/>
          <w:lang w:val="en-US" w:eastAsia="zh-CN"/>
        </w:rPr>
        <w:t>截止</w:t>
      </w:r>
      <w:r>
        <w:rPr>
          <w:spacing w:val="-5"/>
          <w:sz w:val="24"/>
          <w:szCs w:val="24"/>
        </w:rPr>
        <w:t xml:space="preserve">时间： </w:t>
      </w:r>
      <w:r>
        <w:rPr>
          <w:color w:val="FF0000"/>
          <w:spacing w:val="-5"/>
          <w:sz w:val="24"/>
          <w:szCs w:val="24"/>
        </w:rPr>
        <w:t>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4</w:t>
      </w:r>
      <w:r>
        <w:rPr>
          <w:color w:val="FF0000"/>
          <w:spacing w:val="-5"/>
          <w:sz w:val="24"/>
          <w:szCs w:val="24"/>
        </w:rPr>
        <w:t>月</w:t>
      </w:r>
      <w:r>
        <w:rPr>
          <w:rFonts w:hint="eastAsia"/>
          <w:color w:val="FF0000"/>
          <w:spacing w:val="-5"/>
          <w:sz w:val="24"/>
          <w:szCs w:val="24"/>
          <w:lang w:val="en-US" w:eastAsia="zh-CN"/>
        </w:rPr>
        <w:t>19</w:t>
      </w:r>
      <w:r>
        <w:rPr>
          <w:color w:val="FF0000"/>
          <w:spacing w:val="-5"/>
          <w:sz w:val="24"/>
          <w:szCs w:val="24"/>
        </w:rPr>
        <w:t>日</w:t>
      </w:r>
      <w:r>
        <w:rPr>
          <w:rFonts w:hint="eastAsia"/>
          <w:color w:val="FF0000"/>
          <w:spacing w:val="-5"/>
          <w:sz w:val="24"/>
          <w:szCs w:val="24"/>
        </w:rPr>
        <w:t>起</w:t>
      </w:r>
      <w:r>
        <w:rPr>
          <w:color w:val="FF0000"/>
          <w:spacing w:val="-5"/>
          <w:sz w:val="24"/>
          <w:szCs w:val="24"/>
        </w:rPr>
        <w:t>至202</w:t>
      </w:r>
      <w:r>
        <w:rPr>
          <w:rFonts w:hint="eastAsia"/>
          <w:color w:val="FF0000"/>
          <w:spacing w:val="-5"/>
          <w:sz w:val="24"/>
          <w:szCs w:val="24"/>
          <w:lang w:val="en-US" w:eastAsia="zh-CN"/>
        </w:rPr>
        <w:t>3</w:t>
      </w:r>
      <w:r>
        <w:rPr>
          <w:color w:val="FF0000"/>
          <w:spacing w:val="-5"/>
          <w:sz w:val="24"/>
          <w:szCs w:val="24"/>
        </w:rPr>
        <w:t>年</w:t>
      </w:r>
      <w:r>
        <w:rPr>
          <w:rFonts w:hint="eastAsia"/>
          <w:color w:val="FF0000"/>
          <w:spacing w:val="-5"/>
          <w:sz w:val="24"/>
          <w:szCs w:val="24"/>
          <w:lang w:val="en-US" w:eastAsia="zh-CN"/>
        </w:rPr>
        <w:t>4</w:t>
      </w:r>
      <w:r>
        <w:rPr>
          <w:color w:val="FF0000"/>
          <w:spacing w:val="-5"/>
          <w:sz w:val="24"/>
          <w:szCs w:val="24"/>
        </w:rPr>
        <w:t>月</w:t>
      </w:r>
      <w:r>
        <w:rPr>
          <w:rFonts w:hint="eastAsia"/>
          <w:color w:val="FF0000"/>
          <w:spacing w:val="-5"/>
          <w:sz w:val="24"/>
          <w:szCs w:val="24"/>
          <w:lang w:val="en-US" w:eastAsia="zh-CN"/>
        </w:rPr>
        <w:t>24</w:t>
      </w:r>
      <w:r>
        <w:rPr>
          <w:color w:val="FF0000"/>
          <w:spacing w:val="-5"/>
          <w:sz w:val="24"/>
          <w:szCs w:val="24"/>
        </w:rPr>
        <w:t>日</w:t>
      </w:r>
      <w:r>
        <w:rPr>
          <w:rFonts w:hint="eastAsia"/>
          <w:color w:val="FF0000"/>
          <w:spacing w:val="-5"/>
          <w:sz w:val="24"/>
          <w:szCs w:val="24"/>
        </w:rPr>
        <w:t>止9:00- 17:0</w:t>
      </w:r>
      <w:r>
        <w:rPr>
          <w:rFonts w:hint="eastAsia"/>
          <w:color w:val="FF0000"/>
          <w:spacing w:val="-5"/>
          <w:sz w:val="24"/>
          <w:szCs w:val="24"/>
          <w:lang w:val="en-US"/>
        </w:rPr>
        <w:t>0</w:t>
      </w:r>
      <w:r>
        <w:rPr>
          <w:spacing w:val="-5"/>
          <w:sz w:val="24"/>
          <w:szCs w:val="24"/>
        </w:rPr>
        <w:t>（北京时间，法定节</w:t>
      </w:r>
      <w:r>
        <w:rPr>
          <w:rFonts w:ascii="宋体" w:hAnsi="宋体" w:eastAsia="宋体" w:cs="宋体"/>
          <w:sz w:val="24"/>
          <w:szCs w:val="24"/>
          <w:lang w:val="zh-CN" w:eastAsia="zh-CN" w:bidi="zh-CN"/>
        </w:rPr>
        <w:t>假日除外）</w:t>
      </w:r>
      <w:r>
        <w:rPr>
          <w:rFonts w:hint="eastAsia" w:cs="宋体"/>
          <w:sz w:val="24"/>
          <w:szCs w:val="24"/>
          <w:lang w:val="zh-CN" w:eastAsia="zh-CN" w:bidi="zh-CN"/>
        </w:rPr>
        <w:t>，</w:t>
      </w:r>
      <w:r>
        <w:rPr>
          <w:rFonts w:hint="eastAsia" w:ascii="宋体" w:hAnsi="宋体" w:eastAsia="宋体" w:cs="宋体"/>
          <w:sz w:val="24"/>
          <w:szCs w:val="24"/>
          <w:lang w:val="en-US" w:eastAsia="zh-CN" w:bidi="zh-CN"/>
        </w:rPr>
        <w:t>报名方式：</w:t>
      </w:r>
      <w:r>
        <w:rPr>
          <w:rFonts w:hint="eastAsia" w:ascii="宋体" w:hAnsi="宋体" w:cs="宋体"/>
          <w:bCs/>
          <w:sz w:val="24"/>
          <w:highlight w:val="white"/>
          <w:lang w:val="en-US" w:eastAsia="zh-CN"/>
        </w:rPr>
        <w:t>网上报名</w:t>
      </w:r>
      <w:r>
        <w:rPr>
          <w:rFonts w:hint="eastAsia" w:cs="宋体"/>
          <w:bCs/>
          <w:sz w:val="24"/>
          <w:highlight w:val="white"/>
          <w:lang w:val="en-US" w:eastAsia="zh-CN"/>
        </w:rPr>
        <w:t>。（未注册用户名的</w:t>
      </w:r>
      <w:r>
        <w:rPr>
          <w:rFonts w:hint="eastAsia" w:cs="宋体"/>
          <w:sz w:val="24"/>
          <w:szCs w:val="24"/>
          <w:lang w:val="en-US" w:eastAsia="zh-CN" w:bidi="zh-CN"/>
        </w:rPr>
        <w:t>登录</w:t>
      </w:r>
      <w:r>
        <w:rPr>
          <w:rFonts w:hint="eastAsia" w:ascii="宋体" w:hAnsi="宋体" w:cs="宋体"/>
          <w:bCs/>
          <w:sz w:val="24"/>
          <w:highlight w:val="white"/>
          <w:lang w:val="en-US" w:eastAsia="zh-CN"/>
        </w:rPr>
        <w:t>渠县</w:t>
      </w:r>
      <w:r>
        <w:rPr>
          <w:rFonts w:hint="eastAsia" w:ascii="宋体" w:hAnsi="宋体" w:cs="宋体"/>
          <w:bCs/>
          <w:sz w:val="24"/>
          <w:highlight w:val="white"/>
          <w:lang w:val="zh-CN"/>
        </w:rPr>
        <w:t>公共资源交易</w:t>
      </w:r>
      <w:r>
        <w:rPr>
          <w:rFonts w:hint="eastAsia" w:cs="宋体"/>
          <w:bCs/>
          <w:sz w:val="24"/>
          <w:highlight w:val="white"/>
          <w:lang w:val="en-US" w:eastAsia="zh-CN"/>
        </w:rPr>
        <w:t>服务</w:t>
      </w:r>
      <w:r>
        <w:rPr>
          <w:rFonts w:hint="eastAsia" w:ascii="宋体" w:hAnsi="宋体" w:cs="宋体"/>
          <w:bCs/>
          <w:sz w:val="24"/>
          <w:highlight w:val="white"/>
          <w:lang w:val="en-US" w:eastAsia="zh-CN"/>
        </w:rPr>
        <w:t>网</w:t>
      </w:r>
      <w:r>
        <w:rPr>
          <w:rFonts w:hint="eastAsia" w:ascii="宋体" w:hAnsi="宋体" w:cs="宋体"/>
          <w:bCs/>
          <w:sz w:val="24"/>
          <w:highlight w:val="white"/>
          <w:lang w:val="zh-CN"/>
        </w:rPr>
        <w:t>（http://www.dzggzy.cn/qxweb/）</w:t>
      </w:r>
      <w:r>
        <w:rPr>
          <w:rFonts w:hint="eastAsia" w:cs="宋体"/>
          <w:bCs/>
          <w:sz w:val="24"/>
          <w:highlight w:val="white"/>
          <w:lang w:val="zh-CN"/>
        </w:rPr>
        <w:t>“</w:t>
      </w:r>
      <w:r>
        <w:rPr>
          <w:rFonts w:hint="eastAsia" w:cs="宋体"/>
          <w:bCs/>
          <w:sz w:val="24"/>
          <w:highlight w:val="white"/>
          <w:lang w:val="en-US" w:eastAsia="zh-CN"/>
        </w:rPr>
        <w:t>招</w:t>
      </w:r>
      <w:r>
        <w:rPr>
          <w:rFonts w:hint="eastAsia" w:ascii="宋体" w:hAnsi="宋体" w:cs="宋体"/>
          <w:bCs/>
          <w:sz w:val="24"/>
          <w:highlight w:val="white"/>
          <w:lang w:val="zh-CN"/>
        </w:rPr>
        <w:t>/</w:t>
      </w:r>
      <w:r>
        <w:rPr>
          <w:rFonts w:hint="eastAsia" w:cs="宋体"/>
          <w:bCs/>
          <w:sz w:val="24"/>
          <w:highlight w:val="white"/>
          <w:lang w:val="en-US" w:eastAsia="zh-CN"/>
        </w:rPr>
        <w:t>投标人系统登录</w:t>
      </w:r>
      <w:r>
        <w:rPr>
          <w:rFonts w:hint="eastAsia" w:cs="宋体"/>
          <w:bCs/>
          <w:sz w:val="24"/>
          <w:highlight w:val="white"/>
          <w:lang w:val="zh-CN"/>
        </w:rPr>
        <w:t>”</w:t>
      </w:r>
      <w:r>
        <w:rPr>
          <w:rFonts w:hint="eastAsia" w:cs="宋体"/>
          <w:bCs/>
          <w:sz w:val="24"/>
          <w:highlight w:val="white"/>
          <w:lang w:val="en-US" w:eastAsia="zh-CN"/>
        </w:rPr>
        <w:t>窗口注册账户。）</w:t>
      </w:r>
      <w:r>
        <w:rPr>
          <w:rFonts w:hint="eastAsia" w:ascii="宋体" w:hAnsi="宋体" w:cs="宋体"/>
          <w:bCs/>
          <w:sz w:val="24"/>
          <w:highlight w:val="white"/>
          <w:lang w:val="en-US" w:eastAsia="zh-CN"/>
        </w:rPr>
        <w:t>网上</w:t>
      </w:r>
      <w:r>
        <w:rPr>
          <w:rFonts w:hint="eastAsia" w:ascii="宋体" w:hAnsi="宋体" w:cs="Arial"/>
          <w:kern w:val="0"/>
          <w:sz w:val="24"/>
          <w:highlight w:val="white"/>
        </w:rPr>
        <w:t>获取和下载</w:t>
      </w:r>
      <w:r>
        <w:rPr>
          <w:spacing w:val="-5"/>
          <w:sz w:val="24"/>
          <w:szCs w:val="24"/>
        </w:rPr>
        <w:t>资格预审文件</w:t>
      </w:r>
      <w:r>
        <w:rPr>
          <w:rFonts w:hint="eastAsia" w:ascii="宋体" w:hAnsi="宋体" w:cs="宋体"/>
          <w:bCs/>
          <w:sz w:val="24"/>
          <w:highlight w:val="white"/>
          <w:lang w:val="zh-CN"/>
        </w:rPr>
        <w:t>。（</w:t>
      </w:r>
      <w:r>
        <w:rPr>
          <w:rFonts w:hint="eastAsia" w:ascii="宋体" w:hAnsi="宋体" w:cs="宋体"/>
          <w:bCs/>
          <w:sz w:val="24"/>
          <w:highlight w:val="white"/>
          <w:lang w:val="en-US" w:eastAsia="zh-CN"/>
        </w:rPr>
        <w:t>不接受现场和邮寄报名方式。</w:t>
      </w:r>
      <w:r>
        <w:rPr>
          <w:rFonts w:hint="eastAsia" w:ascii="宋体" w:hAnsi="宋体" w:cs="宋体"/>
          <w:bCs/>
          <w:sz w:val="24"/>
          <w:highlight w:val="white"/>
          <w:lang w:val="zh-CN"/>
        </w:rPr>
        <w:t>）</w:t>
      </w:r>
    </w:p>
    <w:p>
      <w:pPr>
        <w:keepNext w:val="0"/>
        <w:keepLines w:val="0"/>
        <w:pageBreakBefore w:val="0"/>
        <w:widowControl w:val="0"/>
        <w:kinsoku/>
        <w:wordWrap/>
        <w:overflowPunct/>
        <w:topLinePunct w:val="0"/>
        <w:autoSpaceDE w:val="0"/>
        <w:autoSpaceDN w:val="0"/>
        <w:bidi w:val="0"/>
        <w:adjustRightInd/>
        <w:snapToGrid/>
        <w:spacing w:line="460" w:lineRule="exact"/>
        <w:ind w:firstLine="631" w:firstLineChars="263"/>
        <w:textAlignment w:val="auto"/>
        <w:rPr>
          <w:rFonts w:hint="eastAsia"/>
          <w:sz w:val="24"/>
        </w:rPr>
      </w:pPr>
      <w:r>
        <w:rPr>
          <w:rFonts w:hint="eastAsia" w:ascii="宋体" w:hAnsi="宋体"/>
          <w:sz w:val="24"/>
          <w:highlight w:val="white"/>
        </w:rPr>
        <w:t>资格预审的资格不能转让，递交</w:t>
      </w:r>
      <w:r>
        <w:rPr>
          <w:spacing w:val="-5"/>
          <w:sz w:val="24"/>
          <w:szCs w:val="24"/>
        </w:rPr>
        <w:t>资格预审文件</w:t>
      </w:r>
      <w:r>
        <w:rPr>
          <w:rFonts w:hint="eastAsia" w:ascii="宋体" w:hAnsi="宋体"/>
          <w:sz w:val="24"/>
          <w:highlight w:val="white"/>
        </w:rPr>
        <w:t>的供应商名称应与获取</w:t>
      </w:r>
      <w:r>
        <w:rPr>
          <w:spacing w:val="-5"/>
          <w:sz w:val="24"/>
          <w:szCs w:val="24"/>
        </w:rPr>
        <w:t>资格预审文件</w:t>
      </w:r>
      <w:r>
        <w:rPr>
          <w:rFonts w:hint="eastAsia" w:ascii="宋体" w:hAnsi="宋体"/>
          <w:sz w:val="24"/>
          <w:highlight w:val="white"/>
        </w:rPr>
        <w:t>的供应商名称一致，</w:t>
      </w:r>
      <w:r>
        <w:rPr>
          <w:spacing w:val="-5"/>
          <w:sz w:val="24"/>
          <w:szCs w:val="24"/>
        </w:rPr>
        <w:t>资格预审文件</w:t>
      </w:r>
      <w:r>
        <w:rPr>
          <w:rFonts w:hint="eastAsia" w:ascii="宋体" w:hAnsi="宋体"/>
          <w:sz w:val="24"/>
          <w:highlight w:val="white"/>
        </w:rPr>
        <w:t>上的采购项目编号、包号（如有分包）应与</w:t>
      </w:r>
      <w:r>
        <w:rPr>
          <w:rFonts w:hint="eastAsia" w:ascii="宋体" w:hAnsi="宋体" w:cs="宋体"/>
          <w:bCs/>
          <w:sz w:val="24"/>
          <w:highlight w:val="white"/>
          <w:lang w:val="zh-CN"/>
        </w:rPr>
        <w:t>登录公共资源交易服务网</w:t>
      </w:r>
      <w:r>
        <w:rPr>
          <w:rFonts w:hint="eastAsia" w:ascii="宋体" w:hAnsi="宋体" w:cs="Arial"/>
          <w:kern w:val="0"/>
          <w:sz w:val="24"/>
          <w:highlight w:val="white"/>
        </w:rPr>
        <w:t>下载的</w:t>
      </w:r>
      <w:r>
        <w:rPr>
          <w:rFonts w:hint="eastAsia" w:ascii="宋体" w:hAnsi="宋体"/>
          <w:sz w:val="24"/>
          <w:highlight w:val="white"/>
        </w:rPr>
        <w:t>采购项目名称编号、包号（如有分包）一致。</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sz w:val="24"/>
          <w:szCs w:val="24"/>
        </w:rPr>
      </w:pPr>
      <w:r>
        <w:rPr>
          <w:b/>
          <w:bCs/>
          <w:sz w:val="24"/>
          <w:szCs w:val="24"/>
        </w:rPr>
        <w:t>八、递交资格预审申请文件</w:t>
      </w:r>
      <w:r>
        <w:rPr>
          <w:rFonts w:hint="eastAsia"/>
          <w:b/>
          <w:bCs/>
          <w:sz w:val="24"/>
          <w:szCs w:val="24"/>
        </w:rPr>
        <w:t>开始及</w:t>
      </w:r>
      <w:r>
        <w:rPr>
          <w:b/>
          <w:bCs/>
          <w:sz w:val="24"/>
          <w:szCs w:val="24"/>
        </w:rPr>
        <w:t>截止时间：</w:t>
      </w:r>
      <w:r>
        <w:rPr>
          <w:color w:val="FF0000"/>
          <w:sz w:val="24"/>
          <w:szCs w:val="24"/>
        </w:rPr>
        <w:t>202</w:t>
      </w:r>
      <w:r>
        <w:rPr>
          <w:rFonts w:hint="eastAsia"/>
          <w:color w:val="FF0000"/>
          <w:sz w:val="24"/>
          <w:szCs w:val="24"/>
          <w:lang w:val="en-US" w:eastAsia="zh-CN"/>
        </w:rPr>
        <w:t>3</w:t>
      </w:r>
      <w:r>
        <w:rPr>
          <w:color w:val="FF0000"/>
          <w:sz w:val="24"/>
          <w:szCs w:val="24"/>
        </w:rPr>
        <w:t>年</w:t>
      </w:r>
      <w:r>
        <w:rPr>
          <w:rFonts w:hint="eastAsia"/>
          <w:color w:val="FF0000"/>
          <w:sz w:val="24"/>
          <w:szCs w:val="24"/>
          <w:lang w:val="en-US" w:eastAsia="zh-CN"/>
        </w:rPr>
        <w:t>4</w:t>
      </w:r>
      <w:r>
        <w:rPr>
          <w:color w:val="FF0000"/>
          <w:sz w:val="24"/>
          <w:szCs w:val="24"/>
        </w:rPr>
        <w:t>月</w:t>
      </w:r>
      <w:r>
        <w:rPr>
          <w:rFonts w:hint="eastAsia"/>
          <w:color w:val="FF0000"/>
          <w:sz w:val="24"/>
          <w:szCs w:val="24"/>
          <w:lang w:val="en-US" w:eastAsia="zh-CN"/>
        </w:rPr>
        <w:t>25</w:t>
      </w:r>
      <w:r>
        <w:rPr>
          <w:color w:val="FF0000"/>
          <w:sz w:val="24"/>
          <w:szCs w:val="24"/>
        </w:rPr>
        <w:t>日</w:t>
      </w:r>
      <w:r>
        <w:rPr>
          <w:rFonts w:hint="eastAsia"/>
          <w:color w:val="FF0000"/>
          <w:sz w:val="24"/>
          <w:szCs w:val="24"/>
          <w:lang w:val="en-US"/>
        </w:rPr>
        <w:t>9:00-9:30</w:t>
      </w:r>
      <w:r>
        <w:rPr>
          <w:sz w:val="24"/>
          <w:szCs w:val="24"/>
        </w:rPr>
        <w:t xml:space="preserve">（北京时间） </w:t>
      </w:r>
    </w:p>
    <w:p>
      <w:pPr>
        <w:keepNext w:val="0"/>
        <w:keepLines w:val="0"/>
        <w:pageBreakBefore w:val="0"/>
        <w:widowControl w:val="0"/>
        <w:tabs>
          <w:tab w:val="left" w:pos="6284"/>
        </w:tabs>
        <w:kinsoku/>
        <w:wordWrap/>
        <w:overflowPunct/>
        <w:topLinePunct w:val="0"/>
        <w:autoSpaceDE w:val="0"/>
        <w:autoSpaceDN w:val="0"/>
        <w:bidi w:val="0"/>
        <w:adjustRightInd/>
        <w:snapToGrid/>
        <w:spacing w:line="460" w:lineRule="exact"/>
        <w:ind w:firstLine="470" w:firstLineChars="195"/>
        <w:textAlignment w:val="auto"/>
        <w:rPr>
          <w:highlight w:val="none"/>
        </w:rPr>
      </w:pPr>
      <w:r>
        <w:rPr>
          <w:b/>
          <w:bCs/>
          <w:sz w:val="24"/>
          <w:szCs w:val="24"/>
        </w:rPr>
        <w:t>九、递交资格预审申请文件地点：</w:t>
      </w:r>
      <w:bookmarkStart w:id="12" w:name="EBc77c6ebe8ddf4241925118e9a0f68cdd"/>
      <w:r>
        <w:rPr>
          <w:rFonts w:hint="eastAsia"/>
          <w:color w:val="000000" w:themeColor="text1"/>
          <w:sz w:val="24"/>
          <w:highlight w:val="none"/>
          <w14:textFill>
            <w14:solidFill>
              <w14:schemeClr w14:val="tx1"/>
            </w14:solidFill>
          </w14:textFill>
        </w:rPr>
        <w:t>渠县政府采购中心</w:t>
      </w:r>
      <w:bookmarkEnd w:id="12"/>
      <w:r>
        <w:rPr>
          <w:rFonts w:hint="eastAsia"/>
          <w:color w:val="000000" w:themeColor="text1"/>
          <w:sz w:val="24"/>
          <w:highlight w:val="none"/>
          <w14:textFill>
            <w14:solidFill>
              <w14:schemeClr w14:val="tx1"/>
            </w14:solidFill>
          </w14:textFill>
        </w:rPr>
        <w:t>（</w:t>
      </w:r>
      <w:bookmarkStart w:id="13" w:name="EB5d71704c45e24328990594b74b5c8074"/>
      <w:r>
        <w:rPr>
          <w:rFonts w:hint="eastAsia"/>
          <w:color w:val="000000" w:themeColor="text1"/>
          <w:sz w:val="24"/>
          <w:highlight w:val="none"/>
          <w14:textFill>
            <w14:solidFill>
              <w14:schemeClr w14:val="tx1"/>
            </w14:solidFill>
          </w14:textFill>
        </w:rPr>
        <w:t>渠县</w:t>
      </w:r>
      <w:bookmarkEnd w:id="13"/>
      <w:r>
        <w:rPr>
          <w:rFonts w:hint="eastAsia"/>
          <w:color w:val="000000" w:themeColor="text1"/>
          <w:sz w:val="24"/>
          <w:highlight w:val="none"/>
          <w:lang w:val="en-US" w:eastAsia="zh-CN"/>
          <w14:textFill>
            <w14:solidFill>
              <w14:schemeClr w14:val="tx1"/>
            </w14:solidFill>
          </w14:textFill>
        </w:rPr>
        <w:t>小溪路宏溪苑三楼</w:t>
      </w:r>
      <w:r>
        <w:rPr>
          <w:rFonts w:hint="eastAsia"/>
          <w:color w:val="000000" w:themeColor="text1"/>
          <w:sz w:val="24"/>
          <w:highlight w:val="none"/>
          <w14:textFill>
            <w14:solidFill>
              <w14:schemeClr w14:val="tx1"/>
            </w14:solidFill>
          </w14:textFill>
        </w:rPr>
        <w:t>）</w:t>
      </w:r>
      <w:r>
        <w:rPr>
          <w:rFonts w:hint="eastAsia"/>
          <w:sz w:val="24"/>
          <w:highlight w:val="none"/>
        </w:rPr>
        <w:t>开标</w:t>
      </w:r>
      <w:r>
        <w:rPr>
          <w:rFonts w:hint="eastAsia" w:ascii="宋体" w:hAnsi="宋体" w:eastAsia="宋体" w:cs="宋体"/>
          <w:color w:val="FF0000"/>
          <w:spacing w:val="4"/>
          <w:sz w:val="22"/>
          <w:szCs w:val="22"/>
          <w:highlight w:val="none"/>
          <w:u w:val="single"/>
          <w:lang w:val="en-US" w:eastAsia="zh-CN" w:bidi="zh-CN"/>
        </w:rPr>
        <w:t xml:space="preserve"> </w:t>
      </w:r>
      <w:r>
        <w:rPr>
          <w:rFonts w:hint="eastAsia" w:cs="宋体"/>
          <w:color w:val="FF0000"/>
          <w:spacing w:val="4"/>
          <w:sz w:val="28"/>
          <w:szCs w:val="28"/>
          <w:highlight w:val="none"/>
          <w:u w:val="single"/>
          <w:lang w:val="en-US" w:eastAsia="zh-CN" w:bidi="zh-CN"/>
        </w:rPr>
        <w:t xml:space="preserve">1 </w:t>
      </w:r>
      <w:r>
        <w:rPr>
          <w:rFonts w:hint="eastAsia"/>
          <w:sz w:val="24"/>
          <w:highlight w:val="none"/>
        </w:rPr>
        <w:t>厅</w:t>
      </w:r>
      <w:r>
        <w:rPr>
          <w:sz w:val="24"/>
          <w:szCs w:val="24"/>
          <w:highlight w:val="none"/>
        </w:rPr>
        <w:t>。</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480"/>
        <w:jc w:val="both"/>
        <w:textAlignment w:val="auto"/>
      </w:pPr>
      <w:r>
        <w:t>资格预审申请文件必须在递交资格预审申请文件截止日期当日的截止时间前送达递交资格预审申请文件地点。逾期送达的资格预审申请文件，采购人、采购代理机构恕不接收。本次采购不接收邮寄的资格预审申请文件。</w:t>
      </w:r>
    </w:p>
    <w:p>
      <w:pPr>
        <w:keepNext w:val="0"/>
        <w:keepLines w:val="0"/>
        <w:pageBreakBefore w:val="0"/>
        <w:widowControl w:val="0"/>
        <w:kinsoku/>
        <w:wordWrap/>
        <w:overflowPunct/>
        <w:topLinePunct w:val="0"/>
        <w:autoSpaceDE w:val="0"/>
        <w:autoSpaceDN w:val="0"/>
        <w:bidi w:val="0"/>
        <w:adjustRightInd/>
        <w:snapToGrid/>
        <w:spacing w:line="460" w:lineRule="exact"/>
        <w:ind w:firstLine="766" w:firstLineChars="318"/>
        <w:jc w:val="both"/>
        <w:textAlignment w:val="auto"/>
        <w:rPr>
          <w:sz w:val="24"/>
        </w:rPr>
      </w:pPr>
      <w:r>
        <w:rPr>
          <w:b/>
          <w:sz w:val="24"/>
        </w:rPr>
        <w:t>十、资格预审申请开启时间及地点：</w:t>
      </w:r>
      <w:r>
        <w:rPr>
          <w:b w:val="0"/>
          <w:bCs/>
          <w:color w:val="FF0000"/>
          <w:sz w:val="24"/>
        </w:rPr>
        <w:t>202</w:t>
      </w:r>
      <w:r>
        <w:rPr>
          <w:rFonts w:hint="eastAsia"/>
          <w:b w:val="0"/>
          <w:bCs/>
          <w:color w:val="FF0000"/>
          <w:sz w:val="24"/>
          <w:lang w:val="en-US" w:eastAsia="zh-CN"/>
        </w:rPr>
        <w:t>3</w:t>
      </w:r>
      <w:r>
        <w:rPr>
          <w:b w:val="0"/>
          <w:bCs/>
          <w:color w:val="FF0000"/>
          <w:spacing w:val="-1"/>
          <w:sz w:val="24"/>
        </w:rPr>
        <w:t>年</w:t>
      </w:r>
      <w:r>
        <w:rPr>
          <w:rFonts w:hint="eastAsia"/>
          <w:b w:val="0"/>
          <w:bCs/>
          <w:color w:val="FF0000"/>
          <w:spacing w:val="-1"/>
          <w:sz w:val="24"/>
          <w:lang w:val="en-US" w:eastAsia="zh-CN"/>
        </w:rPr>
        <w:t>4</w:t>
      </w:r>
      <w:r>
        <w:rPr>
          <w:b w:val="0"/>
          <w:bCs/>
          <w:color w:val="FF0000"/>
          <w:spacing w:val="2"/>
          <w:sz w:val="24"/>
        </w:rPr>
        <w:t>月</w:t>
      </w:r>
      <w:r>
        <w:rPr>
          <w:rFonts w:hint="eastAsia"/>
          <w:b w:val="0"/>
          <w:bCs/>
          <w:color w:val="FF0000"/>
          <w:spacing w:val="2"/>
          <w:sz w:val="24"/>
          <w:lang w:val="en-US" w:eastAsia="zh-CN"/>
        </w:rPr>
        <w:t>25</w:t>
      </w:r>
      <w:bookmarkStart w:id="110" w:name="_GoBack"/>
      <w:bookmarkEnd w:id="110"/>
      <w:r>
        <w:rPr>
          <w:b w:val="0"/>
          <w:bCs/>
          <w:color w:val="FF0000"/>
          <w:spacing w:val="-12"/>
          <w:sz w:val="24"/>
        </w:rPr>
        <w:t>日</w:t>
      </w:r>
      <w:r>
        <w:rPr>
          <w:rFonts w:hint="eastAsia"/>
          <w:b w:val="0"/>
          <w:bCs/>
          <w:color w:val="FF0000"/>
          <w:spacing w:val="-12"/>
          <w:sz w:val="24"/>
          <w:lang w:val="en-US" w:eastAsia="zh-CN"/>
        </w:rPr>
        <w:t xml:space="preserve"> </w:t>
      </w:r>
      <w:r>
        <w:rPr>
          <w:rFonts w:hint="eastAsia"/>
          <w:b w:val="0"/>
          <w:bCs/>
          <w:color w:val="FF0000"/>
          <w:spacing w:val="-12"/>
          <w:sz w:val="24"/>
          <w:lang w:val="en-US"/>
        </w:rPr>
        <w:t>9:30</w:t>
      </w:r>
      <w:r>
        <w:rPr>
          <w:b w:val="0"/>
          <w:bCs/>
          <w:sz w:val="24"/>
        </w:rPr>
        <w:t>（</w:t>
      </w:r>
      <w:r>
        <w:rPr>
          <w:sz w:val="24"/>
        </w:rPr>
        <w:t>北京时间</w:t>
      </w:r>
      <w:r>
        <w:rPr>
          <w:spacing w:val="-10"/>
          <w:sz w:val="24"/>
        </w:rPr>
        <w:t>）</w:t>
      </w:r>
      <w:r>
        <w:rPr>
          <w:sz w:val="24"/>
        </w:rPr>
        <w:t>在递交资格预审申请文件地点开启。</w:t>
      </w:r>
    </w:p>
    <w:p>
      <w:pPr>
        <w:pStyle w:val="6"/>
        <w:keepNext w:val="0"/>
        <w:keepLines w:val="0"/>
        <w:pageBreakBefore w:val="0"/>
        <w:widowControl w:val="0"/>
        <w:kinsoku/>
        <w:wordWrap/>
        <w:overflowPunct/>
        <w:topLinePunct w:val="0"/>
        <w:autoSpaceDE w:val="0"/>
        <w:autoSpaceDN w:val="0"/>
        <w:bidi w:val="0"/>
        <w:adjustRightInd/>
        <w:snapToGrid/>
        <w:spacing w:line="460" w:lineRule="exact"/>
        <w:ind w:firstLine="241" w:firstLineChars="100"/>
        <w:textAlignment w:val="auto"/>
      </w:pPr>
      <w:bookmarkStart w:id="14" w:name="十一、联系方式"/>
      <w:bookmarkEnd w:id="14"/>
      <w:r>
        <w:t>十一、联系方式</w:t>
      </w:r>
    </w:p>
    <w:p>
      <w:pPr>
        <w:pStyle w:val="8"/>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宋体" w:cs="宋体"/>
          <w:color w:val="0000FF"/>
          <w:u w:val="single"/>
        </w:rPr>
      </w:pPr>
      <w:r>
        <w:rPr>
          <w:color w:val="0000FF"/>
        </w:rPr>
        <w:t>采</w:t>
      </w:r>
      <w:r>
        <w:rPr>
          <w:rFonts w:hint="eastAsia" w:ascii="宋体" w:hAnsi="宋体" w:eastAsia="宋体" w:cs="宋体"/>
          <w:color w:val="0000FF"/>
        </w:rPr>
        <w:t xml:space="preserve"> 购 人：</w:t>
      </w:r>
      <w:r>
        <w:rPr>
          <w:rFonts w:hint="eastAsia"/>
          <w:color w:val="0000FF"/>
          <w:u w:val="single"/>
          <w:lang w:val="en-US" w:eastAsia="zh-CN"/>
        </w:rPr>
        <w:t xml:space="preserve">渠县农兴集体经济发展有限责任公司    </w:t>
      </w:r>
    </w:p>
    <w:p>
      <w:pPr>
        <w:pStyle w:val="8"/>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eastAsia="宋体" w:cs="宋体"/>
          <w:color w:val="0000FF"/>
          <w:kern w:val="0"/>
          <w:sz w:val="24"/>
          <w:szCs w:val="24"/>
          <w:highlight w:val="none"/>
          <w:u w:val="single"/>
          <w:lang w:val="en-US" w:eastAsia="zh-CN"/>
        </w:rPr>
      </w:pPr>
      <w:r>
        <w:rPr>
          <w:rFonts w:hint="eastAsia" w:ascii="宋体" w:hAnsi="宋体" w:eastAsia="宋体" w:cs="宋体"/>
          <w:color w:val="0000FF"/>
        </w:rPr>
        <w:t>通讯地址：</w:t>
      </w:r>
      <w:r>
        <w:rPr>
          <w:rFonts w:hint="eastAsia" w:cs="宋体"/>
          <w:color w:val="0000FF"/>
          <w:u w:val="single"/>
          <w:lang w:eastAsia="zh-CN"/>
        </w:rPr>
        <w:t xml:space="preserve">渠县渠江街道南大街57号  </w:t>
      </w:r>
    </w:p>
    <w:p>
      <w:pPr>
        <w:pStyle w:val="8"/>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eastAsia" w:ascii="宋体" w:hAnsi="宋体" w:eastAsia="微软雅黑" w:cs="宋体"/>
          <w:color w:val="0000FF"/>
          <w:u w:val="single"/>
          <w:lang w:val="en-US" w:eastAsia="zh-CN"/>
        </w:rPr>
      </w:pPr>
      <w:r>
        <w:rPr>
          <w:rFonts w:hint="eastAsia" w:ascii="宋体" w:hAnsi="宋体" w:eastAsia="宋体" w:cs="宋体"/>
          <w:color w:val="0000FF"/>
        </w:rPr>
        <w:t>联 系 人：</w:t>
      </w:r>
      <w:r>
        <w:rPr>
          <w:rFonts w:hint="eastAsia" w:cs="宋体"/>
          <w:color w:val="0000FF"/>
          <w:u w:val="single"/>
          <w:lang w:val="en-US" w:eastAsia="zh-CN"/>
        </w:rPr>
        <w:t xml:space="preserve">张先生 </w:t>
      </w:r>
      <w:r>
        <w:rPr>
          <w:rFonts w:hint="eastAsia" w:ascii="宋体" w:hAnsi="宋体" w:eastAsia="宋体" w:cs="宋体"/>
          <w:color w:val="0000FF"/>
          <w:u w:val="single"/>
          <w:lang w:val="en-US" w:eastAsia="zh-CN"/>
        </w:rPr>
        <w:t xml:space="preserve">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8"/>
        <w:keepNext w:val="0"/>
        <w:keepLines w:val="0"/>
        <w:pageBreakBefore w:val="0"/>
        <w:widowControl w:val="0"/>
        <w:kinsoku/>
        <w:wordWrap/>
        <w:overflowPunct/>
        <w:topLinePunct w:val="0"/>
        <w:autoSpaceDE w:val="0"/>
        <w:autoSpaceDN w:val="0"/>
        <w:bidi w:val="0"/>
        <w:adjustRightInd/>
        <w:snapToGrid/>
        <w:spacing w:line="460" w:lineRule="exact"/>
        <w:jc w:val="both"/>
        <w:textAlignment w:val="auto"/>
        <w:rPr>
          <w:rFonts w:hint="default" w:ascii="宋体" w:hAnsi="宋体" w:eastAsia="宋体" w:cs="宋体"/>
          <w:color w:val="0000FF"/>
          <w:lang w:val="en-US"/>
        </w:rPr>
      </w:pPr>
      <w:r>
        <w:rPr>
          <w:rFonts w:hint="eastAsia" w:ascii="宋体" w:hAnsi="宋体" w:eastAsia="宋体" w:cs="宋体"/>
          <w:color w:val="0000FF"/>
        </w:rPr>
        <w:t>联系电话：</w:t>
      </w:r>
      <w:r>
        <w:rPr>
          <w:rFonts w:hint="eastAsia" w:cs="宋体"/>
          <w:color w:val="0000FF"/>
          <w:u w:val="single"/>
          <w:lang w:val="en-US" w:eastAsia="zh-CN"/>
        </w:rPr>
        <w:t xml:space="preserve">15884733888 </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color w:val="FF0000"/>
          <w:lang w:val="en-US"/>
        </w:rPr>
      </w:pPr>
    </w:p>
    <w:p>
      <w:pPr>
        <w:pStyle w:val="8"/>
        <w:keepNext w:val="0"/>
        <w:keepLines w:val="0"/>
        <w:pageBreakBefore w:val="0"/>
        <w:widowControl w:val="0"/>
        <w:kinsoku/>
        <w:wordWrap/>
        <w:overflowPunct/>
        <w:topLinePunct w:val="0"/>
        <w:autoSpaceDE w:val="0"/>
        <w:autoSpaceDN w:val="0"/>
        <w:bidi w:val="0"/>
        <w:adjustRightInd/>
        <w:snapToGrid/>
        <w:spacing w:line="460" w:lineRule="exact"/>
        <w:textAlignment w:val="auto"/>
        <w:rPr>
          <w:color w:val="0000FF"/>
        </w:rPr>
      </w:pPr>
      <w:r>
        <w:rPr>
          <w:color w:val="0000FF"/>
        </w:rPr>
        <w:t>采购代理机构：</w:t>
      </w:r>
      <w:r>
        <w:rPr>
          <w:rFonts w:hint="eastAsia"/>
          <w:color w:val="0000FF"/>
        </w:rPr>
        <w:t>渠县政府采购中心</w:t>
      </w:r>
    </w:p>
    <w:p>
      <w:pPr>
        <w:pStyle w:val="8"/>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eastAsia" w:cs="宋体"/>
          <w:color w:val="0000FF"/>
          <w:lang w:val="en-US" w:eastAsia="zh-CN"/>
        </w:rPr>
      </w:pPr>
      <w:r>
        <w:rPr>
          <w:rFonts w:ascii="宋体" w:hAnsi="宋体" w:eastAsia="宋体" w:cs="宋体"/>
          <w:color w:val="0000FF"/>
        </w:rPr>
        <w:t>通讯地址：</w:t>
      </w:r>
      <w:r>
        <w:rPr>
          <w:rFonts w:hint="eastAsia" w:ascii="宋体" w:hAnsi="宋体" w:eastAsia="宋体" w:cs="宋体"/>
          <w:color w:val="0000FF"/>
        </w:rPr>
        <w:t>渠县</w:t>
      </w:r>
      <w:r>
        <w:rPr>
          <w:rFonts w:hint="eastAsia" w:cs="宋体"/>
          <w:color w:val="0000FF"/>
          <w:lang w:val="en-US" w:eastAsia="zh-CN"/>
        </w:rPr>
        <w:t>小溪路宏溪苑三楼</w:t>
      </w:r>
    </w:p>
    <w:p>
      <w:pPr>
        <w:pStyle w:val="8"/>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ascii="宋体" w:hAnsi="宋体" w:eastAsia="宋体" w:cs="宋体"/>
          <w:color w:val="0000FF"/>
        </w:rPr>
      </w:pPr>
      <w:r>
        <w:rPr>
          <w:rFonts w:hint="eastAsia" w:ascii="宋体" w:hAnsi="宋体" w:eastAsia="宋体" w:cs="宋体"/>
          <w:color w:val="0000FF"/>
        </w:rPr>
        <w:t>联</w:t>
      </w:r>
      <w:r>
        <w:rPr>
          <w:rFonts w:hint="eastAsia" w:ascii="宋体" w:hAnsi="宋体" w:eastAsia="宋体" w:cs="宋体"/>
          <w:color w:val="0000FF"/>
          <w:lang w:val="en-US" w:eastAsia="zh-CN"/>
        </w:rPr>
        <w:t xml:space="preserve"> </w:t>
      </w:r>
      <w:r>
        <w:rPr>
          <w:rFonts w:hint="eastAsia" w:ascii="宋体" w:hAnsi="宋体" w:eastAsia="宋体" w:cs="宋体"/>
          <w:color w:val="0000FF"/>
        </w:rPr>
        <w:t>系</w:t>
      </w:r>
      <w:r>
        <w:rPr>
          <w:rFonts w:hint="eastAsia" w:ascii="宋体" w:hAnsi="宋体" w:eastAsia="宋体" w:cs="宋体"/>
          <w:color w:val="0000FF"/>
          <w:lang w:val="en-US" w:eastAsia="zh-CN"/>
        </w:rPr>
        <w:t xml:space="preserve"> </w:t>
      </w:r>
      <w:r>
        <w:rPr>
          <w:rFonts w:hint="eastAsia" w:ascii="宋体" w:hAnsi="宋体" w:eastAsia="宋体" w:cs="宋体"/>
          <w:color w:val="0000FF"/>
        </w:rPr>
        <w:t>人：</w:t>
      </w:r>
      <w:bookmarkStart w:id="15" w:name="EB5ab10aa4a30f42ad8ef15abc09f629db"/>
      <w:r>
        <w:rPr>
          <w:rFonts w:hint="eastAsia" w:ascii="宋体" w:hAnsi="宋体" w:eastAsia="宋体" w:cs="宋体"/>
          <w:color w:val="0000FF"/>
        </w:rPr>
        <w:t>宋先生</w:t>
      </w:r>
      <w:bookmarkEnd w:id="15"/>
    </w:p>
    <w:p>
      <w:pPr>
        <w:pStyle w:val="8"/>
        <w:keepNext w:val="0"/>
        <w:keepLines w:val="0"/>
        <w:pageBreakBefore w:val="0"/>
        <w:widowControl w:val="0"/>
        <w:kinsoku/>
        <w:wordWrap/>
        <w:overflowPunct/>
        <w:topLinePunct w:val="0"/>
        <w:autoSpaceDE w:val="0"/>
        <w:autoSpaceDN w:val="0"/>
        <w:bidi w:val="0"/>
        <w:adjustRightInd/>
        <w:snapToGrid/>
        <w:spacing w:line="460" w:lineRule="exact"/>
        <w:textAlignment w:val="auto"/>
        <w:rPr>
          <w:rFonts w:hint="default" w:ascii="宋体" w:hAnsi="宋体" w:eastAsia="宋体" w:cs="宋体"/>
          <w:color w:val="0000FF"/>
          <w:lang w:val="en-US" w:eastAsia="zh-CN"/>
        </w:rPr>
      </w:pPr>
      <w:r>
        <w:rPr>
          <w:rFonts w:hint="eastAsia" w:ascii="宋体" w:hAnsi="宋体" w:eastAsia="宋体" w:cs="宋体"/>
          <w:color w:val="0000FF"/>
        </w:rPr>
        <w:t>联系电话：</w:t>
      </w:r>
      <w:bookmarkStart w:id="16" w:name="EBa6b3371576ed498d85c4772c79e6821f"/>
      <w:r>
        <w:rPr>
          <w:rFonts w:hint="eastAsia" w:ascii="宋体" w:hAnsi="宋体" w:eastAsia="宋体" w:cs="宋体"/>
          <w:color w:val="0000FF"/>
        </w:rPr>
        <w:t>0818-</w:t>
      </w:r>
      <w:bookmarkEnd w:id="16"/>
      <w:r>
        <w:rPr>
          <w:rFonts w:hint="eastAsia" w:cs="宋体"/>
          <w:color w:val="0000FF"/>
          <w:lang w:val="en-US" w:eastAsia="zh-CN"/>
        </w:rPr>
        <w:t>7151070</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960" w:firstLineChars="400"/>
        <w:textAlignment w:val="auto"/>
        <w:rPr>
          <w:rFonts w:ascii="宋体" w:hAnsi="宋体" w:eastAsia="宋体" w:cs="宋体"/>
          <w:lang w:val="en-US"/>
        </w:rPr>
      </w:pPr>
    </w:p>
    <w:p>
      <w:pPr>
        <w:pStyle w:val="13"/>
        <w:jc w:val="both"/>
        <w:outlineLvl w:val="9"/>
        <w:rPr>
          <w:lang w:val="en-US"/>
        </w:rPr>
        <w:sectPr>
          <w:headerReference r:id="rId5" w:type="default"/>
          <w:pgSz w:w="11910" w:h="16840"/>
          <w:pgMar w:top="1440" w:right="1800" w:bottom="1440" w:left="1800" w:header="0" w:footer="606" w:gutter="0"/>
          <w:pgNumType w:fmt="decimal"/>
          <w:cols w:space="720" w:num="1"/>
        </w:sectPr>
      </w:pPr>
    </w:p>
    <w:p>
      <w:pPr>
        <w:pStyle w:val="8"/>
        <w:spacing w:before="5"/>
        <w:rPr>
          <w:sz w:val="3"/>
        </w:rPr>
      </w:pPr>
    </w:p>
    <w:p>
      <w:pPr>
        <w:pStyle w:val="8"/>
        <w:spacing w:before="5"/>
        <w:rPr>
          <w:sz w:val="3"/>
        </w:rPr>
      </w:pPr>
      <w:bookmarkStart w:id="17" w:name="六、禁止参加资格预审的申请人："/>
      <w:bookmarkEnd w:id="17"/>
    </w:p>
    <w:p>
      <w:pPr>
        <w:pStyle w:val="8"/>
        <w:spacing w:line="20" w:lineRule="exact"/>
        <w:ind w:left="382"/>
        <w:rPr>
          <w:sz w:val="2"/>
        </w:rPr>
      </w:pPr>
    </w:p>
    <w:p>
      <w:pPr>
        <w:pStyle w:val="8"/>
        <w:spacing w:before="9"/>
        <w:rPr>
          <w:sz w:val="7"/>
        </w:rPr>
      </w:pPr>
    </w:p>
    <w:p>
      <w:pPr>
        <w:pStyle w:val="3"/>
        <w:ind w:right="189"/>
      </w:pPr>
      <w:bookmarkStart w:id="18" w:name="第二章_资格预审申请人须知"/>
      <w:bookmarkEnd w:id="18"/>
      <w:bookmarkStart w:id="19" w:name="_Toc19387"/>
      <w:r>
        <w:t>第二章 资格预审申请人须知</w:t>
      </w:r>
      <w:bookmarkEnd w:id="19"/>
    </w:p>
    <w:p>
      <w:pPr>
        <w:pStyle w:val="5"/>
        <w:spacing w:before="139"/>
        <w:ind w:right="189"/>
      </w:pPr>
      <w:bookmarkStart w:id="20" w:name="一、资格预审申请人须知附表"/>
      <w:bookmarkEnd w:id="20"/>
      <w:bookmarkStart w:id="21" w:name="_Toc16775"/>
      <w:r>
        <w:t>一、资格预审申请人须知附表</w:t>
      </w:r>
      <w:bookmarkEnd w:id="21"/>
    </w:p>
    <w:tbl>
      <w:tblPr>
        <w:tblStyle w:val="19"/>
        <w:tblW w:w="5186" w:type="pct"/>
        <w:tblInd w:w="-17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33"/>
        <w:gridCol w:w="1869"/>
        <w:gridCol w:w="73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序</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rPr>
            </w:pPr>
            <w:r>
              <w:rPr>
                <w:rFonts w:hint="default" w:ascii="宋体" w:hAnsi="宋体" w:eastAsia="宋体" w:cs="宋体"/>
                <w:sz w:val="21"/>
              </w:rPr>
              <w:t>号</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b w:val="0"/>
                <w:bCs w:val="0"/>
                <w:sz w:val="21"/>
              </w:rPr>
            </w:pPr>
            <w:r>
              <w:rPr>
                <w:rFonts w:hint="default" w:ascii="宋体" w:hAnsi="宋体" w:eastAsia="宋体" w:cs="宋体"/>
                <w:b w:val="0"/>
                <w:bCs w:val="0"/>
                <w:sz w:val="21"/>
              </w:rPr>
              <w:t>条款名称</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b w:val="0"/>
                <w:bCs w:val="0"/>
                <w:sz w:val="21"/>
              </w:rPr>
            </w:pPr>
            <w:r>
              <w:rPr>
                <w:rFonts w:hint="default" w:ascii="宋体" w:hAnsi="宋体" w:eastAsia="宋体" w:cs="宋体"/>
                <w:b w:val="0"/>
                <w:bCs w:val="0"/>
                <w:sz w:val="21"/>
              </w:rPr>
              <w:t>说明和要求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4" w:hRule="atLeast"/>
        </w:trPr>
        <w:tc>
          <w:tcPr>
            <w:tcW w:w="461" w:type="pct"/>
            <w:tcBorders>
              <w:top w:val="nil"/>
            </w:tcBorders>
          </w:tcPr>
          <w:p>
            <w:pPr>
              <w:keepNext w:val="0"/>
              <w:keepLines w:val="0"/>
              <w:suppressLineNumbers w:val="0"/>
              <w:spacing w:before="0" w:beforeAutospacing="0" w:after="0" w:afterAutospacing="0"/>
              <w:ind w:left="0" w:right="0" w:firstLine="420" w:firstLineChars="200"/>
              <w:rPr>
                <w:rFonts w:hint="eastAsia" w:cs="宋体"/>
                <w:sz w:val="21"/>
                <w:szCs w:val="22"/>
                <w:lang w:val="en-US" w:eastAsia="zh-CN" w:bidi="zh-CN"/>
              </w:rPr>
            </w:pPr>
          </w:p>
          <w:p>
            <w:pPr>
              <w:keepNext w:val="0"/>
              <w:keepLines w:val="0"/>
              <w:suppressLineNumbers w:val="0"/>
              <w:spacing w:before="0" w:beforeAutospacing="0" w:after="0" w:afterAutospacing="0"/>
              <w:ind w:left="0" w:right="0" w:firstLine="420" w:firstLineChars="200"/>
              <w:rPr>
                <w:rFonts w:hint="default" w:ascii="宋体" w:hAnsi="宋体" w:eastAsia="宋体" w:cs="宋体"/>
                <w:sz w:val="21"/>
                <w:szCs w:val="22"/>
                <w:lang w:val="en-US" w:eastAsia="zh-CN" w:bidi="zh-CN"/>
              </w:rPr>
            </w:pPr>
            <w:r>
              <w:rPr>
                <w:rFonts w:hint="eastAsia" w:cs="宋体"/>
                <w:sz w:val="21"/>
                <w:szCs w:val="22"/>
                <w:lang w:val="en-US" w:eastAsia="zh-CN" w:bidi="zh-CN"/>
              </w:rPr>
              <w:t xml:space="preserve">1 </w:t>
            </w:r>
          </w:p>
        </w:tc>
        <w:tc>
          <w:tcPr>
            <w:tcW w:w="923" w:type="pct"/>
            <w:vAlign w:val="center"/>
          </w:tcPr>
          <w:p>
            <w:pPr>
              <w:pStyle w:val="25"/>
              <w:keepNext w:val="0"/>
              <w:keepLines w:val="0"/>
              <w:suppressLineNumbers w:val="0"/>
              <w:spacing w:before="130"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最高限价（实质性要求）</w:t>
            </w:r>
          </w:p>
        </w:tc>
        <w:tc>
          <w:tcPr>
            <w:tcW w:w="3615" w:type="pct"/>
            <w:vAlign w:val="center"/>
          </w:tcPr>
          <w:p>
            <w:pPr>
              <w:pStyle w:val="25"/>
              <w:keepNext w:val="0"/>
              <w:keepLines w:val="0"/>
              <w:suppressLineNumbers w:val="0"/>
              <w:spacing w:before="130"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人民币</w:t>
            </w:r>
            <w:r>
              <w:rPr>
                <w:rFonts w:hint="eastAsia" w:asciiTheme="minorEastAsia" w:hAnsiTheme="minorEastAsia" w:eastAsiaTheme="minorEastAsia" w:cstheme="minorEastAsia"/>
                <w:color w:val="0000FF"/>
                <w:sz w:val="24"/>
                <w:szCs w:val="24"/>
                <w:u w:val="single"/>
                <w:lang w:val="zh-CN" w:eastAsia="zh-CN" w:bidi="zh-CN"/>
              </w:rPr>
              <w:t xml:space="preserve"> 194.5407</w:t>
            </w:r>
            <w:r>
              <w:rPr>
                <w:rFonts w:hint="eastAsia" w:asciiTheme="minorEastAsia" w:hAnsiTheme="minorEastAsia" w:eastAsiaTheme="minorEastAsia" w:cstheme="minorEastAsia"/>
                <w:color w:val="0000FF"/>
                <w:sz w:val="24"/>
                <w:szCs w:val="24"/>
                <w:u w:val="single"/>
                <w:lang w:val="en-US" w:eastAsia="zh-CN" w:bidi="zh-CN"/>
              </w:rPr>
              <w:t xml:space="preserve"> </w:t>
            </w:r>
            <w:r>
              <w:rPr>
                <w:rFonts w:hint="eastAsia" w:asciiTheme="minorEastAsia" w:hAnsiTheme="minorEastAsia" w:eastAsiaTheme="minorEastAsia" w:cstheme="minorEastAsia"/>
                <w:sz w:val="21"/>
                <w:szCs w:val="21"/>
                <w:lang w:val="zh-CN" w:eastAsia="zh-CN" w:bidi="zh-CN"/>
              </w:rPr>
              <w:t>万元，</w:t>
            </w:r>
            <w:r>
              <w:rPr>
                <w:rFonts w:hint="eastAsia" w:asciiTheme="minorEastAsia" w:hAnsiTheme="minorEastAsia" w:eastAsiaTheme="minorEastAsia" w:cstheme="minorEastAsia"/>
                <w:sz w:val="24"/>
                <w:szCs w:val="24"/>
                <w:lang w:val="zh-CN" w:eastAsia="zh-CN" w:bidi="zh-CN"/>
              </w:rPr>
              <w:t>超过最高限价的报价为无效报价。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2</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Theme="minorEastAsia" w:hAnsiTheme="minorEastAsia" w:eastAsiaTheme="minorEastAsia" w:cstheme="minorEastAsia"/>
                <w:sz w:val="21"/>
                <w:szCs w:val="21"/>
                <w:lang w:val="en-US" w:eastAsia="zh-CN" w:bidi="zh-CN"/>
              </w:rPr>
            </w:pPr>
            <w:r>
              <w:rPr>
                <w:rFonts w:hint="eastAsia" w:eastAsiaTheme="minorEastAsia"/>
                <w:szCs w:val="21"/>
                <w:lang w:val="en-US" w:eastAsia="zh-CN"/>
              </w:rPr>
              <w:t>项目类型</w:t>
            </w:r>
          </w:p>
        </w:tc>
        <w:tc>
          <w:tcPr>
            <w:tcW w:w="3615" w:type="pct"/>
            <w:vAlign w:val="center"/>
          </w:tcPr>
          <w:p>
            <w:pPr>
              <w:keepNext w:val="0"/>
              <w:keepLines w:val="0"/>
              <w:suppressLineNumbers w:val="0"/>
              <w:spacing w:before="0" w:beforeAutospacing="0" w:after="0" w:afterAutospacing="0"/>
              <w:ind w:left="0" w:right="0" w:firstLine="420" w:firstLineChars="200"/>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1"/>
                <w:szCs w:val="21"/>
                <w:lang w:val="en-US" w:eastAsia="zh-CN" w:bidi="zh-CN"/>
              </w:rPr>
              <w:t>根据《四川省政府采购促进中小企业发展若干规定》（川财采[2016]35号）的规定，本次采购项目系：</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1、</w:t>
            </w:r>
            <w:r>
              <w:rPr>
                <w:rFonts w:hint="eastAsia" w:asciiTheme="minorEastAsia" w:hAnsiTheme="minorEastAsia" w:eastAsiaTheme="minorEastAsia" w:cstheme="minorEastAsia"/>
                <w:color w:val="1D41D5"/>
                <w:sz w:val="21"/>
                <w:szCs w:val="21"/>
                <w:lang w:val="zh-CN" w:eastAsia="zh-CN" w:bidi="zh-CN"/>
              </w:rPr>
              <w:sym w:font="Wingdings 2" w:char="00A3"/>
            </w:r>
            <w:r>
              <w:rPr>
                <w:rFonts w:hint="eastAsia" w:asciiTheme="minorEastAsia" w:hAnsiTheme="minorEastAsia" w:eastAsiaTheme="minorEastAsia" w:cstheme="minorEastAsia"/>
                <w:color w:val="1D41D5"/>
                <w:sz w:val="21"/>
                <w:szCs w:val="21"/>
                <w:lang w:val="zh-CN" w:eastAsia="zh-CN" w:bidi="zh-CN"/>
              </w:rPr>
              <w:t xml:space="preserve"> 一般采购项目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2、</w:t>
            </w:r>
            <w:r>
              <w:rPr>
                <w:rFonts w:hint="eastAsia" w:asciiTheme="minorEastAsia" w:hAnsiTheme="minorEastAsia" w:eastAsiaTheme="minorEastAsia" w:cstheme="minorEastAsia"/>
                <w:color w:val="1D41D5"/>
                <w:sz w:val="21"/>
                <w:szCs w:val="21"/>
                <w:lang w:val="zh-CN" w:eastAsia="zh-CN" w:bidi="zh-CN"/>
              </w:rPr>
              <w:sym w:font="Wingdings 2" w:char="0052"/>
            </w:r>
            <w:r>
              <w:rPr>
                <w:rFonts w:hint="eastAsia" w:asciiTheme="minorEastAsia" w:hAnsiTheme="minorEastAsia" w:eastAsiaTheme="minorEastAsia" w:cstheme="minorEastAsia"/>
                <w:color w:val="1D41D5"/>
                <w:sz w:val="21"/>
                <w:szCs w:val="21"/>
                <w:lang w:val="zh-CN" w:eastAsia="zh-CN" w:bidi="zh-CN"/>
              </w:rPr>
              <w:t>专门面向中小企业的采购项目</w:t>
            </w:r>
          </w:p>
          <w:p>
            <w:pPr>
              <w:pStyle w:val="38"/>
              <w:keepNext w:val="0"/>
              <w:keepLines w:val="0"/>
              <w:numPr>
                <w:ilvl w:val="1"/>
                <w:numId w:val="0"/>
              </w:numPr>
              <w:suppressLineNumbers w:val="0"/>
              <w:tabs>
                <w:tab w:val="left" w:pos="700"/>
              </w:tabs>
              <w:snapToGrid w:val="0"/>
              <w:spacing w:before="0" w:beforeAutospacing="0" w:after="0" w:afterAutospacing="0" w:line="360" w:lineRule="auto"/>
              <w:ind w:left="0" w:right="0" w:firstLine="210" w:firstLineChars="100"/>
              <w:jc w:val="both"/>
              <w:rPr>
                <w:rFonts w:hint="eastAsia" w:asciiTheme="minorEastAsia" w:hAnsiTheme="minorEastAsia" w:eastAsiaTheme="minorEastAsia" w:cstheme="minorEastAsia"/>
                <w:color w:val="1D41D5"/>
                <w:sz w:val="21"/>
                <w:szCs w:val="21"/>
                <w:lang w:val="zh-CN" w:eastAsia="zh-CN" w:bidi="zh-CN"/>
              </w:rPr>
            </w:pPr>
            <w:r>
              <w:rPr>
                <w:rFonts w:hint="eastAsia" w:asciiTheme="minorEastAsia" w:hAnsiTheme="minorEastAsia" w:eastAsiaTheme="minorEastAsia" w:cstheme="minorEastAsia"/>
                <w:color w:val="1D41D5"/>
                <w:sz w:val="21"/>
                <w:szCs w:val="21"/>
                <w:lang w:val="en-US" w:eastAsia="zh-CN" w:bidi="zh-CN"/>
              </w:rPr>
              <w:t>3、</w:t>
            </w:r>
            <w:r>
              <w:rPr>
                <w:rFonts w:hint="eastAsia" w:asciiTheme="minorEastAsia" w:hAnsiTheme="minorEastAsia" w:eastAsiaTheme="minorEastAsia" w:cstheme="minorEastAsia"/>
                <w:color w:val="1D41D5"/>
                <w:sz w:val="21"/>
                <w:szCs w:val="21"/>
                <w:lang w:val="zh-CN" w:eastAsia="zh-CN" w:bidi="zh-CN"/>
              </w:rPr>
              <w:t>□专门面向小微企业的采购项目</w:t>
            </w:r>
          </w:p>
          <w:p>
            <w:pPr>
              <w:pStyle w:val="25"/>
              <w:keepNext w:val="0"/>
              <w:keepLines w:val="0"/>
              <w:suppressLineNumbers w:val="0"/>
              <w:spacing w:before="134" w:beforeAutospacing="0" w:after="0" w:afterAutospacing="0"/>
              <w:ind w:left="0" w:right="0" w:firstLine="240" w:firstLineChars="100"/>
              <w:jc w:val="both"/>
              <w:rPr>
                <w:rFonts w:hint="eastAsia" w:asciiTheme="minorEastAsia" w:hAnsiTheme="minorEastAsia" w:eastAsiaTheme="minorEastAsia" w:cstheme="minorEastAsia"/>
                <w:sz w:val="21"/>
                <w:szCs w:val="21"/>
                <w:lang w:val="en-US" w:eastAsia="zh-CN" w:bidi="zh-CN"/>
              </w:rPr>
            </w:pPr>
            <w:r>
              <w:rPr>
                <w:rFonts w:hint="eastAsia" w:asciiTheme="minorEastAsia" w:hAnsiTheme="minorEastAsia" w:eastAsiaTheme="minorEastAsia" w:cstheme="minorEastAsia"/>
                <w:sz w:val="24"/>
                <w:szCs w:val="24"/>
                <w:lang w:val="en-US" w:eastAsia="zh-CN" w:bidi="zh-CN"/>
              </w:rPr>
              <w:t>本项目标的所属行业：</w:t>
            </w:r>
            <w:r>
              <w:rPr>
                <w:rFonts w:hint="eastAsia" w:asciiTheme="minorEastAsia" w:hAnsiTheme="minorEastAsia" w:eastAsiaTheme="minorEastAsia" w:cstheme="minorEastAsia"/>
                <w:color w:val="0000FF"/>
                <w:sz w:val="24"/>
                <w:szCs w:val="24"/>
                <w:lang w:val="en-US" w:eastAsia="zh-CN" w:bidi="zh-CN"/>
              </w:rPr>
              <w:t>建筑业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3</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采购方式</w:t>
            </w:r>
          </w:p>
        </w:tc>
        <w:tc>
          <w:tcPr>
            <w:tcW w:w="3615" w:type="pct"/>
            <w:vAlign w:val="center"/>
          </w:tcPr>
          <w:p>
            <w:pPr>
              <w:pStyle w:val="25"/>
              <w:keepNext w:val="0"/>
              <w:keepLines w:val="0"/>
              <w:suppressLineNumbers w:val="0"/>
              <w:spacing w:before="134" w:beforeAutospacing="0" w:after="0" w:afterAutospacing="0"/>
              <w:ind w:left="0" w:right="0" w:firstLine="420" w:firstLineChars="2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461" w:type="pct"/>
            <w:vAlign w:val="top"/>
          </w:tcPr>
          <w:p>
            <w:pPr>
              <w:pStyle w:val="25"/>
              <w:keepNext w:val="0"/>
              <w:keepLines w:val="0"/>
              <w:suppressLineNumbers w:val="0"/>
              <w:spacing w:before="134" w:beforeAutospacing="0" w:after="0" w:afterAutospacing="0"/>
              <w:ind w:left="46" w:leftChars="0" w:right="0" w:rightChars="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4</w:t>
            </w:r>
          </w:p>
        </w:tc>
        <w:tc>
          <w:tcPr>
            <w:tcW w:w="923" w:type="pct"/>
            <w:vAlign w:val="center"/>
          </w:tcPr>
          <w:p>
            <w:pPr>
              <w:pStyle w:val="25"/>
              <w:keepNext w:val="0"/>
              <w:keepLines w:val="0"/>
              <w:suppressLineNumbers w:val="0"/>
              <w:spacing w:before="134" w:beforeAutospacing="0" w:after="0" w:afterAutospacing="0"/>
              <w:ind w:left="46" w:leftChars="0" w:right="0" w:rightChars="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联合体</w:t>
            </w:r>
          </w:p>
        </w:tc>
        <w:tc>
          <w:tcPr>
            <w:tcW w:w="3615" w:type="pct"/>
            <w:vAlign w:val="center"/>
          </w:tcPr>
          <w:p>
            <w:pPr>
              <w:pStyle w:val="25"/>
              <w:keepNext w:val="0"/>
              <w:keepLines w:val="0"/>
              <w:suppressLineNumbers w:val="0"/>
              <w:spacing w:before="134" w:beforeAutospacing="0" w:after="0" w:afterAutospacing="0"/>
              <w:ind w:left="46" w:leftChars="0" w:right="0" w:rightChars="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不接受联合体投标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5</w:t>
            </w:r>
          </w:p>
        </w:tc>
        <w:tc>
          <w:tcPr>
            <w:tcW w:w="923" w:type="pct"/>
            <w:vAlign w:val="center"/>
          </w:tcPr>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资格预审申请</w:t>
            </w:r>
          </w:p>
          <w:p>
            <w:pPr>
              <w:pStyle w:val="25"/>
              <w:keepNext w:val="0"/>
              <w:keepLines w:val="0"/>
              <w:suppressLineNumbers w:val="0"/>
              <w:spacing w:before="134" w:beforeAutospacing="0" w:after="0" w:afterAutospacing="0"/>
              <w:ind w:left="46" w:right="0"/>
              <w:jc w:val="center"/>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sz w:val="21"/>
                <w:szCs w:val="21"/>
                <w:lang w:val="zh-CN" w:eastAsia="zh-CN" w:bidi="zh-CN"/>
              </w:rPr>
              <w:t>文件数量</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eastAsia" w:asciiTheme="minorEastAsia" w:hAnsiTheme="minorEastAsia" w:eastAsiaTheme="minorEastAsia" w:cstheme="minorEastAsia"/>
                <w:sz w:val="21"/>
                <w:szCs w:val="21"/>
                <w:lang w:val="zh-CN" w:eastAsia="zh-CN" w:bidi="zh-CN"/>
              </w:rPr>
            </w:pPr>
            <w:r>
              <w:rPr>
                <w:rFonts w:hint="eastAsia" w:asciiTheme="minorEastAsia" w:hAnsiTheme="minorEastAsia" w:eastAsiaTheme="minorEastAsia" w:cstheme="minorEastAsia"/>
                <w:color w:val="0000FF"/>
                <w:sz w:val="21"/>
                <w:szCs w:val="21"/>
                <w:lang w:val="zh-CN" w:eastAsia="zh-CN" w:bidi="zh-CN"/>
              </w:rPr>
              <w:t>正本一份，副本两份。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9"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6</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合格的申请人在评审阶段资格发生变化的，申请人应书面通知采购人和采购代理机构，并按本资格预审文件要求另行提供资格预审申请文件，采购人审查后，若不能满足本项目资格要求的，其申请文件作无效处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3"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7</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w:t>
            </w: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文件咨询</w:t>
            </w:r>
          </w:p>
        </w:tc>
        <w:tc>
          <w:tcPr>
            <w:tcW w:w="3615" w:type="pct"/>
            <w:vAlign w:val="center"/>
          </w:tcPr>
          <w:p>
            <w:pPr>
              <w:pStyle w:val="25"/>
              <w:keepNext w:val="0"/>
              <w:keepLines w:val="0"/>
              <w:suppressLineNumbers w:val="0"/>
              <w:spacing w:before="134" w:beforeAutospacing="0" w:after="0" w:afterAutospacing="0"/>
              <w:ind w:left="0"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联系人、联系电话：详见第一章资格预审中的采购代理机构联系方式。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1"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8</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申请人询问/质疑</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1．对资格预审文件资格要求的询问、质疑：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质疑时间：领取资格预审文件之日起七个工作日内。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2．对资格预审过程和结果的询问、质疑：</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以书面形式向采购人或采购代理机构提出质疑，并由采购人按相关规定作出答复或采购代理机构在委托授权范围内作出答复。</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对资格预审过程质疑时间：为预审程序环节结束之日起七个工作日内。</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对资格预审结果提出质疑时间：为资格预审结果通知之日起七个工作日内。</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1"/>
                <w:lang w:val="zh-CN" w:eastAsia="zh-CN" w:bidi="zh-CN"/>
              </w:rPr>
            </w:pPr>
            <w:r>
              <w:rPr>
                <w:rFonts w:hint="default" w:ascii="宋体" w:hAnsi="宋体" w:eastAsia="宋体" w:cs="宋体"/>
                <w:sz w:val="21"/>
                <w:szCs w:val="21"/>
                <w:lang w:val="zh-CN" w:eastAsia="zh-CN" w:bidi="zh-CN"/>
              </w:rPr>
              <w:t>3．询问、质疑必须以书面形式(原件)提出，以其他形式提出的询问、质疑均不接受和回复。</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宋体" w:cs="宋体"/>
                <w:color w:val="0000FF"/>
                <w:sz w:val="21"/>
                <w:szCs w:val="21"/>
                <w:u w:val="single"/>
              </w:rPr>
            </w:pPr>
            <w:r>
              <w:rPr>
                <w:rFonts w:hint="default"/>
                <w:color w:val="0000FF"/>
                <w:sz w:val="21"/>
                <w:szCs w:val="21"/>
              </w:rPr>
              <w:t>采</w:t>
            </w:r>
            <w:r>
              <w:rPr>
                <w:rFonts w:hint="eastAsia" w:ascii="宋体" w:hAnsi="宋体" w:eastAsia="宋体" w:cs="宋体"/>
                <w:color w:val="0000FF"/>
                <w:sz w:val="21"/>
                <w:szCs w:val="21"/>
              </w:rPr>
              <w:t xml:space="preserve"> 购 人：</w:t>
            </w:r>
            <w:r>
              <w:rPr>
                <w:rFonts w:hint="eastAsia"/>
                <w:color w:val="0000FF"/>
                <w:sz w:val="21"/>
                <w:szCs w:val="21"/>
                <w:u w:val="single"/>
                <w:lang w:val="en-US" w:eastAsia="zh-CN"/>
              </w:rPr>
              <w:t xml:space="preserve">渠县农兴集体经济发展有限责任公司    </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s="宋体"/>
                <w:color w:val="0000FF"/>
                <w:kern w:val="0"/>
                <w:sz w:val="24"/>
                <w:szCs w:val="24"/>
                <w:highlight w:val="none"/>
                <w:u w:val="single"/>
                <w:lang w:val="en-US" w:eastAsia="zh-CN"/>
              </w:rPr>
            </w:pPr>
            <w:r>
              <w:rPr>
                <w:rFonts w:hint="eastAsia" w:ascii="宋体" w:hAnsi="宋体" w:eastAsia="宋体" w:cs="宋体"/>
                <w:color w:val="0000FF"/>
                <w:sz w:val="21"/>
                <w:szCs w:val="21"/>
              </w:rPr>
              <w:t>通讯地址：</w:t>
            </w:r>
            <w:r>
              <w:rPr>
                <w:rFonts w:hint="eastAsia"/>
                <w:color w:val="0000FF"/>
                <w:sz w:val="21"/>
                <w:szCs w:val="21"/>
                <w:u w:val="single"/>
                <w:lang w:val="en-US" w:eastAsia="zh-CN"/>
              </w:rPr>
              <w:t xml:space="preserve">渠县渠江街道南大街57号  </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ascii="宋体" w:hAnsi="宋体" w:eastAsia="微软雅黑" w:cs="宋体"/>
                <w:color w:val="0000FF"/>
                <w:sz w:val="21"/>
                <w:szCs w:val="21"/>
                <w:lang w:val="en-US" w:eastAsia="zh-CN"/>
              </w:rPr>
            </w:pPr>
            <w:r>
              <w:rPr>
                <w:rFonts w:hint="eastAsia" w:ascii="宋体" w:hAnsi="宋体" w:eastAsia="宋体" w:cs="宋体"/>
                <w:color w:val="0000FF"/>
                <w:sz w:val="21"/>
                <w:szCs w:val="21"/>
              </w:rPr>
              <w:t>联 系 人：</w:t>
            </w:r>
            <w:r>
              <w:rPr>
                <w:rFonts w:hint="eastAsia" w:cs="宋体"/>
                <w:color w:val="0000FF"/>
                <w:kern w:val="0"/>
                <w:sz w:val="22"/>
                <w:szCs w:val="22"/>
                <w:highlight w:val="none"/>
                <w:u w:val="single"/>
                <w:lang w:val="en-US" w:eastAsia="zh-CN"/>
              </w:rPr>
              <w:t xml:space="preserve">张先生   </w:t>
            </w:r>
            <w:r>
              <w:rPr>
                <w:rFonts w:hint="eastAsia" w:cs="宋体"/>
                <w:color w:val="0000FF"/>
                <w:kern w:val="0"/>
                <w:sz w:val="24"/>
                <w:szCs w:val="24"/>
                <w:highlight w:val="none"/>
                <w:u w:val="single"/>
                <w:lang w:val="en-US" w:eastAsia="zh-CN"/>
              </w:rPr>
              <w:t xml:space="preserve">   </w:t>
            </w:r>
            <w:r>
              <w:rPr>
                <w:rFonts w:hint="eastAsia" w:ascii="宋体" w:hAnsi="宋体" w:eastAsia="宋体" w:cs="宋体"/>
                <w:color w:val="0000FF"/>
                <w:kern w:val="0"/>
                <w:sz w:val="24"/>
                <w:szCs w:val="24"/>
                <w:highlight w:val="none"/>
                <w:u w:val="single"/>
                <w:lang w:val="en-US" w:eastAsia="zh-CN"/>
              </w:rPr>
              <w:t xml:space="preserve"> </w:t>
            </w:r>
          </w:p>
          <w:p>
            <w:pPr>
              <w:pStyle w:val="8"/>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60" w:lineRule="exact"/>
              <w:ind w:left="0" w:right="0"/>
              <w:jc w:val="both"/>
              <w:textAlignment w:val="auto"/>
              <w:rPr>
                <w:rFonts w:hint="eastAsia"/>
                <w:color w:val="0000FF"/>
                <w:sz w:val="21"/>
                <w:szCs w:val="21"/>
                <w:u w:val="single"/>
                <w:lang w:val="en-US" w:eastAsia="zh-CN"/>
              </w:rPr>
            </w:pPr>
            <w:r>
              <w:rPr>
                <w:rFonts w:hint="eastAsia" w:ascii="宋体" w:hAnsi="宋体" w:eastAsia="宋体" w:cs="宋体"/>
                <w:color w:val="0000FF"/>
                <w:sz w:val="21"/>
                <w:szCs w:val="21"/>
              </w:rPr>
              <w:t>联系电话：</w:t>
            </w:r>
            <w:r>
              <w:rPr>
                <w:rFonts w:hint="eastAsia" w:cs="宋体"/>
                <w:color w:val="0000FF"/>
                <w:sz w:val="24"/>
                <w:szCs w:val="24"/>
                <w:u w:val="single"/>
                <w:lang w:eastAsia="zh-CN"/>
              </w:rPr>
              <w:t xml:space="preserve">15884733888 </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采购代理机构：渠县政府采购中心</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1"/>
                <w:lang w:val="en-US" w:eastAsia="zh-CN" w:bidi="zh-CN"/>
              </w:rPr>
            </w:pPr>
            <w:r>
              <w:rPr>
                <w:rFonts w:hint="eastAsia" w:ascii="宋体" w:hAnsi="宋体" w:eastAsia="宋体" w:cs="宋体"/>
                <w:color w:val="0000FF"/>
                <w:sz w:val="21"/>
                <w:szCs w:val="21"/>
                <w:lang w:val="en-US" w:eastAsia="zh-CN" w:bidi="zh-CN"/>
              </w:rPr>
              <w:t>联系人：</w:t>
            </w:r>
            <w:r>
              <w:rPr>
                <w:rFonts w:hint="eastAsia" w:cs="宋体"/>
                <w:color w:val="0000FF"/>
                <w:sz w:val="21"/>
                <w:szCs w:val="21"/>
                <w:lang w:val="en-US" w:eastAsia="zh-CN" w:bidi="zh-CN"/>
              </w:rPr>
              <w:t xml:space="preserve">邓先生  </w:t>
            </w:r>
          </w:p>
          <w:p>
            <w:pPr>
              <w:pStyle w:val="25"/>
              <w:keepNext w:val="0"/>
              <w:keepLines w:val="0"/>
              <w:suppressLineNumbers w:val="0"/>
              <w:spacing w:before="134" w:beforeAutospacing="0" w:after="0" w:afterAutospacing="0"/>
              <w:ind w:left="0" w:right="0"/>
              <w:jc w:val="left"/>
              <w:rPr>
                <w:rFonts w:hint="default" w:ascii="宋体" w:hAnsi="宋体" w:eastAsia="宋体" w:cs="宋体"/>
                <w:color w:val="0000FF"/>
                <w:sz w:val="21"/>
                <w:szCs w:val="22"/>
                <w:lang w:val="en-US" w:eastAsia="zh-CN" w:bidi="zh-CN"/>
              </w:rPr>
            </w:pPr>
            <w:r>
              <w:rPr>
                <w:rFonts w:hint="eastAsia" w:ascii="宋体" w:hAnsi="宋体" w:eastAsia="宋体" w:cs="宋体"/>
                <w:color w:val="0000FF"/>
                <w:sz w:val="21"/>
                <w:szCs w:val="22"/>
                <w:lang w:val="en-US" w:eastAsia="zh-CN" w:bidi="zh-CN"/>
              </w:rPr>
              <w:t>联系电话：</w:t>
            </w:r>
            <w:bookmarkStart w:id="22" w:name="EBd036d59f11c649e8a730d015c7649a39"/>
            <w:r>
              <w:rPr>
                <w:rFonts w:hint="eastAsia" w:ascii="宋体" w:hAnsi="宋体" w:eastAsia="宋体" w:cs="宋体"/>
                <w:color w:val="0000FF"/>
                <w:sz w:val="21"/>
                <w:szCs w:val="22"/>
                <w:lang w:val="en-US" w:eastAsia="zh-CN" w:bidi="zh-CN"/>
              </w:rPr>
              <w:t>0818-</w:t>
            </w:r>
            <w:bookmarkEnd w:id="22"/>
            <w:r>
              <w:rPr>
                <w:rFonts w:hint="eastAsia" w:cs="宋体"/>
                <w:color w:val="0000FF"/>
                <w:sz w:val="21"/>
                <w:szCs w:val="22"/>
                <w:lang w:val="en-US" w:eastAsia="zh-CN" w:bidi="zh-CN"/>
              </w:rPr>
              <w:t>7151071</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en-US" w:eastAsia="zh-CN" w:bidi="zh-CN"/>
              </w:rPr>
            </w:pPr>
            <w:r>
              <w:rPr>
                <w:rFonts w:hint="default" w:ascii="宋体" w:hAnsi="宋体" w:eastAsia="宋体" w:cs="宋体"/>
                <w:sz w:val="21"/>
                <w:szCs w:val="22"/>
                <w:lang w:val="zh-CN" w:eastAsia="zh-CN" w:bidi="zh-CN"/>
              </w:rPr>
              <w:t>注：申请人按要求报名成功并领取资格预审文件的， 为依法获取资格预审文件的申请人，可以对该文件提出质疑。根据《中华人民共和国政府采购法》等规定，申请人质疑不得超出资格预审文件、资格预审过程、资格预审结果的范围，申请人针对同一采购程序环节的质疑应在法定质疑期内一次性提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0"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9</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申请人投诉</w:t>
            </w:r>
          </w:p>
        </w:tc>
        <w:tc>
          <w:tcPr>
            <w:tcW w:w="3615" w:type="pct"/>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投诉受理单位：本采购项目同级财政部门，即渠县财政局。</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联系电话：0818-7219716。</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地址：渠县工农街22号渠县财政大厦。</w:t>
            </w:r>
          </w:p>
          <w:p>
            <w:pPr>
              <w:pStyle w:val="25"/>
              <w:keepNext w:val="0"/>
              <w:keepLines w:val="0"/>
              <w:suppressLineNumbers w:val="0"/>
              <w:spacing w:before="134" w:beforeAutospacing="0" w:after="0" w:afterAutospacing="0"/>
              <w:ind w:left="46" w:right="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注：根据《中华人民共和国政府采购法</w:t>
            </w:r>
            <w:r>
              <w:rPr>
                <w:rFonts w:hint="eastAsia" w:ascii="宋体" w:hAnsi="宋体" w:eastAsia="宋体" w:cs="宋体"/>
                <w:sz w:val="21"/>
                <w:szCs w:val="22"/>
                <w:lang w:val="zh-CN" w:eastAsia="zh-CN" w:bidi="zh-CN"/>
              </w:rPr>
              <w:t>》、《</w:t>
            </w:r>
            <w:r>
              <w:rPr>
                <w:rFonts w:hint="default" w:ascii="宋体" w:hAnsi="宋体" w:eastAsia="宋体" w:cs="宋体"/>
                <w:sz w:val="21"/>
                <w:szCs w:val="22"/>
                <w:lang w:val="zh-CN" w:eastAsia="zh-CN" w:bidi="zh-CN"/>
              </w:rPr>
              <w:t>中华人民共和国政府采购法实施条例》（国务院令第 658 号）、《政府采购质疑和投诉办法》（财政部令第94号） 的规定，投标人投诉事项不得超出已质疑事项的范围。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461"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10</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中小微企业融资</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根据《四川省财政厅关于推进四川省政府采购申请人信用融资工作的通知》（川财采[2018]123 号）文件要求，为助力解决政府采购中标、成交申请人资金不足、融资难、融资贵的困难，促进申请人依法诚信参加政府采购活动，有融资需求的申请人可根据四川政府采购网公示的银行及其“政采贷”产品，自行选择符合自身情况的 “政采贷”银行及其产品，凭中标（成交）通知书向银行提出贷款意向申请。申请政采贷具体 相 关 流 程 请 查 看 http://202.61.88.41:9009/static/log in/login.html。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461"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en-US" w:eastAsia="zh-CN" w:bidi="zh-CN"/>
              </w:rPr>
            </w:pPr>
            <w:r>
              <w:rPr>
                <w:rFonts w:hint="eastAsia" w:cs="宋体"/>
                <w:sz w:val="21"/>
                <w:szCs w:val="22"/>
                <w:lang w:val="en-US" w:eastAsia="zh-CN" w:bidi="zh-CN"/>
              </w:rPr>
              <w:t>11</w:t>
            </w:r>
          </w:p>
        </w:tc>
        <w:tc>
          <w:tcPr>
            <w:tcW w:w="923" w:type="pct"/>
            <w:vAlign w:val="center"/>
          </w:tcPr>
          <w:p>
            <w:pPr>
              <w:pStyle w:val="25"/>
              <w:keepNext w:val="0"/>
              <w:keepLines w:val="0"/>
              <w:suppressLineNumbers w:val="0"/>
              <w:spacing w:before="134" w:beforeAutospacing="0" w:after="0" w:afterAutospacing="0"/>
              <w:ind w:left="0" w:right="0"/>
              <w:jc w:val="center"/>
              <w:rPr>
                <w:rFonts w:hint="eastAsia" w:ascii="宋体" w:hAnsi="宋体" w:eastAsia="宋体" w:cs="宋体"/>
                <w:sz w:val="21"/>
                <w:szCs w:val="22"/>
                <w:lang w:val="en-US" w:eastAsia="zh-CN" w:bidi="zh-CN"/>
              </w:rPr>
            </w:pPr>
            <w:r>
              <w:rPr>
                <w:rFonts w:hint="eastAsia" w:ascii="宋体" w:hAnsi="宋体" w:eastAsia="宋体" w:cs="宋体"/>
                <w:sz w:val="21"/>
                <w:szCs w:val="22"/>
                <w:lang w:val="en-US" w:eastAsia="zh-CN" w:bidi="zh-CN"/>
              </w:rPr>
              <w:t>建设工程项目</w:t>
            </w:r>
          </w:p>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eastAsia" w:ascii="宋体" w:hAnsi="宋体" w:eastAsia="宋体" w:cs="宋体"/>
                <w:sz w:val="21"/>
                <w:szCs w:val="22"/>
                <w:lang w:val="en-US" w:eastAsia="zh-CN" w:bidi="zh-CN"/>
              </w:rPr>
              <w:t>散</w:t>
            </w:r>
            <w:r>
              <w:rPr>
                <w:rFonts w:hint="default" w:ascii="宋体" w:hAnsi="宋体" w:eastAsia="宋体" w:cs="宋体"/>
                <w:sz w:val="21"/>
                <w:szCs w:val="22"/>
                <w:lang w:val="en-US" w:eastAsia="zh-CN" w:bidi="zh-CN"/>
              </w:rPr>
              <w:t>装水泥的使用</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eastAsia" w:ascii="宋体" w:hAnsi="宋体" w:eastAsia="宋体" w:cs="宋体"/>
                <w:color w:val="1D41D5"/>
                <w:sz w:val="21"/>
                <w:szCs w:val="22"/>
                <w:lang w:val="en-US" w:eastAsia="zh-CN" w:bidi="zh-CN"/>
              </w:rPr>
              <w:t>建设工程项目中</w:t>
            </w:r>
            <w:r>
              <w:rPr>
                <w:rFonts w:hint="default" w:ascii="宋体" w:hAnsi="宋体" w:eastAsia="宋体" w:cs="宋体"/>
                <w:color w:val="1D41D5"/>
                <w:sz w:val="21"/>
                <w:szCs w:val="22"/>
                <w:lang w:val="en-US" w:eastAsia="zh-CN" w:bidi="zh-CN"/>
              </w:rPr>
              <w:t>预拌混凝土和预拌砂浆的使用</w:t>
            </w:r>
            <w:r>
              <w:rPr>
                <w:rFonts w:hint="eastAsia" w:ascii="宋体" w:hAnsi="宋体" w:eastAsia="宋体" w:cs="宋体"/>
                <w:color w:val="1D41D5"/>
                <w:sz w:val="21"/>
                <w:szCs w:val="22"/>
                <w:lang w:val="en-US" w:eastAsia="zh-CN" w:bidi="zh-CN"/>
              </w:rPr>
              <w:t>执行《四川省散</w:t>
            </w:r>
            <w:r>
              <w:rPr>
                <w:rFonts w:hint="default" w:ascii="宋体" w:hAnsi="宋体" w:eastAsia="宋体" w:cs="宋体"/>
                <w:color w:val="1D41D5"/>
                <w:sz w:val="21"/>
                <w:szCs w:val="22"/>
                <w:lang w:val="en-US" w:eastAsia="zh-CN" w:bidi="zh-CN"/>
              </w:rPr>
              <w:t>装水泥管理条例</w:t>
            </w:r>
            <w:r>
              <w:rPr>
                <w:rFonts w:hint="eastAsia" w:ascii="宋体" w:hAnsi="宋体" w:eastAsia="宋体" w:cs="宋体"/>
                <w:color w:val="1D41D5"/>
                <w:sz w:val="21"/>
                <w:szCs w:val="22"/>
                <w:lang w:val="en-US" w:eastAsia="zh-CN" w:bidi="zh-CN"/>
              </w:rPr>
              <w:t>》的规定。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9" w:hRule="atLeast"/>
        </w:trPr>
        <w:tc>
          <w:tcPr>
            <w:tcW w:w="461"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12</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声明承诺提醒</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申请人资格预审申请文件中提供的各种声明和承诺应当真实有效，无效声明和承诺、虚假声明和承诺将由申请人自己承担由此带来的任何不利后果，虚假声明和承诺还将报告监管部门追究法律责任。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7" w:hRule="atLeast"/>
        </w:trPr>
        <w:tc>
          <w:tcPr>
            <w:tcW w:w="461" w:type="pct"/>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en-US" w:eastAsia="zh-CN" w:bidi="zh-CN"/>
              </w:rPr>
            </w:pPr>
            <w:r>
              <w:rPr>
                <w:rFonts w:hint="eastAsia" w:cs="宋体"/>
                <w:sz w:val="21"/>
                <w:szCs w:val="22"/>
                <w:lang w:val="en-US" w:eastAsia="zh-CN" w:bidi="zh-CN"/>
              </w:rPr>
              <w:t>13</w:t>
            </w:r>
          </w:p>
        </w:tc>
        <w:tc>
          <w:tcPr>
            <w:tcW w:w="923" w:type="pct"/>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p>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资格预审文件内容冲突的解决及优先适用次序</w:t>
            </w:r>
          </w:p>
        </w:tc>
        <w:tc>
          <w:tcPr>
            <w:tcW w:w="3615" w:type="pct"/>
          </w:tcPr>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资格预审文件（包括修改、澄清或补遗文件）作为评审的依据。</w:t>
            </w:r>
          </w:p>
          <w:p>
            <w:pPr>
              <w:pStyle w:val="25"/>
              <w:keepNext w:val="0"/>
              <w:keepLines w:val="0"/>
              <w:suppressLineNumbers w:val="0"/>
              <w:spacing w:before="134" w:beforeAutospacing="0" w:after="0" w:afterAutospacing="0"/>
              <w:ind w:left="46" w:right="0" w:firstLine="210" w:firstLineChars="100"/>
              <w:jc w:val="left"/>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资格预审文件中编制的内容前后有矛盾或不一致时，有时间先后顺序的，以时间在后的修改、澄清或补正文件为准；没有时间先后顺序的，以资格预审申请人须知附表为准，如附表中无相关内容，在保证国家、集体和采购人利益不受损害的情况下有利于申请人的原则进行处理；必要时，可以暂停本次采购活动，待修改完善后重新组织资格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trPr>
        <w:tc>
          <w:tcPr>
            <w:tcW w:w="461" w:type="pct"/>
            <w:vAlign w:val="center"/>
          </w:tcPr>
          <w:p>
            <w:pPr>
              <w:pStyle w:val="25"/>
              <w:keepNext w:val="0"/>
              <w:keepLines w:val="0"/>
              <w:suppressLineNumbers w:val="0"/>
              <w:spacing w:before="134" w:beforeAutospacing="0" w:after="0" w:afterAutospacing="0"/>
              <w:ind w:left="0" w:right="0" w:firstLine="420" w:firstLineChars="200"/>
              <w:jc w:val="both"/>
              <w:rPr>
                <w:rFonts w:hint="default" w:ascii="宋体" w:hAnsi="宋体" w:eastAsia="宋体" w:cs="宋体"/>
                <w:sz w:val="21"/>
                <w:szCs w:val="22"/>
                <w:lang w:val="en-US" w:eastAsia="zh-CN" w:bidi="zh-CN"/>
              </w:rPr>
            </w:pPr>
            <w:r>
              <w:rPr>
                <w:rFonts w:hint="eastAsia" w:cs="宋体"/>
                <w:sz w:val="21"/>
                <w:szCs w:val="22"/>
                <w:lang w:val="en-US" w:eastAsia="zh-CN" w:bidi="zh-CN"/>
              </w:rPr>
              <w:t>14</w:t>
            </w:r>
          </w:p>
        </w:tc>
        <w:tc>
          <w:tcPr>
            <w:tcW w:w="923" w:type="pct"/>
            <w:vAlign w:val="center"/>
          </w:tcPr>
          <w:p>
            <w:pPr>
              <w:pStyle w:val="25"/>
              <w:keepNext w:val="0"/>
              <w:keepLines w:val="0"/>
              <w:suppressLineNumbers w:val="0"/>
              <w:spacing w:before="134" w:beforeAutospacing="0" w:after="0" w:afterAutospacing="0"/>
              <w:ind w:left="0"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其他说明</w:t>
            </w:r>
          </w:p>
        </w:tc>
        <w:tc>
          <w:tcPr>
            <w:tcW w:w="3615" w:type="pct"/>
            <w:vAlign w:val="center"/>
          </w:tcPr>
          <w:p>
            <w:pPr>
              <w:pStyle w:val="25"/>
              <w:keepNext w:val="0"/>
              <w:keepLines w:val="0"/>
              <w:suppressLineNumbers w:val="0"/>
              <w:spacing w:before="134" w:beforeAutospacing="0" w:after="0" w:afterAutospacing="0"/>
              <w:ind w:left="46" w:right="0" w:firstLine="210" w:firstLineChars="100"/>
              <w:jc w:val="both"/>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申请人发现采购文件存在某些错误（例如：关键性字句错、乱，意思表示前后不一致等），应当及时向采购代理机构或采购人提出质询（或反映），采购代理机构或采购人将给予以解答，并纠正采购文件中的错误。但是，申请人不得就属于保密内容（比如：申请人报名情况、如何编制资格预审申请文件等）向采购代理机构或采购人提出质询或咨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5000" w:type="pct"/>
            <w:gridSpan w:val="3"/>
            <w:vAlign w:val="center"/>
          </w:tcPr>
          <w:p>
            <w:pPr>
              <w:pStyle w:val="25"/>
              <w:keepNext w:val="0"/>
              <w:keepLines w:val="0"/>
              <w:suppressLineNumbers w:val="0"/>
              <w:spacing w:before="134" w:beforeAutospacing="0" w:after="0" w:afterAutospacing="0"/>
              <w:ind w:left="46" w:right="0"/>
              <w:jc w:val="center"/>
              <w:rPr>
                <w:rFonts w:hint="default" w:ascii="宋体" w:hAnsi="宋体" w:eastAsia="宋体" w:cs="宋体"/>
                <w:sz w:val="21"/>
                <w:szCs w:val="22"/>
                <w:lang w:val="zh-CN" w:eastAsia="zh-CN" w:bidi="zh-CN"/>
              </w:rPr>
            </w:pPr>
            <w:r>
              <w:rPr>
                <w:rFonts w:hint="default" w:ascii="宋体" w:hAnsi="宋体" w:eastAsia="宋体" w:cs="宋体"/>
                <w:sz w:val="21"/>
                <w:szCs w:val="22"/>
                <w:lang w:val="zh-CN" w:eastAsia="zh-CN" w:bidi="zh-CN"/>
              </w:rPr>
              <w:t>备注：本附表以外的相关内容是对资格预审申请人须知附表的具体补充，如有矛盾，以本附表为准。</w:t>
            </w:r>
          </w:p>
        </w:tc>
      </w:tr>
    </w:tbl>
    <w:p>
      <w:pPr>
        <w:spacing w:line="242" w:lineRule="exact"/>
        <w:rPr>
          <w:sz w:val="21"/>
        </w:rPr>
        <w:sectPr>
          <w:headerReference r:id="rId6" w:type="default"/>
          <w:pgSz w:w="11910" w:h="16840"/>
          <w:pgMar w:top="1440" w:right="1080" w:bottom="1440" w:left="1080" w:header="525" w:footer="606" w:gutter="0"/>
          <w:pgNumType w:fmt="decimal"/>
          <w:cols w:space="720" w:num="1"/>
        </w:sectPr>
      </w:pPr>
    </w:p>
    <w:p>
      <w:pPr>
        <w:pStyle w:val="8"/>
        <w:rPr>
          <w:b/>
          <w:sz w:val="17"/>
        </w:rPr>
      </w:pPr>
    </w:p>
    <w:p>
      <w:pPr>
        <w:keepNext w:val="0"/>
        <w:keepLines w:val="0"/>
        <w:pageBreakBefore w:val="0"/>
        <w:widowControl w:val="0"/>
        <w:kinsoku/>
        <w:wordWrap/>
        <w:overflowPunct/>
        <w:topLinePunct w:val="0"/>
        <w:autoSpaceDE w:val="0"/>
        <w:autoSpaceDN w:val="0"/>
        <w:bidi w:val="0"/>
        <w:adjustRightInd/>
        <w:snapToGrid/>
        <w:spacing w:line="430" w:lineRule="exact"/>
        <w:ind w:left="225" w:right="194"/>
        <w:jc w:val="center"/>
        <w:textAlignment w:val="auto"/>
        <w:outlineLvl w:val="1"/>
        <w:rPr>
          <w:b/>
          <w:sz w:val="28"/>
        </w:rPr>
      </w:pPr>
      <w:bookmarkStart w:id="23" w:name="_Toc14112"/>
      <w:r>
        <w:rPr>
          <w:b/>
          <w:sz w:val="28"/>
        </w:rPr>
        <w:t>二、总则</w:t>
      </w:r>
      <w:bookmarkEnd w:id="23"/>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19"/>
        </w:rPr>
      </w:pPr>
    </w:p>
    <w:p>
      <w:pPr>
        <w:pStyle w:val="6"/>
        <w:keepNext w:val="0"/>
        <w:keepLines w:val="0"/>
        <w:pageBreakBefore w:val="0"/>
        <w:widowControl w:val="0"/>
        <w:numPr>
          <w:ilvl w:val="0"/>
          <w:numId w:val="2"/>
        </w:numPr>
        <w:tabs>
          <w:tab w:val="left" w:pos="1128"/>
        </w:tabs>
        <w:kinsoku/>
        <w:wordWrap/>
        <w:overflowPunct/>
        <w:topLinePunct w:val="0"/>
        <w:autoSpaceDE w:val="0"/>
        <w:autoSpaceDN w:val="0"/>
        <w:bidi w:val="0"/>
        <w:adjustRightInd/>
        <w:snapToGrid/>
        <w:spacing w:line="430" w:lineRule="exact"/>
        <w:ind w:hanging="239"/>
        <w:textAlignment w:val="auto"/>
      </w:pPr>
      <w:bookmarkStart w:id="24" w:name="1.适用范围："/>
      <w:bookmarkEnd w:id="24"/>
      <w:r>
        <w:rPr>
          <w:spacing w:val="-13"/>
        </w:rPr>
        <w:t>适用范围：</w:t>
      </w:r>
    </w:p>
    <w:p>
      <w:pPr>
        <w:pStyle w:val="24"/>
        <w:keepNext w:val="0"/>
        <w:keepLines w:val="0"/>
        <w:pageBreakBefore w:val="0"/>
        <w:widowControl w:val="0"/>
        <w:numPr>
          <w:ilvl w:val="1"/>
          <w:numId w:val="2"/>
        </w:numPr>
        <w:tabs>
          <w:tab w:val="left" w:pos="1291"/>
        </w:tabs>
        <w:kinsoku/>
        <w:wordWrap/>
        <w:overflowPunct/>
        <w:topLinePunct w:val="0"/>
        <w:autoSpaceDE w:val="0"/>
        <w:autoSpaceDN w:val="0"/>
        <w:bidi w:val="0"/>
        <w:adjustRightInd/>
        <w:snapToGrid/>
        <w:spacing w:line="430" w:lineRule="exact"/>
        <w:textAlignment w:val="auto"/>
        <w:rPr>
          <w:sz w:val="24"/>
        </w:rPr>
      </w:pPr>
      <w:r>
        <w:rPr>
          <w:sz w:val="24"/>
        </w:rPr>
        <w:t>本资格预审文件仅适用于本次资格预审所叙述的工程采购。</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36" w:firstLineChars="400"/>
        <w:textAlignment w:val="auto"/>
        <w:rPr>
          <w:b/>
          <w:sz w:val="24"/>
        </w:rPr>
      </w:pPr>
      <w:r>
        <w:rPr>
          <w:rFonts w:hint="eastAsia"/>
          <w:spacing w:val="-3"/>
          <w:sz w:val="24"/>
          <w:lang w:val="en-US"/>
        </w:rPr>
        <w:t xml:space="preserve">1.2 </w:t>
      </w:r>
      <w:r>
        <w:rPr>
          <w:spacing w:val="-3"/>
          <w:sz w:val="24"/>
        </w:rPr>
        <w:t>本资格预审文件的解释权归采购人和采购代理机构所有。</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right="90" w:firstLine="940" w:firstLineChars="400"/>
        <w:textAlignment w:val="auto"/>
        <w:rPr>
          <w:b/>
          <w:sz w:val="24"/>
        </w:rPr>
      </w:pPr>
      <w:r>
        <w:rPr>
          <w:b/>
          <w:spacing w:val="-3"/>
          <w:sz w:val="24"/>
        </w:rPr>
        <w:t>2.定义：</w:t>
      </w:r>
    </w:p>
    <w:p>
      <w:pPr>
        <w:pStyle w:val="24"/>
        <w:keepNext w:val="0"/>
        <w:keepLines w:val="0"/>
        <w:pageBreakBefore w:val="0"/>
        <w:widowControl w:val="0"/>
        <w:numPr>
          <w:ilvl w:val="1"/>
          <w:numId w:val="3"/>
        </w:numPr>
        <w:tabs>
          <w:tab w:val="left" w:pos="1291"/>
          <w:tab w:val="left" w:pos="6567"/>
        </w:tabs>
        <w:kinsoku/>
        <w:wordWrap/>
        <w:overflowPunct/>
        <w:topLinePunct w:val="0"/>
        <w:autoSpaceDE w:val="0"/>
        <w:autoSpaceDN w:val="0"/>
        <w:bidi w:val="0"/>
        <w:adjustRightInd/>
        <w:snapToGrid/>
        <w:spacing w:line="430" w:lineRule="exact"/>
        <w:textAlignment w:val="auto"/>
        <w:rPr>
          <w:sz w:val="24"/>
        </w:rPr>
      </w:pPr>
      <w:r>
        <w:rPr>
          <w:sz w:val="24"/>
        </w:rPr>
        <w:t>本次采购项目的采购人是</w:t>
      </w:r>
      <w:r>
        <w:rPr>
          <w:rFonts w:hint="eastAsia"/>
          <w:color w:val="0000FF"/>
          <w:sz w:val="24"/>
          <w:szCs w:val="24"/>
          <w:u w:val="single"/>
          <w:lang w:val="en-US" w:eastAsia="zh-CN"/>
        </w:rPr>
        <w:t>渠县农兴集体经济发展有限责任公司</w:t>
      </w:r>
      <w:r>
        <w:rPr>
          <w:rFonts w:hint="eastAsia"/>
          <w:color w:val="0000FF"/>
          <w:sz w:val="22"/>
          <w:szCs w:val="22"/>
          <w:u w:val="single"/>
          <w:lang w:val="en-US" w:eastAsia="zh-CN"/>
        </w:rPr>
        <w:t xml:space="preserve">  </w:t>
      </w:r>
      <w:r>
        <w:rPr>
          <w:rFonts w:hint="eastAsia"/>
          <w:color w:val="0000FF"/>
          <w:sz w:val="21"/>
          <w:szCs w:val="21"/>
          <w:u w:val="single"/>
          <w:lang w:val="en-US" w:eastAsia="zh-CN"/>
        </w:rPr>
        <w:t xml:space="preserve">  </w:t>
      </w:r>
      <w:r>
        <w:rPr>
          <w:sz w:val="24"/>
        </w:rPr>
        <w:t>。</w:t>
      </w:r>
    </w:p>
    <w:p>
      <w:pPr>
        <w:pStyle w:val="24"/>
        <w:keepNext w:val="0"/>
        <w:keepLines w:val="0"/>
        <w:pageBreakBefore w:val="0"/>
        <w:widowControl w:val="0"/>
        <w:numPr>
          <w:ilvl w:val="1"/>
          <w:numId w:val="3"/>
        </w:numPr>
        <w:tabs>
          <w:tab w:val="left" w:pos="1351"/>
        </w:tabs>
        <w:kinsoku/>
        <w:wordWrap/>
        <w:overflowPunct/>
        <w:topLinePunct w:val="0"/>
        <w:autoSpaceDE w:val="0"/>
        <w:autoSpaceDN w:val="0"/>
        <w:bidi w:val="0"/>
        <w:adjustRightInd/>
        <w:snapToGrid/>
        <w:spacing w:line="430" w:lineRule="exact"/>
        <w:ind w:left="1350" w:hanging="483"/>
        <w:textAlignment w:val="auto"/>
        <w:rPr>
          <w:sz w:val="24"/>
        </w:rPr>
      </w:pPr>
      <w:r>
        <w:rPr>
          <w:sz w:val="24"/>
        </w:rPr>
        <w:t>本次采购项目的采购代理机构是</w:t>
      </w:r>
      <w:r>
        <w:rPr>
          <w:color w:val="auto"/>
          <w:spacing w:val="-3"/>
          <w:sz w:val="24"/>
          <w:u w:val="single"/>
        </w:rPr>
        <w:t xml:space="preserve"> </w:t>
      </w:r>
      <w:r>
        <w:rPr>
          <w:rFonts w:hint="eastAsia"/>
          <w:color w:val="auto"/>
          <w:spacing w:val="-3"/>
          <w:sz w:val="24"/>
          <w:u w:val="single"/>
        </w:rPr>
        <w:t>渠县政府采购中心</w:t>
      </w:r>
      <w:r>
        <w:rPr>
          <w:rFonts w:hint="eastAsia"/>
          <w:color w:val="auto"/>
          <w:spacing w:val="-3"/>
          <w:sz w:val="24"/>
          <w:u w:val="single"/>
          <w:lang w:val="en-US"/>
        </w:rPr>
        <w:t xml:space="preserve"> </w:t>
      </w:r>
      <w:r>
        <w:rPr>
          <w:color w:val="auto"/>
          <w:spacing w:val="-2"/>
          <w:sz w:val="24"/>
        </w:rPr>
        <w:t>。</w:t>
      </w:r>
    </w:p>
    <w:p>
      <w:pPr>
        <w:pStyle w:val="24"/>
        <w:keepNext w:val="0"/>
        <w:keepLines w:val="0"/>
        <w:pageBreakBefore w:val="0"/>
        <w:widowControl w:val="0"/>
        <w:numPr>
          <w:ilvl w:val="1"/>
          <w:numId w:val="3"/>
        </w:numPr>
        <w:tabs>
          <w:tab w:val="left" w:pos="1233"/>
        </w:tabs>
        <w:kinsoku/>
        <w:wordWrap/>
        <w:overflowPunct/>
        <w:topLinePunct w:val="0"/>
        <w:autoSpaceDE w:val="0"/>
        <w:autoSpaceDN w:val="0"/>
        <w:bidi w:val="0"/>
        <w:adjustRightInd/>
        <w:snapToGrid/>
        <w:spacing w:line="430" w:lineRule="exact"/>
        <w:ind w:left="390" w:right="455" w:firstLine="480"/>
        <w:textAlignment w:val="auto"/>
        <w:rPr>
          <w:sz w:val="24"/>
        </w:rPr>
      </w:pPr>
      <w:r>
        <w:rPr>
          <w:spacing w:val="-1"/>
          <w:sz w:val="24"/>
        </w:rPr>
        <w:t>“申请人”系指按要求报名成功拟资格预审、参加资格预审的法人、其他组织或者</w:t>
      </w:r>
      <w:r>
        <w:rPr>
          <w:sz w:val="24"/>
        </w:rPr>
        <w:t>自然人。</w:t>
      </w:r>
    </w:p>
    <w:p>
      <w:pPr>
        <w:pStyle w:val="24"/>
        <w:keepNext w:val="0"/>
        <w:keepLines w:val="0"/>
        <w:pageBreakBefore w:val="0"/>
        <w:widowControl w:val="0"/>
        <w:numPr>
          <w:ilvl w:val="1"/>
          <w:numId w:val="3"/>
        </w:numPr>
        <w:tabs>
          <w:tab w:val="left" w:pos="1291"/>
        </w:tabs>
        <w:kinsoku/>
        <w:wordWrap/>
        <w:overflowPunct/>
        <w:topLinePunct w:val="0"/>
        <w:autoSpaceDE w:val="0"/>
        <w:autoSpaceDN w:val="0"/>
        <w:bidi w:val="0"/>
        <w:adjustRightInd/>
        <w:snapToGrid/>
        <w:spacing w:line="430" w:lineRule="exact"/>
        <w:ind w:left="390" w:right="222" w:firstLine="480"/>
        <w:textAlignment w:val="auto"/>
        <w:rPr>
          <w:sz w:val="24"/>
        </w:rPr>
      </w:pPr>
      <w:r>
        <w:rPr>
          <w:spacing w:val="-3"/>
          <w:sz w:val="24"/>
        </w:rPr>
        <w:t>本资格预审文件要求申请人提交的原件，是指原始件</w:t>
      </w:r>
      <w:r>
        <w:rPr>
          <w:sz w:val="24"/>
        </w:rPr>
        <w:t>（</w:t>
      </w:r>
      <w:r>
        <w:rPr>
          <w:spacing w:val="-6"/>
          <w:sz w:val="24"/>
        </w:rPr>
        <w:t xml:space="preserve">即：资料生成时的原始形态， </w:t>
      </w:r>
      <w:r>
        <w:rPr>
          <w:sz w:val="24"/>
        </w:rPr>
        <w:t>包括所加盖的印章、相关人员签字笔迹等均是原始印痕、印迹和笔迹。）</w:t>
      </w:r>
    </w:p>
    <w:p>
      <w:pPr>
        <w:pStyle w:val="24"/>
        <w:keepNext w:val="0"/>
        <w:keepLines w:val="0"/>
        <w:pageBreakBefore w:val="0"/>
        <w:widowControl w:val="0"/>
        <w:numPr>
          <w:ilvl w:val="1"/>
          <w:numId w:val="3"/>
        </w:numPr>
        <w:tabs>
          <w:tab w:val="left" w:pos="1293"/>
        </w:tabs>
        <w:kinsoku/>
        <w:wordWrap/>
        <w:overflowPunct/>
        <w:topLinePunct w:val="0"/>
        <w:autoSpaceDE w:val="0"/>
        <w:autoSpaceDN w:val="0"/>
        <w:bidi w:val="0"/>
        <w:adjustRightInd/>
        <w:snapToGrid/>
        <w:spacing w:line="430" w:lineRule="exact"/>
        <w:ind w:left="390" w:right="344" w:firstLine="480"/>
        <w:jc w:val="both"/>
        <w:textAlignment w:val="auto"/>
        <w:rPr>
          <w:rFonts w:ascii="宋体" w:hAnsi="宋体" w:eastAsia="宋体" w:cs="宋体"/>
          <w:sz w:val="24"/>
        </w:rPr>
      </w:pPr>
      <w:r>
        <w:rPr>
          <w:sz w:val="24"/>
        </w:rPr>
        <w:t>本</w:t>
      </w:r>
      <w:r>
        <w:rPr>
          <w:rFonts w:ascii="宋体" w:hAnsi="宋体" w:eastAsia="宋体" w:cs="宋体"/>
          <w:sz w:val="24"/>
        </w:rPr>
        <w:t>资格预审文件所称“鲜章”，是指加盖的印章原始印痕（印迹），即把印章直接在纸页上盖出的印痕（印迹）。无特殊说明，本资格预审文件凡是要求 “申请人盖章”的地方，均应加盖申请人的“行政公章”，不得使用专用印章（如合同章、税务专用章、投标专用章等）或下属单位印章代替。</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right="344" w:rightChars="0" w:firstLine="723" w:firstLineChars="300"/>
        <w:jc w:val="both"/>
        <w:textAlignment w:val="auto"/>
        <w:rPr>
          <w:rFonts w:ascii="宋体" w:hAnsi="宋体" w:eastAsia="宋体" w:cs="宋体"/>
          <w:b/>
          <w:bCs/>
          <w:sz w:val="24"/>
        </w:rPr>
      </w:pPr>
      <w:bookmarkStart w:id="25" w:name="3.合格的申请人应具备下列资格条件（实质性要求）"/>
      <w:bookmarkEnd w:id="25"/>
      <w:r>
        <w:rPr>
          <w:rFonts w:hint="eastAsia" w:cs="宋体"/>
          <w:b/>
          <w:bCs/>
          <w:sz w:val="24"/>
          <w:lang w:val="en-US" w:eastAsia="zh-CN"/>
        </w:rPr>
        <w:t>3.</w:t>
      </w:r>
      <w:r>
        <w:rPr>
          <w:rFonts w:ascii="宋体" w:hAnsi="宋体" w:eastAsia="宋体" w:cs="宋体"/>
          <w:b/>
          <w:bCs/>
          <w:sz w:val="24"/>
        </w:rPr>
        <w:t>合格的申请人应具备下列资格条件（实质性要求）</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3.1 </w:t>
      </w:r>
      <w:r>
        <w:rPr>
          <w:rFonts w:ascii="宋体" w:hAnsi="宋体" w:eastAsia="宋体" w:cs="宋体"/>
          <w:color w:val="auto"/>
          <w:sz w:val="24"/>
        </w:rPr>
        <w:t>具备法律法规和本采购文件规定的资格条件；</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3.2 </w:t>
      </w:r>
      <w:r>
        <w:rPr>
          <w:rFonts w:ascii="宋体" w:hAnsi="宋体" w:eastAsia="宋体" w:cs="宋体"/>
          <w:color w:val="auto"/>
          <w:sz w:val="24"/>
        </w:rPr>
        <w:t>不属于禁止参加本项目政府采购活动的申请人；</w:t>
      </w:r>
    </w:p>
    <w:p>
      <w:pPr>
        <w:pStyle w:val="24"/>
        <w:keepNext w:val="0"/>
        <w:keepLines w:val="0"/>
        <w:pageBreakBefore w:val="0"/>
        <w:widowControl w:val="0"/>
        <w:numPr>
          <w:ilvl w:val="0"/>
          <w:numId w:val="0"/>
        </w:numPr>
        <w:tabs>
          <w:tab w:val="left" w:pos="1293"/>
        </w:tabs>
        <w:kinsoku/>
        <w:wordWrap/>
        <w:overflowPunct/>
        <w:topLinePunct w:val="0"/>
        <w:autoSpaceDE w:val="0"/>
        <w:autoSpaceDN w:val="0"/>
        <w:bidi w:val="0"/>
        <w:adjustRightInd/>
        <w:snapToGrid/>
        <w:spacing w:line="430" w:lineRule="exact"/>
        <w:ind w:left="870" w:leftChars="0" w:right="344" w:rightChars="0"/>
        <w:jc w:val="both"/>
        <w:textAlignment w:val="auto"/>
        <w:rPr>
          <w:rFonts w:ascii="宋体" w:hAnsi="宋体" w:eastAsia="宋体" w:cs="宋体"/>
          <w:color w:val="auto"/>
          <w:sz w:val="24"/>
        </w:rPr>
      </w:pPr>
      <w:r>
        <w:rPr>
          <w:rFonts w:hint="eastAsia" w:ascii="宋体" w:hAnsi="宋体" w:eastAsia="宋体" w:cs="宋体"/>
          <w:color w:val="auto"/>
          <w:sz w:val="24"/>
          <w:lang w:val="en-US"/>
        </w:rPr>
        <w:t xml:space="preserve">3.3 </w:t>
      </w:r>
      <w:r>
        <w:rPr>
          <w:rFonts w:ascii="宋体" w:hAnsi="宋体" w:eastAsia="宋体" w:cs="宋体"/>
          <w:color w:val="auto"/>
          <w:sz w:val="24"/>
        </w:rPr>
        <w:t>按规定获取了资格预审文件，属于实质性参加政府采购活动的申</w:t>
      </w:r>
      <w:r>
        <w:rPr>
          <w:rFonts w:hint="eastAsia" w:ascii="宋体" w:hAnsi="宋体" w:eastAsia="宋体" w:cs="宋体"/>
          <w:color w:val="auto"/>
          <w:sz w:val="24"/>
        </w:rPr>
        <w:t>请</w:t>
      </w:r>
      <w:r>
        <w:rPr>
          <w:rFonts w:ascii="宋体" w:hAnsi="宋体" w:eastAsia="宋体" w:cs="宋体"/>
          <w:color w:val="auto"/>
          <w:sz w:val="24"/>
        </w:rPr>
        <w:t>人。</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5" w:firstLineChars="300"/>
        <w:textAlignment w:val="auto"/>
        <w:rPr>
          <w:b/>
          <w:spacing w:val="-3"/>
          <w:sz w:val="24"/>
        </w:rPr>
      </w:pPr>
      <w:r>
        <w:rPr>
          <w:b/>
          <w:spacing w:val="-3"/>
          <w:sz w:val="24"/>
        </w:rPr>
        <w:t>4.资格预审费用</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02" w:firstLineChars="300"/>
        <w:textAlignment w:val="auto"/>
        <w:rPr>
          <w:rFonts w:hint="eastAsia" w:cs="宋体"/>
          <w:sz w:val="24"/>
          <w:szCs w:val="22"/>
          <w:lang w:val="en-US" w:eastAsia="zh-CN" w:bidi="zh-CN"/>
        </w:rPr>
      </w:pPr>
      <w:r>
        <w:rPr>
          <w:rFonts w:hint="eastAsia"/>
          <w:b w:val="0"/>
          <w:bCs/>
          <w:spacing w:val="-3"/>
          <w:sz w:val="24"/>
          <w:lang w:val="en-US" w:eastAsia="zh-CN"/>
        </w:rPr>
        <w:t>申</w:t>
      </w:r>
      <w:r>
        <w:rPr>
          <w:rFonts w:hint="eastAsia" w:ascii="宋体" w:hAnsi="宋体" w:eastAsia="宋体" w:cs="宋体"/>
          <w:sz w:val="24"/>
          <w:szCs w:val="22"/>
          <w:lang w:val="zh-CN" w:eastAsia="zh-CN" w:bidi="zh-CN"/>
        </w:rPr>
        <w:t>请人准备和参加本次资格预审所发生的费用由资格预审申请人自行</w:t>
      </w:r>
      <w:r>
        <w:rPr>
          <w:rFonts w:hint="eastAsia" w:cs="宋体"/>
          <w:sz w:val="24"/>
          <w:szCs w:val="22"/>
          <w:lang w:val="en-US" w:eastAsia="zh-CN" w:bidi="zh-CN"/>
        </w:rPr>
        <w:t>承担。</w:t>
      </w:r>
    </w:p>
    <w:p>
      <w:pPr>
        <w:pStyle w:val="24"/>
        <w:keepNext w:val="0"/>
        <w:keepLines w:val="0"/>
        <w:pageBreakBefore w:val="0"/>
        <w:widowControl w:val="0"/>
        <w:tabs>
          <w:tab w:val="left" w:pos="1291"/>
        </w:tabs>
        <w:kinsoku/>
        <w:wordWrap/>
        <w:overflowPunct/>
        <w:topLinePunct w:val="0"/>
        <w:autoSpaceDE w:val="0"/>
        <w:autoSpaceDN w:val="0"/>
        <w:bidi w:val="0"/>
        <w:adjustRightInd/>
        <w:snapToGrid/>
        <w:spacing w:line="430" w:lineRule="exact"/>
        <w:ind w:left="0" w:firstLine="723" w:firstLineChars="300"/>
        <w:textAlignment w:val="auto"/>
        <w:rPr>
          <w:b/>
          <w:sz w:val="24"/>
        </w:rPr>
      </w:pPr>
      <w:r>
        <w:rPr>
          <w:b/>
          <w:sz w:val="24"/>
        </w:rPr>
        <w:t>5.充分、公平竞争保障措施（实质性要求）</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申请人处理。单位负责人为同一人或者存在直接控股、管理关系的不同申请人不得参加同一合同项下的政府采购活动。采购项目实行资格预审的，单位负责人为同一人或者存在直接控股、管理关系的不同申请人可以参加资格预审，但只能由申请人确定其中一家符合条件的申请人参加后续的政府采购活动，否则，其申请文件作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rFonts w:hint="eastAsia"/>
          <w:sz w:val="24"/>
          <w:lang w:val="en-US"/>
        </w:rPr>
        <w:t xml:space="preserve"> </w:t>
      </w:r>
      <w:r>
        <w:rPr>
          <w:sz w:val="24"/>
        </w:rPr>
        <w:t>利害关系授权代表处理。两家以上的申请人不得在同一合同项下的采购项目中，委</w:t>
      </w:r>
      <w:r>
        <w:rPr>
          <w:spacing w:val="-4"/>
          <w:sz w:val="24"/>
        </w:rPr>
        <w:t>托同一个自然人、同一家庭的人员、同一单位的人员作为其授权代表，否则，其申请文件作</w:t>
      </w:r>
      <w:r>
        <w:rPr>
          <w:sz w:val="24"/>
        </w:rPr>
        <w:t>为无效处理。</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4" w:firstLine="480"/>
        <w:jc w:val="both"/>
        <w:textAlignment w:val="auto"/>
        <w:rPr>
          <w:sz w:val="24"/>
        </w:rPr>
      </w:pPr>
      <w:r>
        <w:rPr>
          <w:sz w:val="24"/>
        </w:rPr>
        <w:t>前期参与申请人处理。为采购项目提供整体设计、规范编制或者项目管理、监理、</w:t>
      </w:r>
      <w:r>
        <w:rPr>
          <w:spacing w:val="-4"/>
          <w:sz w:val="24"/>
        </w:rPr>
        <w:t>检测等服务的申请人，不得再参加该采购项目的其他采购活动。申请人为采购人、采购代理机构在确定采购需求、编制采购文件过程中提供咨询论证，其提供的咨询论证意见成为采购文件中规定的申请人资格条件、技术服务商务要求、评标因素和标准、政府采购合同等实质</w:t>
      </w:r>
      <w:r>
        <w:rPr>
          <w:sz w:val="24"/>
        </w:rPr>
        <w:t>性内容条款的，视同为采购项目提供规范编制。</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申请人实际控制人或者中高级管理人员，同时是采购代理机构工作人员，不得参与本项目政府采购活动。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同一母公司的两家以上的子公司只能组成联合体参加本项目同一合同项下的采购活动，不得以不同申请人身份同时参加本项目同一合同项下的采购活动。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申请人与采购代理机构存在关联关系，或者是采购代理机构的母公司或子公司，不得参加本项目政府采购活动。</w:t>
      </w:r>
    </w:p>
    <w:p>
      <w:pPr>
        <w:pStyle w:val="24"/>
        <w:keepNext w:val="0"/>
        <w:keepLines w:val="0"/>
        <w:pageBreakBefore w:val="0"/>
        <w:widowControl w:val="0"/>
        <w:numPr>
          <w:ilvl w:val="1"/>
          <w:numId w:val="4"/>
        </w:numPr>
        <w:tabs>
          <w:tab w:val="left" w:pos="1293"/>
        </w:tabs>
        <w:kinsoku/>
        <w:wordWrap/>
        <w:overflowPunct/>
        <w:topLinePunct w:val="0"/>
        <w:autoSpaceDE w:val="0"/>
        <w:autoSpaceDN w:val="0"/>
        <w:bidi w:val="0"/>
        <w:adjustRightInd/>
        <w:snapToGrid/>
        <w:spacing w:line="430" w:lineRule="exact"/>
        <w:ind w:left="392" w:right="349" w:firstLine="480"/>
        <w:jc w:val="both"/>
        <w:textAlignment w:val="auto"/>
        <w:rPr>
          <w:sz w:val="24"/>
        </w:rPr>
      </w:pPr>
      <w:r>
        <w:rPr>
          <w:sz w:val="24"/>
        </w:rPr>
        <w:t>回避。政府采购活动中，采购人员及相关人员与申请人有下列利害关系之一的，应当回避：</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①</w:t>
      </w:r>
      <w:r>
        <w:rPr>
          <w:spacing w:val="-10"/>
          <w:sz w:val="24"/>
        </w:rPr>
        <w:t xml:space="preserve">参加采购活动前 </w:t>
      </w:r>
      <w:r>
        <w:rPr>
          <w:sz w:val="24"/>
        </w:rPr>
        <w:t>3</w:t>
      </w:r>
      <w:r>
        <w:rPr>
          <w:spacing w:val="-10"/>
          <w:sz w:val="24"/>
        </w:rPr>
        <w:t xml:space="preserve"> 年内与申请人存在劳动关系；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②</w:t>
      </w:r>
      <w:r>
        <w:rPr>
          <w:spacing w:val="-10"/>
          <w:sz w:val="24"/>
        </w:rPr>
        <w:t xml:space="preserve">参加采购活动前 </w:t>
      </w:r>
      <w:r>
        <w:rPr>
          <w:sz w:val="24"/>
        </w:rPr>
        <w:t>3</w:t>
      </w:r>
      <w:r>
        <w:rPr>
          <w:spacing w:val="-10"/>
          <w:sz w:val="24"/>
        </w:rPr>
        <w:t xml:space="preserve"> 年内担任申请人的董事、监事；</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pacing w:val="-10"/>
          <w:sz w:val="24"/>
          <w:lang w:val="en-US" w:eastAsia="zh-CN"/>
        </w:rPr>
        <w:t>③</w:t>
      </w:r>
      <w:r>
        <w:rPr>
          <w:spacing w:val="-10"/>
          <w:sz w:val="24"/>
        </w:rPr>
        <w:t xml:space="preserve">参加采购活动前 </w:t>
      </w:r>
      <w:r>
        <w:rPr>
          <w:sz w:val="24"/>
        </w:rPr>
        <w:t>3</w:t>
      </w:r>
      <w:r>
        <w:rPr>
          <w:spacing w:val="-10"/>
          <w:sz w:val="24"/>
        </w:rPr>
        <w:t xml:space="preserve"> 年内是申请人的控股股东或者实际控制人；</w:t>
      </w:r>
    </w:p>
    <w:p>
      <w:pPr>
        <w:pStyle w:val="24"/>
        <w:keepNext w:val="0"/>
        <w:keepLines w:val="0"/>
        <w:pageBreakBefore w:val="0"/>
        <w:widowControl w:val="0"/>
        <w:numPr>
          <w:ilvl w:val="0"/>
          <w:numId w:val="0"/>
        </w:numPr>
        <w:tabs>
          <w:tab w:val="left" w:pos="1480"/>
        </w:tabs>
        <w:kinsoku/>
        <w:wordWrap/>
        <w:overflowPunct/>
        <w:topLinePunct w:val="0"/>
        <w:autoSpaceDE w:val="0"/>
        <w:autoSpaceDN w:val="0"/>
        <w:bidi w:val="0"/>
        <w:adjustRightInd/>
        <w:snapToGrid/>
        <w:spacing w:line="430" w:lineRule="exact"/>
        <w:ind w:left="872" w:leftChars="0" w:right="449" w:rightChars="0"/>
        <w:jc w:val="both"/>
        <w:textAlignment w:val="auto"/>
        <w:rPr>
          <w:sz w:val="24"/>
        </w:rPr>
      </w:pPr>
      <w:r>
        <w:rPr>
          <w:rFonts w:hint="eastAsia" w:ascii="Calibri" w:hAnsi="Calibri" w:cs="Calibri"/>
          <w:spacing w:val="-10"/>
          <w:sz w:val="24"/>
          <w:lang w:val="en-US" w:eastAsia="zh-CN"/>
        </w:rPr>
        <w:t>④</w:t>
      </w:r>
      <w:r>
        <w:rPr>
          <w:spacing w:val="-1"/>
          <w:sz w:val="24"/>
        </w:rPr>
        <w:t>与申请人的法定代表人或者负责人有夫妻、直系血亲、三代以内旁系血亲或者近</w:t>
      </w:r>
      <w:r>
        <w:rPr>
          <w:sz w:val="24"/>
        </w:rPr>
        <w:t>姻亲关系；</w:t>
      </w:r>
    </w:p>
    <w:p>
      <w:pPr>
        <w:pStyle w:val="24"/>
        <w:keepNext w:val="0"/>
        <w:keepLines w:val="0"/>
        <w:pageBreakBefore w:val="0"/>
        <w:widowControl w:val="0"/>
        <w:numPr>
          <w:ilvl w:val="0"/>
          <w:numId w:val="0"/>
        </w:numPr>
        <w:tabs>
          <w:tab w:val="left" w:pos="1473"/>
        </w:tabs>
        <w:kinsoku/>
        <w:wordWrap/>
        <w:overflowPunct/>
        <w:topLinePunct w:val="0"/>
        <w:autoSpaceDE w:val="0"/>
        <w:autoSpaceDN w:val="0"/>
        <w:bidi w:val="0"/>
        <w:adjustRightInd/>
        <w:snapToGrid/>
        <w:spacing w:line="430" w:lineRule="exact"/>
        <w:ind w:left="869" w:leftChars="0"/>
        <w:jc w:val="both"/>
        <w:textAlignment w:val="auto"/>
        <w:rPr>
          <w:sz w:val="24"/>
        </w:rPr>
      </w:pPr>
      <w:r>
        <w:rPr>
          <w:rFonts w:hint="eastAsia"/>
          <w:sz w:val="24"/>
          <w:lang w:val="en-US" w:eastAsia="zh-CN"/>
        </w:rPr>
        <w:t>⑤</w:t>
      </w:r>
      <w:r>
        <w:rPr>
          <w:sz w:val="24"/>
        </w:rPr>
        <w:t>与申请人有其他可能影响政府采购活动公平、公正进行的关系。</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3"/>
        </w:rPr>
        <w:t>本项目政府采购活动中需要依法回避的采购人员是指采购人内部负责采购项目的具体</w:t>
      </w:r>
      <w:r>
        <w:rPr>
          <w:spacing w:val="-4"/>
        </w:rPr>
        <w:t>经办工作人员和直接分管采购项目的负责人，以及采购代理机构负责采购项目的具体经办工作人员和直接分管采购活动的负责人。本项目政府采购活动中需要依法回避的相关人员是指</w:t>
      </w:r>
      <w:r>
        <w:t>资格预审小组成员。</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pPr>
      <w:r>
        <w:rPr>
          <w:spacing w:val="-4"/>
        </w:rPr>
        <w:t>申请人认为采购人员及相关人员与其他申请人有利害关系的，可以向采购代理机构书面提出回避申请，并说明理由。采购代理机构将及时询问被申请回避人员，有利害关系的被申</w:t>
      </w:r>
      <w:r>
        <w:t>请回避人员应当回避。</w:t>
      </w:r>
    </w:p>
    <w:p>
      <w:pPr>
        <w:pStyle w:val="6"/>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r>
        <w:t>6、资格预审申请文件有效期（实质性要求）</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392" w:right="344" w:firstLine="480"/>
        <w:jc w:val="both"/>
        <w:textAlignment w:val="auto"/>
        <w:rPr>
          <w:spacing w:val="-4"/>
        </w:rPr>
      </w:pPr>
      <w:r>
        <w:rPr>
          <w:spacing w:val="-4"/>
        </w:rPr>
        <w:t>本项目资格预审申请文件有效期为递交资格预审申请文件截止之日起</w:t>
      </w:r>
      <w:r>
        <w:rPr>
          <w:rFonts w:hint="eastAsia"/>
          <w:spacing w:val="-4"/>
          <w:lang w:val="en-US" w:eastAsia="zh-CN"/>
        </w:rPr>
        <w:t xml:space="preserve"> </w:t>
      </w:r>
      <w:r>
        <w:rPr>
          <w:rFonts w:hint="eastAsia"/>
          <w:spacing w:val="-4"/>
          <w:u w:val="single"/>
          <w:lang w:val="en-US" w:eastAsia="zh-CN"/>
        </w:rPr>
        <w:t>90</w:t>
      </w:r>
      <w:r>
        <w:rPr>
          <w:rFonts w:hint="eastAsia"/>
          <w:spacing w:val="-4"/>
          <w:lang w:val="en-US" w:eastAsia="zh-CN"/>
        </w:rPr>
        <w:t xml:space="preserve"> </w:t>
      </w:r>
      <w:r>
        <w:rPr>
          <w:spacing w:val="-4"/>
        </w:rPr>
        <w:t>天。申请人资格预审申请文件中必须载明资格预审申请文件有效期，资格预审申请文件中载明的资格预审申请文件有效期可以长于资格预审文件规定的期限，但不得短于资格预审申请文件规定的期限。否则，其资格预审申请文件将作为无效处理。</w:t>
      </w:r>
    </w:p>
    <w:p>
      <w:pPr>
        <w:pStyle w:val="9"/>
        <w:keepNext w:val="0"/>
        <w:keepLines w:val="0"/>
        <w:pageBreakBefore w:val="0"/>
        <w:widowControl w:val="0"/>
        <w:kinsoku/>
        <w:wordWrap/>
        <w:overflowPunct/>
        <w:topLinePunct w:val="0"/>
        <w:autoSpaceDE w:val="0"/>
        <w:autoSpaceDN w:val="0"/>
        <w:bidi w:val="0"/>
        <w:adjustRightInd/>
        <w:snapToGrid/>
        <w:spacing w:line="430" w:lineRule="exact"/>
        <w:textAlignment w:val="auto"/>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55"/>
        <w:textAlignment w:val="auto"/>
      </w:pPr>
      <w:bookmarkStart w:id="26" w:name="_Toc9369"/>
      <w:r>
        <w:t>三、资格预审文件</w:t>
      </w:r>
      <w:bookmarkEnd w:id="26"/>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7" w:name="6.资格预审文件的构成"/>
      <w:bookmarkEnd w:id="27"/>
      <w:r>
        <w:rPr>
          <w:rFonts w:hint="eastAsia" w:ascii="宋体" w:hAnsi="宋体" w:eastAsia="宋体" w:cs="宋体"/>
          <w:b/>
          <w:bCs/>
          <w:sz w:val="24"/>
          <w:szCs w:val="22"/>
          <w:lang w:val="en-US" w:eastAsia="zh-CN" w:bidi="zh-CN"/>
        </w:rPr>
        <w:t>7</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资格预审文件的构成</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7.1 </w:t>
      </w:r>
      <w:r>
        <w:rPr>
          <w:rFonts w:ascii="宋体" w:hAnsi="宋体" w:eastAsia="宋体" w:cs="宋体"/>
          <w:b w:val="0"/>
          <w:bCs w:val="0"/>
          <w:sz w:val="24"/>
          <w:szCs w:val="22"/>
          <w:lang w:val="zh-CN" w:eastAsia="zh-CN" w:bidi="zh-CN"/>
        </w:rPr>
        <w:t>资格预审文件是申请人准备申请文件和参加资格预审的依据，同时也是资格预审的重要依据。资格预审文件用以阐明资格预审项目所需的资质、项目需求等要求。</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7.2 </w:t>
      </w:r>
      <w:r>
        <w:rPr>
          <w:rFonts w:ascii="宋体" w:hAnsi="宋体" w:eastAsia="宋体" w:cs="宋体"/>
          <w:b w:val="0"/>
          <w:bCs w:val="0"/>
          <w:sz w:val="24"/>
          <w:szCs w:val="22"/>
          <w:lang w:val="zh-CN" w:eastAsia="zh-CN" w:bidi="zh-CN"/>
        </w:rPr>
        <w:t>申请人应认真阅读和充分理解资格预审文件中所有的事项、格式条款和规范要求。申请人应详细阅读资格预审文件的全部内容，按照资格预审文件的要求提供申请文件，并保证所提供的全部资料的真实性和有效性，一经发现有虚假行为的，将取消其参加资格预审或后续采购活动的资格，并承担相应的法律责任。</w:t>
      </w: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0" w:firstLine="723" w:firstLineChars="300"/>
        <w:textAlignment w:val="auto"/>
        <w:rPr>
          <w:rFonts w:ascii="宋体" w:hAnsi="宋体" w:eastAsia="宋体" w:cs="宋体"/>
          <w:b/>
          <w:bCs/>
          <w:sz w:val="24"/>
          <w:szCs w:val="22"/>
          <w:lang w:val="zh-CN" w:eastAsia="zh-CN" w:bidi="zh-CN"/>
        </w:rPr>
      </w:pPr>
      <w:bookmarkStart w:id="28" w:name="7.资格预审文件的澄清和修改"/>
      <w:bookmarkEnd w:id="28"/>
      <w:r>
        <w:rPr>
          <w:rFonts w:hint="eastAsia" w:ascii="宋体" w:hAnsi="宋体" w:eastAsia="宋体" w:cs="宋体"/>
          <w:b/>
          <w:bCs/>
          <w:sz w:val="24"/>
          <w:szCs w:val="22"/>
          <w:lang w:val="en-US" w:eastAsia="zh-CN" w:bidi="zh-CN"/>
        </w:rPr>
        <w:t>8</w:t>
      </w:r>
      <w:r>
        <w:rPr>
          <w:rFonts w:hint="eastAsia" w:cs="宋体"/>
          <w:b/>
          <w:bCs/>
          <w:sz w:val="24"/>
          <w:szCs w:val="22"/>
          <w:lang w:val="en-US" w:eastAsia="zh-CN" w:bidi="zh-CN"/>
        </w:rPr>
        <w:t>、</w:t>
      </w:r>
      <w:r>
        <w:rPr>
          <w:rFonts w:ascii="宋体" w:hAnsi="宋体" w:eastAsia="宋体" w:cs="宋体"/>
          <w:b/>
          <w:bCs/>
          <w:sz w:val="24"/>
          <w:szCs w:val="22"/>
          <w:lang w:val="zh-CN" w:eastAsia="zh-CN" w:bidi="zh-CN"/>
        </w:rPr>
        <w:t>资格预审文件的澄清和修改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8.1 </w:t>
      </w:r>
      <w:r>
        <w:rPr>
          <w:rFonts w:ascii="宋体" w:hAnsi="宋体" w:eastAsia="宋体" w:cs="宋体"/>
          <w:b w:val="0"/>
          <w:bCs w:val="0"/>
          <w:sz w:val="24"/>
          <w:szCs w:val="22"/>
          <w:lang w:val="zh-CN" w:eastAsia="zh-CN" w:bidi="zh-CN"/>
        </w:rPr>
        <w:t>在递交申请文件截止时间前，采购人、采购代理机构可以对资格预审文件进行澄清或者修改。</w:t>
      </w:r>
    </w:p>
    <w:p>
      <w:pPr>
        <w:pStyle w:val="24"/>
        <w:keepNext w:val="0"/>
        <w:keepLines w:val="0"/>
        <w:pageBreakBefore w:val="0"/>
        <w:widowControl w:val="0"/>
        <w:tabs>
          <w:tab w:val="left" w:pos="1293"/>
        </w:tabs>
        <w:kinsoku/>
        <w:wordWrap/>
        <w:overflowPunct/>
        <w:topLinePunct w:val="0"/>
        <w:autoSpaceDE w:val="0"/>
        <w:autoSpaceDN w:val="0"/>
        <w:bidi w:val="0"/>
        <w:adjustRightInd/>
        <w:snapToGrid/>
        <w:spacing w:line="430" w:lineRule="exact"/>
        <w:ind w:left="240" w:leftChars="109" w:firstLine="480" w:firstLineChars="200"/>
        <w:jc w:val="both"/>
        <w:textAlignment w:val="auto"/>
        <w:rPr>
          <w:rFonts w:ascii="宋体" w:hAnsi="宋体" w:eastAsia="宋体" w:cs="宋体"/>
          <w:b w:val="0"/>
          <w:bCs w:val="0"/>
          <w:sz w:val="24"/>
          <w:szCs w:val="22"/>
          <w:lang w:val="zh-CN" w:eastAsia="zh-CN" w:bidi="zh-CN"/>
        </w:rPr>
      </w:pPr>
      <w:r>
        <w:rPr>
          <w:rFonts w:hint="eastAsia" w:ascii="宋体" w:hAnsi="宋体" w:eastAsia="宋体" w:cs="宋体"/>
          <w:b w:val="0"/>
          <w:bCs w:val="0"/>
          <w:sz w:val="24"/>
          <w:szCs w:val="22"/>
          <w:lang w:val="en-US" w:eastAsia="zh-CN" w:bidi="zh-CN"/>
        </w:rPr>
        <w:t xml:space="preserve">8.2 </w:t>
      </w:r>
      <w:r>
        <w:rPr>
          <w:rFonts w:ascii="宋体" w:hAnsi="宋体" w:eastAsia="宋体" w:cs="宋体"/>
          <w:b w:val="0"/>
          <w:bCs w:val="0"/>
          <w:sz w:val="24"/>
          <w:szCs w:val="22"/>
          <w:lang w:val="zh-CN" w:eastAsia="zh-CN" w:bidi="zh-CN"/>
        </w:rPr>
        <w:t>采购代理机构对已发出的资格预审文件进行澄清或者修改，应当以书面形式将澄清或者修改的内容通知所有获取了资格预审文件的申请人。澄清或者修改的内容可能影响资格预审申请文件编制的，采购人或者采购代理机构应当在提交资格预审申请文件截止时间至少3日前，以书面形式通知所有获取资格预审文件的潜在申请人；不足3日的，采购人或者采购代理机构应当顺延提交资格预审申请文件的截止时间。</w:t>
      </w:r>
    </w:p>
    <w:p>
      <w:pPr>
        <w:pStyle w:val="9"/>
        <w:keepNext w:val="0"/>
        <w:keepLines w:val="0"/>
        <w:pageBreakBefore w:val="0"/>
        <w:widowControl w:val="0"/>
        <w:kinsoku/>
        <w:wordWrap/>
        <w:overflowPunct/>
        <w:topLinePunct w:val="0"/>
        <w:autoSpaceDE w:val="0"/>
        <w:autoSpaceDN w:val="0"/>
        <w:bidi w:val="0"/>
        <w:adjustRightInd/>
        <w:snapToGrid/>
        <w:spacing w:line="430" w:lineRule="exact"/>
        <w:textAlignment w:val="auto"/>
        <w:rPr>
          <w:rFonts w:hint="eastAsia" w:eastAsia="宋体"/>
          <w:lang w:val="en-US" w:eastAsia="zh-CN"/>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r>
        <w:rPr>
          <w:rFonts w:hint="eastAsia"/>
          <w:lang w:val="en-US" w:eastAsia="zh-CN"/>
        </w:rPr>
        <w:t>四</w:t>
      </w:r>
      <w:r>
        <w:t>、申请文件</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tabs>
          <w:tab w:val="left" w:pos="1113"/>
        </w:tabs>
        <w:kinsoku/>
        <w:wordWrap/>
        <w:overflowPunct/>
        <w:topLinePunct w:val="0"/>
        <w:autoSpaceDE w:val="0"/>
        <w:autoSpaceDN w:val="0"/>
        <w:bidi w:val="0"/>
        <w:adjustRightInd/>
        <w:snapToGrid/>
        <w:spacing w:line="430" w:lineRule="exact"/>
        <w:ind w:left="867"/>
        <w:textAlignment w:val="auto"/>
      </w:pPr>
      <w:bookmarkStart w:id="29" w:name="8.申请文件的组成"/>
      <w:bookmarkEnd w:id="29"/>
      <w:r>
        <w:rPr>
          <w:rFonts w:hint="eastAsia"/>
          <w:lang w:val="en-US"/>
        </w:rPr>
        <w:t>9</w:t>
      </w:r>
      <w:r>
        <w:rPr>
          <w:rFonts w:hint="eastAsia"/>
          <w:lang w:val="en-US" w:eastAsia="zh-CN"/>
        </w:rPr>
        <w:t>、</w:t>
      </w:r>
      <w:r>
        <w:rPr>
          <w:rFonts w:hint="eastAsia"/>
          <w:lang w:val="en-US"/>
        </w:rPr>
        <w:t xml:space="preserve"> </w:t>
      </w:r>
      <w:r>
        <w:t>申请文件的组成</w:t>
      </w:r>
    </w:p>
    <w:p>
      <w:pPr>
        <w:keepNext w:val="0"/>
        <w:keepLines w:val="0"/>
        <w:pageBreakBefore w:val="0"/>
        <w:widowControl w:val="0"/>
        <w:kinsoku/>
        <w:wordWrap/>
        <w:overflowPunct/>
        <w:topLinePunct w:val="0"/>
        <w:autoSpaceDE w:val="0"/>
        <w:autoSpaceDN w:val="0"/>
        <w:bidi w:val="0"/>
        <w:adjustRightInd/>
        <w:snapToGrid/>
        <w:spacing w:line="430" w:lineRule="exact"/>
        <w:ind w:left="870"/>
        <w:textAlignment w:val="auto"/>
        <w:rPr>
          <w:b/>
          <w:sz w:val="24"/>
        </w:rPr>
      </w:pPr>
      <w:r>
        <w:rPr>
          <w:b w:val="0"/>
          <w:bCs/>
          <w:sz w:val="24"/>
        </w:rPr>
        <w:t>资格预审申请人应提交资格预审申请文件</w:t>
      </w:r>
      <w:r>
        <w:rPr>
          <w:b w:val="0"/>
          <w:bCs/>
          <w:color w:val="0000FF"/>
          <w:sz w:val="24"/>
        </w:rPr>
        <w:t>正本一份和副本两份</w:t>
      </w:r>
      <w:r>
        <w:rPr>
          <w:b/>
          <w:color w:val="0000FF"/>
          <w:sz w:val="24"/>
        </w:rPr>
        <w:t>。</w:t>
      </w:r>
    </w:p>
    <w:p>
      <w:pPr>
        <w:pStyle w:val="24"/>
        <w:keepNext w:val="0"/>
        <w:keepLines w:val="0"/>
        <w:pageBreakBefore w:val="0"/>
        <w:widowControl w:val="0"/>
        <w:numPr>
          <w:ilvl w:val="0"/>
          <w:numId w:val="5"/>
        </w:numPr>
        <w:tabs>
          <w:tab w:val="left" w:pos="1233"/>
        </w:tabs>
        <w:kinsoku/>
        <w:wordWrap/>
        <w:overflowPunct/>
        <w:topLinePunct w:val="0"/>
        <w:autoSpaceDE w:val="0"/>
        <w:autoSpaceDN w:val="0"/>
        <w:bidi w:val="0"/>
        <w:adjustRightInd/>
        <w:snapToGrid/>
        <w:spacing w:line="430" w:lineRule="exact"/>
        <w:jc w:val="both"/>
        <w:textAlignment w:val="auto"/>
        <w:rPr>
          <w:b/>
          <w:sz w:val="24"/>
        </w:rPr>
      </w:pPr>
      <w:r>
        <w:rPr>
          <w:rFonts w:hint="eastAsia"/>
          <w:b/>
          <w:sz w:val="24"/>
          <w:lang w:eastAsia="zh-CN"/>
        </w:rPr>
        <w:t>、</w:t>
      </w:r>
      <w:r>
        <w:rPr>
          <w:b/>
          <w:sz w:val="24"/>
        </w:rPr>
        <w:t>申请文件的语言（实质性要求）</w:t>
      </w:r>
    </w:p>
    <w:p>
      <w:pPr>
        <w:pStyle w:val="24"/>
        <w:keepNext w:val="0"/>
        <w:keepLines w:val="0"/>
        <w:pageBreakBefore w:val="0"/>
        <w:widowControl w:val="0"/>
        <w:numPr>
          <w:ilvl w:val="1"/>
          <w:numId w:val="5"/>
        </w:numPr>
        <w:tabs>
          <w:tab w:val="left" w:pos="1411"/>
        </w:tabs>
        <w:kinsoku/>
        <w:wordWrap/>
        <w:overflowPunct/>
        <w:topLinePunct w:val="0"/>
        <w:autoSpaceDE w:val="0"/>
        <w:autoSpaceDN w:val="0"/>
        <w:bidi w:val="0"/>
        <w:adjustRightInd/>
        <w:snapToGrid/>
        <w:spacing w:line="430" w:lineRule="exact"/>
        <w:ind w:right="321" w:firstLine="480"/>
        <w:jc w:val="both"/>
        <w:textAlignment w:val="auto"/>
        <w:rPr>
          <w:b/>
          <w:sz w:val="24"/>
        </w:rPr>
      </w:pPr>
      <w:r>
        <w:rPr>
          <w:spacing w:val="-3"/>
          <w:sz w:val="24"/>
        </w:rPr>
        <w:t>申请人提交的申请文件以及申请人与采购人、采购代理机构就有关资格预审的所有</w:t>
      </w:r>
      <w:r>
        <w:rPr>
          <w:spacing w:val="-8"/>
          <w:sz w:val="24"/>
        </w:rPr>
        <w:t>来往书面文件均须使用中文。申请文件中如附有外文资料，必须逐一对应翻译成中文并加盖申</w:t>
      </w:r>
      <w:r>
        <w:rPr>
          <w:spacing w:val="-3"/>
          <w:sz w:val="24"/>
        </w:rPr>
        <w:t>请人公章后附在相关外文资料后面，否则，申请人的申请文件将作为无效处理。</w:t>
      </w:r>
      <w:r>
        <w:rPr>
          <w:b/>
          <w:spacing w:val="-3"/>
          <w:sz w:val="24"/>
        </w:rPr>
        <w:t>（</w:t>
      </w:r>
      <w:r>
        <w:rPr>
          <w:b/>
          <w:spacing w:val="-6"/>
          <w:sz w:val="24"/>
        </w:rPr>
        <w:t>说明： 申请人的法定代表人为外籍人士的，法定代表人的签字和护照除外。）</w:t>
      </w:r>
    </w:p>
    <w:p>
      <w:pPr>
        <w:pStyle w:val="24"/>
        <w:keepNext w:val="0"/>
        <w:keepLines w:val="0"/>
        <w:pageBreakBefore w:val="0"/>
        <w:widowControl w:val="0"/>
        <w:numPr>
          <w:ilvl w:val="1"/>
          <w:numId w:val="5"/>
        </w:numPr>
        <w:tabs>
          <w:tab w:val="left" w:pos="1473"/>
        </w:tabs>
        <w:kinsoku/>
        <w:wordWrap/>
        <w:overflowPunct/>
        <w:topLinePunct w:val="0"/>
        <w:autoSpaceDE w:val="0"/>
        <w:autoSpaceDN w:val="0"/>
        <w:bidi w:val="0"/>
        <w:adjustRightInd/>
        <w:snapToGrid/>
        <w:spacing w:line="430" w:lineRule="exact"/>
        <w:ind w:right="352" w:firstLine="480"/>
        <w:jc w:val="both"/>
        <w:textAlignment w:val="auto"/>
        <w:rPr>
          <w:sz w:val="24"/>
        </w:rPr>
      </w:pPr>
      <w:r>
        <w:rPr>
          <w:sz w:val="24"/>
        </w:rPr>
        <w:t>翻译的中文资料与外文资料如果出现差异和矛盾，以中文为准。但不能故意错误翻译，否则，申请人的申请文件将作为无效处理。</w:t>
      </w:r>
    </w:p>
    <w:p>
      <w:pPr>
        <w:pStyle w:val="6"/>
        <w:keepNext w:val="0"/>
        <w:keepLines w:val="0"/>
        <w:pageBreakBefore w:val="0"/>
        <w:widowControl w:val="0"/>
        <w:numPr>
          <w:ilvl w:val="0"/>
          <w:numId w:val="0"/>
        </w:numPr>
        <w:tabs>
          <w:tab w:val="left" w:pos="1236"/>
        </w:tabs>
        <w:kinsoku/>
        <w:wordWrap/>
        <w:overflowPunct/>
        <w:topLinePunct w:val="0"/>
        <w:autoSpaceDE w:val="0"/>
        <w:autoSpaceDN w:val="0"/>
        <w:bidi w:val="0"/>
        <w:adjustRightInd/>
        <w:snapToGrid/>
        <w:spacing w:line="430" w:lineRule="exact"/>
        <w:ind w:left="869" w:leftChars="0"/>
        <w:jc w:val="both"/>
        <w:textAlignment w:val="auto"/>
      </w:pPr>
      <w:bookmarkStart w:id="30" w:name="11.申请文件格式"/>
      <w:bookmarkEnd w:id="30"/>
      <w:r>
        <w:rPr>
          <w:rFonts w:hint="eastAsia"/>
          <w:lang w:val="en-US" w:eastAsia="zh-CN"/>
        </w:rPr>
        <w:t>11、</w:t>
      </w:r>
      <w:r>
        <w:t>申请文件格式</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申请人应执行资格预审文件的规定要求。</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rFonts w:ascii="宋体" w:hAnsi="宋体" w:eastAsia="宋体" w:cs="宋体"/>
          <w:spacing w:val="-5"/>
          <w:sz w:val="24"/>
          <w:lang w:val="zh-CN" w:eastAsia="zh-CN"/>
        </w:rPr>
      </w:pPr>
      <w:r>
        <w:rPr>
          <w:rFonts w:ascii="宋体" w:hAnsi="宋体" w:eastAsia="宋体" w:cs="宋体"/>
          <w:spacing w:val="-5"/>
          <w:sz w:val="24"/>
          <w:lang w:val="zh-CN" w:eastAsia="zh-CN"/>
        </w:rPr>
        <w:t>对于没有格式要求的资格预审文件由申请人自行编写。</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70" w:firstLineChars="200"/>
        <w:textAlignment w:val="auto"/>
        <w:rPr>
          <w:b/>
          <w:sz w:val="24"/>
        </w:rPr>
      </w:pPr>
      <w:r>
        <w:rPr>
          <w:b/>
          <w:spacing w:val="-3"/>
          <w:sz w:val="24"/>
        </w:rPr>
        <w:t>12</w:t>
      </w:r>
      <w:r>
        <w:rPr>
          <w:rFonts w:hint="eastAsia"/>
          <w:b/>
          <w:spacing w:val="-3"/>
          <w:sz w:val="24"/>
          <w:lang w:eastAsia="zh-CN"/>
        </w:rPr>
        <w:t>、</w:t>
      </w:r>
      <w:r>
        <w:rPr>
          <w:b/>
          <w:spacing w:val="-3"/>
          <w:sz w:val="24"/>
        </w:rPr>
        <w:t>申请文件的编制和签署</w:t>
      </w:r>
    </w:p>
    <w:p>
      <w:pPr>
        <w:pStyle w:val="6"/>
        <w:keepNext w:val="0"/>
        <w:keepLines w:val="0"/>
        <w:pageBreakBefore w:val="0"/>
        <w:widowControl w:val="0"/>
        <w:numPr>
          <w:ilvl w:val="1"/>
          <w:numId w:val="6"/>
        </w:numPr>
        <w:tabs>
          <w:tab w:val="left" w:pos="1382"/>
        </w:tabs>
        <w:kinsoku/>
        <w:wordWrap/>
        <w:overflowPunct/>
        <w:topLinePunct w:val="0"/>
        <w:autoSpaceDE w:val="0"/>
        <w:autoSpaceDN w:val="0"/>
        <w:bidi w:val="0"/>
        <w:adjustRightInd/>
        <w:snapToGrid/>
        <w:spacing w:line="430" w:lineRule="exact"/>
        <w:ind w:right="361" w:firstLine="468"/>
        <w:textAlignment w:val="auto"/>
        <w:rPr>
          <w:b w:val="0"/>
          <w:bCs w:val="0"/>
          <w:szCs w:val="22"/>
        </w:rPr>
      </w:pPr>
      <w:bookmarkStart w:id="31" w:name="12.1申请文件至少提交正本1_份副本2_份，并在其封面上清楚地标明资格预审申请"/>
      <w:bookmarkEnd w:id="31"/>
      <w:r>
        <w:rPr>
          <w:b w:val="0"/>
          <w:bCs w:val="0"/>
          <w:szCs w:val="22"/>
        </w:rPr>
        <w:t>申请文件至少提交正本1份</w:t>
      </w:r>
      <w:r>
        <w:rPr>
          <w:rFonts w:hint="eastAsia"/>
          <w:b w:val="0"/>
          <w:bCs w:val="0"/>
          <w:szCs w:val="22"/>
        </w:rPr>
        <w:t>、</w:t>
      </w:r>
      <w:r>
        <w:rPr>
          <w:b w:val="0"/>
          <w:bCs w:val="0"/>
          <w:szCs w:val="22"/>
        </w:rPr>
        <w:t>副本2份，并在其封面上清楚地标明资格预审申请文件、采购项目名称、采购项目编号、包号及名称（如有）、申请人名称、年月日以及“正本”或“副本”字样。</w:t>
      </w:r>
    </w:p>
    <w:p>
      <w:pPr>
        <w:pStyle w:val="24"/>
        <w:keepNext w:val="0"/>
        <w:keepLines w:val="0"/>
        <w:pageBreakBefore w:val="0"/>
        <w:widowControl w:val="0"/>
        <w:numPr>
          <w:ilvl w:val="1"/>
          <w:numId w:val="6"/>
        </w:numPr>
        <w:tabs>
          <w:tab w:val="left" w:pos="1401"/>
        </w:tabs>
        <w:kinsoku/>
        <w:wordWrap/>
        <w:overflowPunct/>
        <w:topLinePunct w:val="0"/>
        <w:autoSpaceDE w:val="0"/>
        <w:autoSpaceDN w:val="0"/>
        <w:bidi w:val="0"/>
        <w:adjustRightInd/>
        <w:snapToGrid/>
        <w:spacing w:line="430" w:lineRule="exact"/>
        <w:ind w:right="342" w:firstLine="470"/>
        <w:jc w:val="both"/>
        <w:textAlignment w:val="auto"/>
        <w:rPr>
          <w:sz w:val="24"/>
        </w:rPr>
      </w:pPr>
      <w:r>
        <w:rPr>
          <w:spacing w:val="-3"/>
          <w:sz w:val="24"/>
        </w:rPr>
        <w:t>申请文件正本和副本均需打印或用不褪色、不变质的墨水书写，并在规定签章处签</w:t>
      </w:r>
      <w:r>
        <w:rPr>
          <w:spacing w:val="-4"/>
          <w:sz w:val="24"/>
        </w:rPr>
        <w:t>字和盖章。申请文件副本可采用正本的复印件，若正本和副本有不一致的内容，以正本书面</w:t>
      </w:r>
      <w:r>
        <w:rPr>
          <w:sz w:val="24"/>
        </w:rPr>
        <w:t>申请文件为准。</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right="344" w:firstLine="458"/>
        <w:jc w:val="both"/>
        <w:textAlignment w:val="auto"/>
        <w:rPr>
          <w:sz w:val="24"/>
        </w:rPr>
      </w:pPr>
      <w:r>
        <w:rPr>
          <w:spacing w:val="-3"/>
          <w:sz w:val="24"/>
        </w:rPr>
        <w:t>申请文件的打印和书写应清楚工整，任何行间插字、涂改或增删，必须由申请人的</w:t>
      </w:r>
      <w:r>
        <w:rPr>
          <w:spacing w:val="-2"/>
          <w:sz w:val="24"/>
        </w:rPr>
        <w:t>法定代表人</w:t>
      </w:r>
      <w:r>
        <w:rPr>
          <w:sz w:val="24"/>
        </w:rPr>
        <w:t>/单位负责人或其授权代表签字并盖申请人公章。字迹潦草、表达不清或可能导致非唯一理解的申请文件可能被作为无效处理。</w:t>
      </w:r>
    </w:p>
    <w:p>
      <w:pPr>
        <w:pStyle w:val="24"/>
        <w:keepNext w:val="0"/>
        <w:keepLines w:val="0"/>
        <w:pageBreakBefore w:val="0"/>
        <w:widowControl w:val="0"/>
        <w:numPr>
          <w:ilvl w:val="1"/>
          <w:numId w:val="6"/>
        </w:numPr>
        <w:tabs>
          <w:tab w:val="left" w:pos="1396"/>
        </w:tabs>
        <w:kinsoku/>
        <w:wordWrap/>
        <w:overflowPunct/>
        <w:topLinePunct w:val="0"/>
        <w:autoSpaceDE w:val="0"/>
        <w:autoSpaceDN w:val="0"/>
        <w:bidi w:val="0"/>
        <w:adjustRightInd/>
        <w:snapToGrid/>
        <w:spacing w:line="430" w:lineRule="exact"/>
        <w:ind w:right="335" w:firstLine="458"/>
        <w:jc w:val="both"/>
        <w:textAlignment w:val="auto"/>
        <w:rPr>
          <w:sz w:val="24"/>
        </w:rPr>
      </w:pPr>
      <w:r>
        <w:rPr>
          <w:spacing w:val="4"/>
          <w:sz w:val="24"/>
        </w:rPr>
        <w:t>申请文件应由申请人法定代表人/主要负责人/</w:t>
      </w:r>
      <w:r>
        <w:rPr>
          <w:spacing w:val="1"/>
          <w:sz w:val="24"/>
        </w:rPr>
        <w:t>本人或其授权代表在申请文件要求</w:t>
      </w:r>
      <w:r>
        <w:rPr>
          <w:sz w:val="24"/>
        </w:rPr>
        <w:t>的地方签字（或加盖私人印章）</w:t>
      </w:r>
      <w:r>
        <w:rPr>
          <w:spacing w:val="-3"/>
          <w:sz w:val="24"/>
        </w:rPr>
        <w:t>，要求加盖公章的地方加申请人公章，不得使用专用章</w:t>
      </w:r>
      <w:r>
        <w:rPr>
          <w:sz w:val="24"/>
        </w:rPr>
        <w:t>（如经济合同章、投标专用章等）或下属单位印章代替。</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申请文件正本和副本需要逐页编码。</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申请文件正本和副本</w:t>
      </w:r>
      <w:r>
        <w:rPr>
          <w:rFonts w:hint="eastAsia"/>
          <w:sz w:val="24"/>
        </w:rPr>
        <w:t>尽量</w:t>
      </w:r>
      <w:r>
        <w:rPr>
          <w:sz w:val="24"/>
        </w:rPr>
        <w:t>采用胶装方式装订成册，不得散装。</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z w:val="24"/>
        </w:rPr>
        <w:t>申请文件应根据资格预审文件的要求制作，签署、盖章。</w:t>
      </w:r>
    </w:p>
    <w:p>
      <w:pPr>
        <w:pStyle w:val="24"/>
        <w:keepNext w:val="0"/>
        <w:keepLines w:val="0"/>
        <w:pageBreakBefore w:val="0"/>
        <w:widowControl w:val="0"/>
        <w:numPr>
          <w:ilvl w:val="1"/>
          <w:numId w:val="6"/>
        </w:numPr>
        <w:tabs>
          <w:tab w:val="left" w:pos="1392"/>
        </w:tabs>
        <w:kinsoku/>
        <w:wordWrap/>
        <w:overflowPunct/>
        <w:topLinePunct w:val="0"/>
        <w:autoSpaceDE w:val="0"/>
        <w:autoSpaceDN w:val="0"/>
        <w:bidi w:val="0"/>
        <w:adjustRightInd/>
        <w:snapToGrid/>
        <w:spacing w:line="430" w:lineRule="exact"/>
        <w:ind w:left="1391" w:hanging="544"/>
        <w:jc w:val="both"/>
        <w:textAlignment w:val="auto"/>
        <w:rPr>
          <w:sz w:val="24"/>
        </w:rPr>
      </w:pPr>
      <w:r>
        <w:rPr>
          <w:spacing w:val="-10"/>
          <w:sz w:val="24"/>
        </w:rPr>
        <w:t xml:space="preserve">申请文件统一用 </w:t>
      </w:r>
      <w:r>
        <w:rPr>
          <w:sz w:val="24"/>
        </w:rPr>
        <w:t>A4</w:t>
      </w:r>
      <w:r>
        <w:rPr>
          <w:spacing w:val="-10"/>
          <w:sz w:val="24"/>
        </w:rPr>
        <w:t xml:space="preserve"> </w:t>
      </w:r>
      <w:r>
        <w:rPr>
          <w:rFonts w:ascii="宋体" w:hAnsi="宋体" w:eastAsia="宋体" w:cs="宋体"/>
          <w:b w:val="0"/>
          <w:bCs w:val="0"/>
          <w:sz w:val="24"/>
          <w:szCs w:val="22"/>
          <w:lang w:val="zh-CN" w:eastAsia="zh-CN" w:bidi="zh-CN"/>
        </w:rPr>
        <w:t>幅面</w:t>
      </w:r>
      <w:r>
        <w:rPr>
          <w:spacing w:val="-10"/>
          <w:sz w:val="24"/>
        </w:rPr>
        <w:t>纸印制，除另有规定外。</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bookmarkStart w:id="32" w:name="13.申请文件的密封和标注（由采购人、采购代理机构在接收申请文件时及时处理）"/>
      <w:bookmarkEnd w:id="32"/>
      <w:r>
        <w:rPr>
          <w:rFonts w:hint="eastAsia"/>
          <w:sz w:val="24"/>
          <w:lang w:val="en-US" w:eastAsia="zh-CN"/>
        </w:rPr>
        <w:t>13、</w:t>
      </w:r>
      <w:r>
        <w:rPr>
          <w:sz w:val="24"/>
        </w:rPr>
        <w:t>申请文件的密封和标注（由采购人、采购代理机构在接收申请文件时及时处理）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firstLine="240" w:firstLineChars="100"/>
        <w:jc w:val="both"/>
        <w:textAlignment w:val="auto"/>
        <w:rPr>
          <w:sz w:val="24"/>
        </w:rPr>
      </w:pPr>
      <w:r>
        <w:rPr>
          <w:rFonts w:hint="eastAsia"/>
          <w:sz w:val="24"/>
          <w:lang w:val="en-US" w:eastAsia="zh-CN"/>
        </w:rPr>
        <w:t>13.1</w:t>
      </w:r>
      <w:r>
        <w:rPr>
          <w:sz w:val="24"/>
          <w:lang w:val="zh-CN" w:eastAsia="zh-CN"/>
        </w:rPr>
        <w:t>申请人提交的资格预审申请文件正本、副本可以单独密封包装，也可以全部密封包装在一个</w:t>
      </w:r>
      <w:r>
        <w:rPr>
          <w:sz w:val="24"/>
        </w:rPr>
        <w:t>密封袋内，密封袋最外层应清楚地标明采购项目名称、采购项目编号、申请人名称、包号及名称（如有）、资格性申请文件字样。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7" w:leftChars="0"/>
        <w:jc w:val="both"/>
        <w:textAlignment w:val="auto"/>
        <w:rPr>
          <w:sz w:val="24"/>
        </w:rPr>
      </w:pPr>
      <w:r>
        <w:rPr>
          <w:rFonts w:hint="eastAsia"/>
          <w:sz w:val="24"/>
          <w:lang w:val="en-US" w:eastAsia="zh-CN"/>
        </w:rPr>
        <w:t>13.2</w:t>
      </w:r>
      <w:r>
        <w:rPr>
          <w:sz w:val="24"/>
        </w:rPr>
        <w:t>所有外层密封袋的封口处应粘贴牢固。</w:t>
      </w:r>
    </w:p>
    <w:p>
      <w:pPr>
        <w:pStyle w:val="24"/>
        <w:keepNext w:val="0"/>
        <w:keepLines w:val="0"/>
        <w:pageBreakBefore w:val="0"/>
        <w:widowControl w:val="0"/>
        <w:numPr>
          <w:ilvl w:val="0"/>
          <w:numId w:val="0"/>
        </w:numPr>
        <w:tabs>
          <w:tab w:val="left" w:pos="1416"/>
        </w:tabs>
        <w:kinsoku/>
        <w:wordWrap/>
        <w:overflowPunct/>
        <w:topLinePunct w:val="0"/>
        <w:autoSpaceDE w:val="0"/>
        <w:autoSpaceDN w:val="0"/>
        <w:bidi w:val="0"/>
        <w:adjustRightInd/>
        <w:snapToGrid/>
        <w:spacing w:line="430" w:lineRule="exact"/>
        <w:ind w:left="870" w:leftChars="0" w:right="215" w:rightChars="0"/>
        <w:textAlignment w:val="auto"/>
        <w:rPr>
          <w:b/>
          <w:sz w:val="24"/>
        </w:rPr>
      </w:pPr>
      <w:r>
        <w:rPr>
          <w:rFonts w:hint="eastAsia"/>
          <w:b/>
          <w:bCs/>
          <w:spacing w:val="-4"/>
          <w:sz w:val="24"/>
          <w:lang w:val="en-US" w:eastAsia="zh-CN"/>
        </w:rPr>
        <w:t>14、</w:t>
      </w:r>
      <w:r>
        <w:rPr>
          <w:rFonts w:ascii="宋体" w:hAnsi="宋体" w:eastAsia="宋体" w:cs="宋体"/>
          <w:b/>
          <w:bCs/>
          <w:color w:val="auto"/>
          <w:sz w:val="24"/>
          <w:szCs w:val="24"/>
          <w:lang w:val="zh-CN" w:eastAsia="zh-CN" w:bidi="zh-CN"/>
        </w:rPr>
        <w:t>申请文件的递交</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z w:val="24"/>
        </w:rPr>
      </w:pPr>
      <w:r>
        <w:rPr>
          <w:rFonts w:hint="eastAsia"/>
          <w:spacing w:val="-5"/>
          <w:sz w:val="24"/>
          <w:lang w:val="en-US" w:eastAsia="zh-CN"/>
        </w:rPr>
        <w:t xml:space="preserve"> 14.1 </w:t>
      </w:r>
      <w:r>
        <w:rPr>
          <w:spacing w:val="-5"/>
          <w:sz w:val="24"/>
        </w:rPr>
        <w:t>资格预审申请文件应于递交申请文件截止时间前送达指定地点，采购代理机构拒绝接收截止时间后送达的申请文件。</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848" w:leftChars="0" w:right="436" w:rightChars="0"/>
        <w:textAlignment w:val="auto"/>
        <w:rPr>
          <w:spacing w:val="-5"/>
          <w:sz w:val="24"/>
        </w:rPr>
      </w:pPr>
      <w:r>
        <w:rPr>
          <w:rFonts w:hint="eastAsia"/>
          <w:spacing w:val="-5"/>
          <w:sz w:val="24"/>
          <w:lang w:val="en-US" w:eastAsia="zh-CN"/>
        </w:rPr>
        <w:t xml:space="preserve">14.2  </w:t>
      </w:r>
      <w:r>
        <w:rPr>
          <w:spacing w:val="-5"/>
          <w:sz w:val="24"/>
        </w:rPr>
        <w:t>本次采购不接收邮寄的申请文件。</w:t>
      </w:r>
      <w:bookmarkStart w:id="33" w:name="15.申请文件的修改和撤回（补充、修改申请文件的密封和标注按照本章“13.申请文"/>
      <w:bookmarkEnd w:id="33"/>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2" w:firstLineChars="200"/>
        <w:textAlignment w:val="auto"/>
        <w:rPr>
          <w:b/>
          <w:bCs/>
          <w:spacing w:val="-5"/>
          <w:sz w:val="24"/>
        </w:rPr>
      </w:pPr>
      <w:r>
        <w:rPr>
          <w:rFonts w:hint="eastAsia"/>
          <w:b/>
          <w:bCs/>
          <w:spacing w:val="-5"/>
          <w:sz w:val="24"/>
          <w:lang w:val="en-US" w:eastAsia="zh-CN"/>
        </w:rPr>
        <w:t>15、</w:t>
      </w:r>
      <w:r>
        <w:rPr>
          <w:b/>
          <w:bCs/>
          <w:spacing w:val="-5"/>
          <w:sz w:val="24"/>
        </w:rPr>
        <w:t>申请文件的修改和撤回（补充、修改申请文件的密封和标注按照本章“13.申请文件  的密封和标注”规定处理）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460" w:firstLineChars="200"/>
        <w:textAlignment w:val="auto"/>
        <w:rPr>
          <w:spacing w:val="-5"/>
          <w:sz w:val="24"/>
          <w:lang w:val="zh-CN" w:eastAsia="zh-CN"/>
        </w:rPr>
      </w:pPr>
      <w:r>
        <w:rPr>
          <w:rFonts w:hint="eastAsia"/>
          <w:spacing w:val="-5"/>
          <w:sz w:val="24"/>
          <w:lang w:val="en-US" w:eastAsia="zh-CN"/>
        </w:rPr>
        <w:t xml:space="preserve">15.1 </w:t>
      </w:r>
      <w:r>
        <w:rPr>
          <w:spacing w:val="-5"/>
          <w:sz w:val="24"/>
          <w:lang w:val="zh-CN" w:eastAsia="zh-CN"/>
        </w:rPr>
        <w:t>申请人在提交申请文件后可对其申请文件进行修改或撤回，但该修改或撤回的书面通知须在递交截止时间之前送达采购代理机构，补充、修改的内容作为申请文件的组成部分。且该通知需经正式授权的申请人代表签字方为有效。 申请人在提交申请文件截止时间前， 可以对所提交的申请文件进行补充、修改或者撤回，补充、修改的内容与申请文件不一致的，以补充、修改的内容为准。</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480" w:leftChars="218" w:right="436" w:rightChars="0" w:firstLine="230" w:firstLineChars="100"/>
        <w:textAlignment w:val="auto"/>
        <w:rPr>
          <w:spacing w:val="-5"/>
          <w:sz w:val="24"/>
        </w:rPr>
      </w:pPr>
      <w:r>
        <w:rPr>
          <w:rFonts w:hint="eastAsia"/>
          <w:spacing w:val="-5"/>
          <w:sz w:val="24"/>
          <w:lang w:val="en-US" w:eastAsia="zh-CN"/>
        </w:rPr>
        <w:t xml:space="preserve">15.2 </w:t>
      </w:r>
      <w:r>
        <w:rPr>
          <w:spacing w:val="-5"/>
          <w:sz w:val="24"/>
        </w:rPr>
        <w:t>申请人对申请文件修改的书面材料或撤回的通知应该按规定进行编写、密封、标注和递送，并注明“修改申请文件”字样。</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436" w:rightChars="0" w:firstLine="690" w:firstLineChars="300"/>
        <w:textAlignment w:val="auto"/>
        <w:rPr>
          <w:spacing w:val="-5"/>
          <w:sz w:val="24"/>
        </w:rPr>
      </w:pPr>
      <w:r>
        <w:rPr>
          <w:rFonts w:hint="eastAsia"/>
          <w:spacing w:val="-5"/>
          <w:sz w:val="24"/>
          <w:lang w:val="en-US" w:eastAsia="zh-CN"/>
        </w:rPr>
        <w:t>15.3</w:t>
      </w:r>
      <w:r>
        <w:rPr>
          <w:spacing w:val="-5"/>
          <w:sz w:val="24"/>
        </w:rPr>
        <w:t>申请人对其提交的申请文件的真实性、合法性承担法律责任。</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7"/>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9"/>
        <w:textAlignment w:val="auto"/>
      </w:pPr>
      <w:bookmarkStart w:id="34" w:name="五、资格预审和评审"/>
      <w:bookmarkEnd w:id="34"/>
      <w:bookmarkStart w:id="35" w:name="_Toc31719"/>
      <w:r>
        <w:t>五、资格预审和评审</w:t>
      </w:r>
      <w:bookmarkEnd w:id="35"/>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tabs>
          <w:tab w:val="left" w:pos="1471"/>
        </w:tabs>
        <w:kinsoku/>
        <w:wordWrap/>
        <w:overflowPunct/>
        <w:topLinePunct w:val="0"/>
        <w:autoSpaceDE w:val="0"/>
        <w:autoSpaceDN w:val="0"/>
        <w:bidi w:val="0"/>
        <w:adjustRightInd/>
        <w:snapToGrid/>
        <w:spacing w:line="430" w:lineRule="exact"/>
        <w:ind w:left="0" w:right="702" w:firstLine="687" w:firstLineChars="300"/>
        <w:jc w:val="both"/>
        <w:textAlignment w:val="auto"/>
        <w:rPr>
          <w:b/>
          <w:bCs/>
          <w:w w:val="95"/>
          <w:sz w:val="24"/>
          <w:szCs w:val="24"/>
          <w:lang w:val="en-US"/>
        </w:rPr>
      </w:pPr>
      <w:r>
        <w:rPr>
          <w:rFonts w:hint="eastAsia"/>
          <w:b/>
          <w:bCs/>
          <w:w w:val="95"/>
          <w:sz w:val="24"/>
          <w:szCs w:val="24"/>
          <w:lang w:val="en-US"/>
        </w:rPr>
        <w:t>16</w:t>
      </w:r>
      <w:r>
        <w:rPr>
          <w:rFonts w:hint="eastAsia"/>
          <w:b/>
          <w:bCs/>
          <w:w w:val="95"/>
          <w:sz w:val="24"/>
          <w:szCs w:val="24"/>
          <w:lang w:val="en-US" w:eastAsia="zh-CN"/>
        </w:rPr>
        <w:t>、</w:t>
      </w:r>
      <w:r>
        <w:rPr>
          <w:rFonts w:hint="eastAsia"/>
          <w:b/>
          <w:bCs/>
          <w:w w:val="95"/>
          <w:sz w:val="24"/>
          <w:szCs w:val="24"/>
          <w:lang w:val="en-US"/>
        </w:rPr>
        <w:t xml:space="preserve"> </w:t>
      </w:r>
      <w:r>
        <w:rPr>
          <w:b/>
          <w:bCs/>
          <w:w w:val="95"/>
          <w:sz w:val="24"/>
          <w:szCs w:val="24"/>
        </w:rPr>
        <w:t>资格预审</w:t>
      </w:r>
      <w:r>
        <w:rPr>
          <w:rFonts w:hint="eastAsia"/>
          <w:b/>
          <w:bCs/>
          <w:w w:val="95"/>
          <w:sz w:val="24"/>
          <w:szCs w:val="24"/>
          <w:lang w:val="en-US"/>
        </w:rPr>
        <w:t xml:space="preserve"> </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16.1 </w:t>
      </w:r>
      <w:r>
        <w:rPr>
          <w:rFonts w:ascii="宋体" w:hAnsi="宋体" w:eastAsia="宋体" w:cs="宋体"/>
          <w:spacing w:val="-3"/>
          <w:sz w:val="24"/>
        </w:rPr>
        <w:t>本项目资格预审由采购人、采购代理机构负责编制资格预审文件、发布资格预审公告、实施资格审查等</w:t>
      </w:r>
      <w:r>
        <w:rPr>
          <w:rFonts w:hint="eastAsia" w:ascii="宋体" w:hAnsi="宋体" w:eastAsia="宋体" w:cs="宋体"/>
          <w:spacing w:val="-3"/>
          <w:sz w:val="24"/>
        </w:rPr>
        <w:t>。</w:t>
      </w:r>
      <w:r>
        <w:rPr>
          <w:rFonts w:ascii="宋体" w:hAnsi="宋体" w:eastAsia="宋体" w:cs="宋体"/>
          <w:spacing w:val="-3"/>
          <w:sz w:val="24"/>
        </w:rPr>
        <w:t>本项目向所有通过资格预审的供应商发出采购文件(参与资格预审的供应商不足3家或者通过资格审查的供应商不足3家的，本次资格预审活动终止，将重新组织资格预审）。本项目采购人、采购代理机构将保证资格预审公平公正。</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left="240" w:leftChars="109" w:right="344" w:rightChars="0" w:firstLine="468" w:firstLineChars="2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16.2 </w:t>
      </w:r>
      <w:r>
        <w:rPr>
          <w:rFonts w:ascii="宋体" w:hAnsi="宋体" w:eastAsia="宋体" w:cs="宋体"/>
          <w:spacing w:val="-3"/>
          <w:sz w:val="24"/>
        </w:rPr>
        <w:t>本项目资格预审以申请人按照资格预审文件要求提供的纸质资格证明材料为依据。审查申请人资格证明材料过程中，不要求资格证明材料中涉及的申请人工作人员必须到场核对身份，不要求申请人提供证明材料原件现场核对，不会有其他不合理要求损害申请人合法权益。</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16.3 </w:t>
      </w:r>
      <w:r>
        <w:rPr>
          <w:rFonts w:ascii="宋体" w:hAnsi="宋体" w:eastAsia="宋体" w:cs="宋体"/>
          <w:spacing w:val="-3"/>
          <w:sz w:val="24"/>
        </w:rPr>
        <w:t>本项目资格预审审查结果将现场告知申请人，资格审查不通过的，还将书面告知并详细说明理由。</w:t>
      </w:r>
    </w:p>
    <w:p>
      <w:pPr>
        <w:pStyle w:val="24"/>
        <w:keepNext w:val="0"/>
        <w:keepLines w:val="0"/>
        <w:pageBreakBefore w:val="0"/>
        <w:widowControl w:val="0"/>
        <w:numPr>
          <w:ilvl w:val="0"/>
          <w:numId w:val="0"/>
        </w:numPr>
        <w:tabs>
          <w:tab w:val="left" w:pos="1392"/>
        </w:tabs>
        <w:kinsoku/>
        <w:wordWrap/>
        <w:overflowPunct/>
        <w:topLinePunct w:val="0"/>
        <w:autoSpaceDE w:val="0"/>
        <w:autoSpaceDN w:val="0"/>
        <w:bidi w:val="0"/>
        <w:adjustRightInd/>
        <w:snapToGrid/>
        <w:spacing w:line="430" w:lineRule="exact"/>
        <w:ind w:right="344" w:rightChars="0" w:firstLine="702" w:firstLineChars="300"/>
        <w:jc w:val="both"/>
        <w:textAlignment w:val="auto"/>
        <w:rPr>
          <w:rFonts w:ascii="宋体" w:hAnsi="宋体" w:eastAsia="宋体" w:cs="宋体"/>
          <w:spacing w:val="-3"/>
          <w:sz w:val="24"/>
        </w:rPr>
      </w:pPr>
      <w:r>
        <w:rPr>
          <w:rFonts w:hint="eastAsia" w:ascii="宋体" w:hAnsi="宋体" w:eastAsia="宋体" w:cs="宋体"/>
          <w:spacing w:val="-3"/>
          <w:sz w:val="24"/>
          <w:lang w:val="en-US"/>
        </w:rPr>
        <w:t xml:space="preserve">16.4 </w:t>
      </w:r>
      <w:r>
        <w:rPr>
          <w:rFonts w:ascii="宋体" w:hAnsi="宋体" w:eastAsia="宋体" w:cs="宋体"/>
          <w:spacing w:val="-3"/>
          <w:sz w:val="24"/>
        </w:rPr>
        <w:t>资格预审小组的组建及其评审工作按照有关法律制度和本文件的规定进行。</w:t>
      </w:r>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sz w:val="28"/>
        </w:rPr>
      </w:pP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right="187"/>
        <w:textAlignment w:val="auto"/>
      </w:pPr>
      <w:bookmarkStart w:id="36" w:name="六、资格预审结果"/>
      <w:bookmarkEnd w:id="36"/>
      <w:bookmarkStart w:id="37" w:name="_Toc13653"/>
      <w:r>
        <w:t>六、资格预审结果</w:t>
      </w:r>
      <w:bookmarkEnd w:id="37"/>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24"/>
        <w:keepNext w:val="0"/>
        <w:keepLines w:val="0"/>
        <w:pageBreakBefore w:val="0"/>
        <w:widowControl w:val="0"/>
        <w:numPr>
          <w:ilvl w:val="0"/>
          <w:numId w:val="0"/>
        </w:numPr>
        <w:tabs>
          <w:tab w:val="left" w:pos="1350"/>
          <w:tab w:val="left" w:pos="1351"/>
        </w:tabs>
        <w:kinsoku/>
        <w:wordWrap/>
        <w:overflowPunct/>
        <w:topLinePunct w:val="0"/>
        <w:autoSpaceDE w:val="0"/>
        <w:autoSpaceDN w:val="0"/>
        <w:bidi w:val="0"/>
        <w:adjustRightInd/>
        <w:snapToGrid/>
        <w:spacing w:line="430" w:lineRule="exact"/>
        <w:ind w:left="240" w:leftChars="109" w:right="325" w:rightChars="0" w:firstLine="705" w:firstLineChars="300"/>
        <w:textAlignment w:val="auto"/>
        <w:rPr>
          <w:spacing w:val="-5"/>
          <w:sz w:val="24"/>
        </w:rPr>
      </w:pPr>
      <w:r>
        <w:rPr>
          <w:rFonts w:hint="eastAsia"/>
          <w:b/>
          <w:bCs/>
          <w:spacing w:val="-3"/>
          <w:sz w:val="24"/>
          <w:lang w:val="en-US" w:eastAsia="zh-CN"/>
        </w:rPr>
        <w:t>17、</w:t>
      </w:r>
      <w:r>
        <w:rPr>
          <w:spacing w:val="-5"/>
          <w:sz w:val="24"/>
        </w:rPr>
        <w:t>对资格预审申请人的资格审查完毕后，采购人、采购代理机构将资格预审审查结果现场告知申请人，资格审查不通过的，将书面告知并详细说明理由。无论资格审查通过与否， 资格预审申请人的资格审查申请文件不予退还，采购方对资格预审申请人所提交的资格预审申请文件将给予保密。</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38" w:name="七、资格预审纪律要求"/>
      <w:bookmarkEnd w:id="38"/>
      <w:bookmarkStart w:id="39" w:name="_Toc15163"/>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七、资格预审纪律要求</w:t>
      </w:r>
      <w:bookmarkEnd w:id="39"/>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1"/>
        </w:rPr>
      </w:pPr>
    </w:p>
    <w:p>
      <w:pPr>
        <w:pStyle w:val="6"/>
        <w:keepNext w:val="0"/>
        <w:keepLines w:val="0"/>
        <w:pageBreakBefore w:val="0"/>
        <w:widowControl w:val="0"/>
        <w:numPr>
          <w:ilvl w:val="0"/>
          <w:numId w:val="0"/>
        </w:numPr>
        <w:tabs>
          <w:tab w:val="left" w:pos="1233"/>
        </w:tabs>
        <w:kinsoku/>
        <w:wordWrap/>
        <w:overflowPunct/>
        <w:topLinePunct w:val="0"/>
        <w:autoSpaceDE w:val="0"/>
        <w:autoSpaceDN w:val="0"/>
        <w:bidi w:val="0"/>
        <w:adjustRightInd/>
        <w:snapToGrid/>
        <w:spacing w:line="430" w:lineRule="exact"/>
        <w:ind w:left="867" w:leftChars="0"/>
        <w:textAlignment w:val="auto"/>
        <w:rPr>
          <w:sz w:val="22"/>
        </w:rPr>
      </w:pPr>
      <w:bookmarkStart w:id="40" w:name="18.申请人不得具有的情形"/>
      <w:bookmarkEnd w:id="40"/>
      <w:r>
        <w:rPr>
          <w:rFonts w:hint="eastAsia"/>
          <w:lang w:val="en-US" w:eastAsia="zh-CN"/>
        </w:rPr>
        <w:t>18、</w:t>
      </w:r>
      <w:r>
        <w:t>申请人不得具有的情形</w:t>
      </w:r>
    </w:p>
    <w:p>
      <w:pPr>
        <w:pStyle w:val="8"/>
        <w:keepNext w:val="0"/>
        <w:keepLines w:val="0"/>
        <w:pageBreakBefore w:val="0"/>
        <w:widowControl w:val="0"/>
        <w:kinsoku/>
        <w:wordWrap/>
        <w:overflowPunct/>
        <w:topLinePunct w:val="0"/>
        <w:autoSpaceDE w:val="0"/>
        <w:autoSpaceDN w:val="0"/>
        <w:bidi w:val="0"/>
        <w:adjustRightInd/>
        <w:snapToGrid/>
        <w:spacing w:line="430" w:lineRule="exact"/>
        <w:ind w:firstLine="240" w:firstLineChars="100"/>
        <w:textAlignment w:val="auto"/>
      </w:pPr>
      <w:r>
        <w:t>申请人参加本项目资格预审不得有下列情形：</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提供虚假材料谋取成交；</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采取不正当手段诋毁、排挤其他申请人；</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与采购人、采购代理机构、或其他申请人恶意串通；</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向采购人、采购代理机构、资格预审小组成员行贿或者提供其他不正当利益；</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在资格预审过程中与采购人、采购代理机构进行协商；</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拒绝有关部门的监督检查或者向监督检查部门提供虚假情况；</w:t>
      </w:r>
    </w:p>
    <w:p>
      <w:pPr>
        <w:pStyle w:val="24"/>
        <w:keepNext w:val="0"/>
        <w:keepLines w:val="0"/>
        <w:pageBreakBefore w:val="0"/>
        <w:widowControl w:val="0"/>
        <w:numPr>
          <w:ilvl w:val="0"/>
          <w:numId w:val="7"/>
        </w:numPr>
        <w:tabs>
          <w:tab w:val="left" w:pos="1471"/>
        </w:tabs>
        <w:kinsoku/>
        <w:wordWrap/>
        <w:overflowPunct/>
        <w:topLinePunct w:val="0"/>
        <w:autoSpaceDE w:val="0"/>
        <w:autoSpaceDN w:val="0"/>
        <w:bidi w:val="0"/>
        <w:adjustRightInd/>
        <w:snapToGrid/>
        <w:spacing w:line="430" w:lineRule="exact"/>
        <w:textAlignment w:val="auto"/>
        <w:rPr>
          <w:sz w:val="24"/>
        </w:rPr>
      </w:pPr>
      <w:r>
        <w:rPr>
          <w:sz w:val="24"/>
        </w:rPr>
        <w:t>法律法规规定的其他情形。</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390" w:right="457" w:firstLine="480"/>
        <w:textAlignment w:val="auto"/>
      </w:pPr>
      <w:r>
        <w:t>申请人有上述情形的，按照规定追究法律责任，具备（1）-（7）条情形之一的，同时将取消被确认为资格预审合格的资格。</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bookmarkStart w:id="41" w:name="八、询问、质疑和投诉"/>
      <w:bookmarkEnd w:id="41"/>
      <w:bookmarkStart w:id="42" w:name="_Toc24556"/>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3776"/>
        <w:jc w:val="left"/>
        <w:textAlignment w:val="auto"/>
      </w:pPr>
      <w:r>
        <w:t>八、询问、质疑和投诉</w:t>
      </w:r>
      <w:bookmarkEnd w:id="42"/>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6"/>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867"/>
        <w:jc w:val="both"/>
        <w:textAlignment w:val="auto"/>
        <w:rPr>
          <w:sz w:val="22"/>
        </w:rPr>
      </w:pPr>
      <w:bookmarkStart w:id="43" w:name="19.询问、质疑、投诉"/>
      <w:bookmarkEnd w:id="43"/>
      <w:r>
        <w:rPr>
          <w:rFonts w:hint="eastAsia"/>
          <w:lang w:val="en-US"/>
        </w:rPr>
        <w:t>19</w:t>
      </w:r>
      <w:r>
        <w:rPr>
          <w:rFonts w:hint="eastAsia"/>
          <w:lang w:val="en-US" w:eastAsia="zh-CN"/>
        </w:rPr>
        <w:t>、</w:t>
      </w:r>
      <w:r>
        <w:rPr>
          <w:rFonts w:hint="eastAsia"/>
          <w:lang w:val="en-US"/>
        </w:rPr>
        <w:t xml:space="preserve"> </w:t>
      </w:r>
      <w:r>
        <w:t>询问、质疑、投诉</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390" w:right="340" w:firstLine="480"/>
        <w:jc w:val="both"/>
        <w:textAlignment w:val="auto"/>
      </w:pPr>
      <w:r>
        <w:t>询问、质疑、投诉的接收和处理严格按照《中华人共和国政府采购法》、《中华人民共和国政府采购法实施条例》、《政府采购非招标采购方式管理办法》（财库财政部令第 74号）、《政府采购质疑和投诉办法》（</w:t>
      </w:r>
      <w:r>
        <w:rPr>
          <w:spacing w:val="-3"/>
        </w:rPr>
        <w:t xml:space="preserve">财政部令第 </w:t>
      </w:r>
      <w:r>
        <w:t>94</w:t>
      </w:r>
      <w:r>
        <w:rPr>
          <w:spacing w:val="-3"/>
        </w:rPr>
        <w:t xml:space="preserve"> 号</w:t>
      </w:r>
      <w:r>
        <w:t>）和《四川省政府采购申请人投诉</w:t>
      </w:r>
      <w:r>
        <w:rPr>
          <w:spacing w:val="-5"/>
        </w:rPr>
        <w:t>处理工作规程》</w:t>
      </w:r>
      <w:r>
        <w:t>（</w:t>
      </w:r>
      <w:r>
        <w:rPr>
          <w:spacing w:val="-3"/>
        </w:rPr>
        <w:t>川财采〔</w:t>
      </w:r>
      <w:r>
        <w:t>2007</w:t>
      </w:r>
      <w:r>
        <w:rPr>
          <w:spacing w:val="-10"/>
        </w:rPr>
        <w:t>〕</w:t>
      </w:r>
      <w:r>
        <w:t>13</w:t>
      </w:r>
      <w:r>
        <w:rPr>
          <w:spacing w:val="-30"/>
        </w:rPr>
        <w:t xml:space="preserve"> 号</w:t>
      </w:r>
      <w:r>
        <w:rPr>
          <w:spacing w:val="-10"/>
        </w:rPr>
        <w:t>）</w:t>
      </w:r>
      <w:r>
        <w:rPr>
          <w:spacing w:val="-3"/>
        </w:rPr>
        <w:t>的规定办理</w:t>
      </w:r>
      <w:r>
        <w:t>（</w:t>
      </w:r>
      <w:r>
        <w:rPr>
          <w:spacing w:val="-1"/>
        </w:rPr>
        <w:t>详细规定请在四川政府采购网政策法</w:t>
      </w:r>
      <w:r>
        <w:t>规模块查询</w:t>
      </w:r>
      <w:r>
        <w:rPr>
          <w:spacing w:val="-5"/>
        </w:rPr>
        <w:t>）</w:t>
      </w:r>
      <w:r>
        <w:rPr>
          <w:spacing w:val="-4"/>
        </w:rPr>
        <w:t>。针对资格预审过程及资格预审文件其他内容提出的询问、质疑由采购代理机</w:t>
      </w:r>
      <w:r>
        <w:t>构进行回复。</w:t>
      </w:r>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both"/>
        <w:textAlignment w:val="auto"/>
      </w:pPr>
      <w:bookmarkStart w:id="44" w:name="九、其_他"/>
      <w:bookmarkEnd w:id="44"/>
      <w:bookmarkStart w:id="45" w:name="_Toc10202"/>
    </w:p>
    <w:p>
      <w:pPr>
        <w:pStyle w:val="5"/>
        <w:keepNext w:val="0"/>
        <w:keepLines w:val="0"/>
        <w:pageBreakBefore w:val="0"/>
        <w:widowControl w:val="0"/>
        <w:kinsoku/>
        <w:wordWrap/>
        <w:overflowPunct/>
        <w:topLinePunct w:val="0"/>
        <w:autoSpaceDE w:val="0"/>
        <w:autoSpaceDN w:val="0"/>
        <w:bidi w:val="0"/>
        <w:adjustRightInd/>
        <w:snapToGrid/>
        <w:spacing w:before="0" w:line="430" w:lineRule="exact"/>
        <w:ind w:left="4480"/>
        <w:jc w:val="left"/>
        <w:textAlignment w:val="auto"/>
      </w:pPr>
      <w:r>
        <w:t>九、其 他</w:t>
      </w:r>
      <w:bookmarkEnd w:id="45"/>
    </w:p>
    <w:p>
      <w:pPr>
        <w:pStyle w:val="8"/>
        <w:keepNext w:val="0"/>
        <w:keepLines w:val="0"/>
        <w:pageBreakBefore w:val="0"/>
        <w:widowControl w:val="0"/>
        <w:kinsoku/>
        <w:wordWrap/>
        <w:overflowPunct/>
        <w:topLinePunct w:val="0"/>
        <w:autoSpaceDE w:val="0"/>
        <w:autoSpaceDN w:val="0"/>
        <w:bidi w:val="0"/>
        <w:adjustRightInd/>
        <w:snapToGrid/>
        <w:spacing w:line="430" w:lineRule="exact"/>
        <w:textAlignment w:val="auto"/>
        <w:rPr>
          <w:b/>
          <w:sz w:val="20"/>
        </w:rPr>
      </w:pP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344" w:firstLine="723" w:firstLineChars="300"/>
        <w:jc w:val="both"/>
        <w:textAlignment w:val="auto"/>
      </w:pPr>
      <w:r>
        <w:rPr>
          <w:rFonts w:hint="eastAsia"/>
          <w:b/>
          <w:bCs/>
          <w:sz w:val="24"/>
          <w:lang w:val="en-US"/>
        </w:rPr>
        <w:t>20</w:t>
      </w:r>
      <w:r>
        <w:rPr>
          <w:rFonts w:hint="eastAsia"/>
          <w:b/>
          <w:bCs/>
          <w:sz w:val="24"/>
          <w:lang w:val="en-US" w:eastAsia="zh-CN"/>
        </w:rPr>
        <w:t>、</w:t>
      </w:r>
      <w:r>
        <w:rPr>
          <w:sz w:val="24"/>
        </w:rPr>
        <w:t>本资格预审文件中所引相关法律制度规定，在政府采购中有变化的，按照变化后的</w:t>
      </w:r>
      <w:r>
        <w:rPr>
          <w:spacing w:val="-4"/>
          <w:sz w:val="24"/>
        </w:rPr>
        <w:t>相关法律制度规定执行。本章规定的内容条款，在本项目递交申请文件截止时间届满后，因相关法律制度规定的变化导致不符合相关法律制度规定的，直接按照变化后的相关法律制度</w:t>
      </w:r>
      <w:r>
        <w:rPr>
          <w:sz w:val="24"/>
        </w:rPr>
        <w:t>规定执行，本资格预审文件不再做调整。</w:t>
      </w:r>
    </w:p>
    <w:p>
      <w:pPr>
        <w:pStyle w:val="24"/>
        <w:keepNext w:val="0"/>
        <w:keepLines w:val="0"/>
        <w:pageBreakBefore w:val="0"/>
        <w:widowControl w:val="0"/>
        <w:tabs>
          <w:tab w:val="left" w:pos="1233"/>
        </w:tabs>
        <w:kinsoku/>
        <w:wordWrap/>
        <w:overflowPunct/>
        <w:topLinePunct w:val="0"/>
        <w:autoSpaceDE w:val="0"/>
        <w:autoSpaceDN w:val="0"/>
        <w:bidi w:val="0"/>
        <w:adjustRightInd/>
        <w:snapToGrid/>
        <w:spacing w:line="430" w:lineRule="exact"/>
        <w:ind w:left="240" w:leftChars="109" w:right="455" w:firstLine="714" w:firstLineChars="300"/>
        <w:jc w:val="both"/>
        <w:textAlignment w:val="auto"/>
      </w:pPr>
      <w:r>
        <w:rPr>
          <w:rFonts w:hint="eastAsia"/>
          <w:spacing w:val="-1"/>
          <w:sz w:val="24"/>
          <w:lang w:val="en-US"/>
        </w:rPr>
        <w:t xml:space="preserve">20.1 </w:t>
      </w:r>
      <w:r>
        <w:rPr>
          <w:spacing w:val="-1"/>
          <w:sz w:val="24"/>
        </w:rPr>
        <w:t>本资格预审文件中未引用的相关法律制度规定，按照中华人民共和国政府采购法及</w:t>
      </w:r>
      <w:r>
        <w:rPr>
          <w:sz w:val="24"/>
        </w:rPr>
        <w:t>其实施条例，以及其他相关的法律、规章的规定执行。</w:t>
      </w:r>
    </w:p>
    <w:p>
      <w:pPr>
        <w:pStyle w:val="8"/>
        <w:keepNext w:val="0"/>
        <w:keepLines w:val="0"/>
        <w:pageBreakBefore w:val="0"/>
        <w:widowControl w:val="0"/>
        <w:kinsoku/>
        <w:wordWrap/>
        <w:overflowPunct/>
        <w:topLinePunct w:val="0"/>
        <w:autoSpaceDE w:val="0"/>
        <w:autoSpaceDN w:val="0"/>
        <w:bidi w:val="0"/>
        <w:adjustRightInd/>
        <w:snapToGrid/>
        <w:spacing w:line="430" w:lineRule="exact"/>
        <w:ind w:left="240" w:leftChars="109" w:right="455" w:firstLine="714" w:firstLineChars="300"/>
        <w:jc w:val="both"/>
        <w:textAlignment w:val="auto"/>
        <w:rPr>
          <w:rFonts w:hint="default" w:eastAsia="宋体"/>
          <w:lang w:val="en-US" w:eastAsia="zh-CN"/>
        </w:rPr>
        <w:sectPr>
          <w:headerReference r:id="rId7" w:type="default"/>
          <w:footerReference r:id="rId8" w:type="default"/>
          <w:pgSz w:w="11910" w:h="16840"/>
          <w:pgMar w:top="1440" w:right="1080" w:bottom="1440" w:left="1080" w:header="545" w:footer="635" w:gutter="0"/>
          <w:pgNumType w:fmt="decimal"/>
          <w:cols w:space="720" w:num="1"/>
        </w:sectPr>
      </w:pPr>
      <w:r>
        <w:rPr>
          <w:rFonts w:hint="eastAsia"/>
          <w:spacing w:val="-1"/>
          <w:lang w:val="en-US"/>
        </w:rPr>
        <w:t xml:space="preserve">20.2 </w:t>
      </w:r>
      <w:r>
        <w:rPr>
          <w:spacing w:val="-1"/>
        </w:rPr>
        <w:t>本资格预审文件中作为实质性的内容，除明确要求需要在申请文件中提供承诺函或</w:t>
      </w:r>
      <w:r>
        <w:t>证明材料的以外，资格预审小组在评审时，仅对申请文件是否违背实质性要求进行审查。</w:t>
      </w:r>
      <w:bookmarkStart w:id="46" w:name="四、申请文件"/>
      <w:bookmarkEnd w:id="46"/>
      <w:bookmarkStart w:id="47" w:name="三、资格预审文件"/>
      <w:bookmarkEnd w:id="47"/>
      <w:r>
        <w:rPr>
          <w:rFonts w:hint="eastAsia"/>
          <w:lang w:val="en-US" w:eastAsia="zh-CN"/>
        </w:rPr>
        <w:t xml:space="preserve">  </w:t>
      </w:r>
    </w:p>
    <w:p>
      <w:pPr>
        <w:pStyle w:val="3"/>
        <w:spacing w:before="116"/>
        <w:ind w:left="0" w:leftChars="0" w:right="180" w:firstLine="1285" w:firstLineChars="400"/>
        <w:jc w:val="both"/>
      </w:pPr>
      <w:bookmarkStart w:id="48" w:name="第三章_申请人资格、资质性及其他类似效力要求"/>
      <w:bookmarkEnd w:id="48"/>
      <w:bookmarkStart w:id="49" w:name="_Toc17331"/>
      <w:r>
        <w:t>第三章 申请人资格、资质性及其他类似效力要求</w:t>
      </w:r>
      <w:bookmarkEnd w:id="49"/>
    </w:p>
    <w:p>
      <w:pPr>
        <w:pStyle w:val="8"/>
        <w:spacing w:before="1"/>
        <w:rPr>
          <w:b/>
        </w:rPr>
      </w:pPr>
    </w:p>
    <w:p>
      <w:pPr>
        <w:pStyle w:val="6"/>
        <w:keepNext w:val="0"/>
        <w:keepLines w:val="0"/>
        <w:pageBreakBefore w:val="0"/>
        <w:widowControl w:val="0"/>
        <w:kinsoku/>
        <w:wordWrap/>
        <w:overflowPunct/>
        <w:topLinePunct w:val="0"/>
        <w:autoSpaceDE w:val="0"/>
        <w:autoSpaceDN w:val="0"/>
        <w:bidi w:val="0"/>
        <w:adjustRightInd/>
        <w:snapToGrid/>
        <w:spacing w:line="460" w:lineRule="exact"/>
        <w:textAlignment w:val="auto"/>
      </w:pPr>
      <w:bookmarkStart w:id="50" w:name="一、参加资格预审的申请人应具备下列资格条件："/>
      <w:bookmarkEnd w:id="50"/>
      <w:r>
        <w:t>一、参加资格预审的申请人应具备下列资格条件：</w:t>
      </w:r>
    </w:p>
    <w:p>
      <w:pPr>
        <w:pStyle w:val="8"/>
        <w:keepNext w:val="0"/>
        <w:keepLines w:val="0"/>
        <w:pageBreakBefore w:val="0"/>
        <w:widowControl w:val="0"/>
        <w:kinsoku/>
        <w:wordWrap/>
        <w:overflowPunct/>
        <w:topLinePunct w:val="0"/>
        <w:autoSpaceDE w:val="0"/>
        <w:autoSpaceDN w:val="0"/>
        <w:bidi w:val="0"/>
        <w:adjustRightInd/>
        <w:snapToGrid/>
        <w:spacing w:line="460" w:lineRule="exact"/>
        <w:ind w:firstLine="240" w:firstLineChars="100"/>
        <w:textAlignment w:val="auto"/>
      </w:pPr>
      <w:r>
        <w:t>（一）</w:t>
      </w:r>
      <w:r>
        <w:rPr>
          <w:rFonts w:hint="eastAsia"/>
        </w:rPr>
        <w:t>符合《政府采购法》第二十二条规定的条件</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1、具有独立承担民事责任的能力；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2、具有良好的商业信誉和健全的财务会计制度；</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3、具有履行合同所必须的设备和专业技术能力；</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4、具有依法缴纳税收和社会保障资金的良好记录；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5、参加本次政府采购活动前三年内，在经营活动中没有重大违法违规记录；</w:t>
      </w:r>
    </w:p>
    <w:p>
      <w:pPr>
        <w:pStyle w:val="26"/>
        <w:keepNext w:val="0"/>
        <w:keepLines w:val="0"/>
        <w:pageBreakBefore w:val="0"/>
        <w:widowControl w:val="0"/>
        <w:kinsoku/>
        <w:wordWrap/>
        <w:overflowPunct/>
        <w:topLinePunct w:val="0"/>
        <w:autoSpaceDE w:val="0"/>
        <w:autoSpaceDN w:val="0"/>
        <w:bidi w:val="0"/>
        <w:adjustRightInd/>
        <w:snapToGrid/>
        <w:spacing w:line="460" w:lineRule="exact"/>
        <w:ind w:firstLine="600" w:firstLineChars="250"/>
        <w:textAlignment w:val="auto"/>
        <w:outlineLvl w:val="1"/>
        <w:rPr>
          <w:rFonts w:hint="eastAsia" w:ascii="宋体" w:hAnsi="宋体" w:eastAsia="宋体" w:cs="宋体"/>
          <w:sz w:val="24"/>
          <w:szCs w:val="24"/>
        </w:rPr>
      </w:pPr>
      <w:r>
        <w:rPr>
          <w:rFonts w:hint="eastAsia" w:ascii="宋体" w:hAnsi="宋体" w:eastAsia="宋体" w:cs="宋体"/>
          <w:sz w:val="24"/>
          <w:szCs w:val="24"/>
        </w:rPr>
        <w:t>6、法律、行政法规规定的其他条件；</w:t>
      </w:r>
    </w:p>
    <w:p>
      <w:pPr>
        <w:pStyle w:val="26"/>
        <w:ind w:firstLine="720" w:firstLineChars="300"/>
        <w:outlineLvl w:val="1"/>
        <w:rPr>
          <w:rFonts w:hint="eastAsia" w:ascii="宋体" w:hAnsi="宋体" w:eastAsia="宋体" w:cs="宋体"/>
          <w:color w:val="0000FF"/>
          <w:sz w:val="24"/>
          <w:szCs w:val="24"/>
          <w:lang w:eastAsia="zh-CN"/>
        </w:rPr>
      </w:pPr>
      <w:r>
        <w:rPr>
          <w:rFonts w:hint="eastAsia" w:ascii="宋体" w:hAnsi="宋体" w:eastAsia="宋体" w:cs="宋体"/>
          <w:color w:val="0000FF"/>
          <w:sz w:val="24"/>
          <w:szCs w:val="24"/>
        </w:rPr>
        <w:t>7、根据采购项目提出的特殊条件</w:t>
      </w:r>
      <w:r>
        <w:rPr>
          <w:rFonts w:hint="eastAsia" w:ascii="宋体" w:hAnsi="宋体" w:cs="宋体"/>
          <w:color w:val="0000FF"/>
          <w:sz w:val="24"/>
          <w:szCs w:val="24"/>
          <w:lang w:eastAsia="zh-CN"/>
        </w:rPr>
        <w:t>：</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zh-CN"/>
        </w:rPr>
        <w:t>（1）具有建设行政主管部门核发的</w:t>
      </w:r>
      <w:r>
        <w:rPr>
          <w:rFonts w:hint="eastAsia" w:ascii="宋体" w:hAnsi="宋体" w:cs="宋体"/>
          <w:color w:val="0000FF"/>
          <w:kern w:val="0"/>
          <w:sz w:val="24"/>
          <w:lang w:val="en-US" w:eastAsia="zh-CN"/>
        </w:rPr>
        <w:t>水利水电施工总承包叁级及以上资质</w:t>
      </w:r>
      <w:r>
        <w:rPr>
          <w:rFonts w:hint="eastAsia" w:ascii="宋体" w:hAnsi="宋体" w:cs="宋体"/>
          <w:color w:val="0000FF"/>
          <w:kern w:val="0"/>
          <w:sz w:val="24"/>
          <w:lang w:val="zh-CN"/>
        </w:rPr>
        <w:t>；</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zh-CN"/>
        </w:rPr>
        <w:t>（2）具备有效的《安全生产许可证》；</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eastAsia="zh-CN"/>
        </w:rPr>
      </w:pPr>
      <w:r>
        <w:rPr>
          <w:rFonts w:hint="eastAsia" w:ascii="宋体" w:hAnsi="宋体" w:cs="宋体"/>
          <w:color w:val="0000FF"/>
          <w:kern w:val="0"/>
          <w:sz w:val="24"/>
          <w:lang w:val="zh-CN" w:eastAsia="zh-CN"/>
        </w:rPr>
        <w:t>（</w:t>
      </w:r>
      <w:r>
        <w:rPr>
          <w:rFonts w:hint="eastAsia" w:ascii="宋体" w:hAnsi="宋体" w:cs="宋体"/>
          <w:color w:val="0000FF"/>
          <w:kern w:val="0"/>
          <w:sz w:val="24"/>
          <w:lang w:val="en-US" w:eastAsia="zh-CN"/>
        </w:rPr>
        <w:t>3</w:t>
      </w:r>
      <w:r>
        <w:rPr>
          <w:rFonts w:hint="eastAsia" w:ascii="宋体" w:hAnsi="宋体" w:cs="宋体"/>
          <w:color w:val="0000FF"/>
          <w:kern w:val="0"/>
          <w:sz w:val="24"/>
          <w:lang w:val="zh-CN" w:eastAsia="zh-CN"/>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p>
      <w:pPr>
        <w:autoSpaceDE w:val="0"/>
        <w:autoSpaceDN w:val="0"/>
        <w:adjustRightInd w:val="0"/>
        <w:spacing w:line="360" w:lineRule="auto"/>
        <w:ind w:firstLine="480" w:firstLineChars="200"/>
        <w:jc w:val="left"/>
        <w:rPr>
          <w:rFonts w:hint="eastAsia" w:ascii="宋体" w:hAnsi="宋体" w:cs="宋体"/>
          <w:color w:val="0000FF"/>
          <w:kern w:val="0"/>
          <w:sz w:val="24"/>
          <w:lang w:val="zh-CN"/>
        </w:rPr>
      </w:pPr>
      <w:r>
        <w:rPr>
          <w:rFonts w:hint="eastAsia" w:ascii="宋体" w:hAnsi="宋体" w:cs="宋体"/>
          <w:color w:val="0000FF"/>
          <w:kern w:val="0"/>
          <w:sz w:val="24"/>
          <w:lang w:val="en-US" w:eastAsia="zh-CN"/>
        </w:rPr>
        <w:t>8、</w:t>
      </w:r>
      <w:r>
        <w:rPr>
          <w:rFonts w:hint="eastAsia" w:ascii="宋体" w:hAnsi="宋体" w:cs="宋体"/>
          <w:color w:val="0000FF"/>
          <w:kern w:val="0"/>
          <w:sz w:val="24"/>
          <w:lang w:val="zh-CN"/>
        </w:rPr>
        <w:t>本项目不允许联合体参加。</w:t>
      </w:r>
    </w:p>
    <w:p>
      <w:pPr>
        <w:autoSpaceDE w:val="0"/>
        <w:autoSpaceDN w:val="0"/>
        <w:adjustRightInd w:val="0"/>
        <w:spacing w:line="360" w:lineRule="auto"/>
        <w:ind w:firstLine="480" w:firstLineChars="200"/>
        <w:jc w:val="left"/>
        <w:rPr>
          <w:rFonts w:hint="eastAsia" w:ascii="宋体" w:hAnsi="宋体" w:cs="宋体"/>
          <w:color w:val="0000FF"/>
          <w:kern w:val="0"/>
          <w:sz w:val="24"/>
          <w:lang w:val="en-US" w:eastAsia="zh-CN"/>
        </w:rPr>
      </w:pPr>
      <w:r>
        <w:rPr>
          <w:rFonts w:hint="eastAsia" w:ascii="宋体" w:hAnsi="宋体" w:cs="宋体"/>
          <w:color w:val="0000FF"/>
          <w:kern w:val="0"/>
          <w:sz w:val="24"/>
          <w:lang w:val="en-US" w:eastAsia="zh-CN"/>
        </w:rPr>
        <w:t>9、本项目专门面向中小企业采购；</w:t>
      </w:r>
    </w:p>
    <w:p>
      <w:pPr>
        <w:pStyle w:val="8"/>
        <w:spacing w:before="174" w:line="364" w:lineRule="auto"/>
        <w:ind w:right="158" w:firstLine="480" w:firstLineChars="200"/>
      </w:pPr>
      <w:r>
        <w:t>注：</w:t>
      </w:r>
      <w:r>
        <w:rPr>
          <w:rFonts w:hint="eastAsia"/>
          <w:spacing w:val="-11"/>
          <w:lang w:val="en-US"/>
        </w:rPr>
        <w:t>1.</w:t>
      </w:r>
      <w:r>
        <w:rPr>
          <w:spacing w:val="-11"/>
        </w:rPr>
        <w:t>资格要求中</w:t>
      </w:r>
      <w:r>
        <w:t>“5.</w:t>
      </w:r>
      <w:r>
        <w:rPr>
          <w:spacing w:val="-7"/>
        </w:rPr>
        <w:t>参加本次政府采购活动前三年内，在经营活动中没有重大违法记</w:t>
      </w:r>
      <w:r>
        <w:rPr>
          <w:spacing w:val="-8"/>
        </w:rPr>
        <w:t xml:space="preserve">录”中的重大违法记录，即因违法经营受到刑事处罚或者责令停产停业、吊销许可证或者执 </w:t>
      </w:r>
      <w:r>
        <w:rPr>
          <w:spacing w:val="-10"/>
        </w:rPr>
        <w:t>照、较大数额罚款等行政处罚，其中较大数额罚款的具体金额标准是指：若采购项目所属行业行政主管部门对较大数额罚款金额标准有明文规定的，以所属行业行政主管部门规定的较大</w:t>
      </w:r>
      <w:r>
        <w:rPr>
          <w:spacing w:val="-6"/>
        </w:rPr>
        <w:t>数额罚款金额标准；若采购项目所属行业行政主管部门对较大数额罚款金额标准未明文规定</w:t>
      </w:r>
      <w:r>
        <w:rPr>
          <w:spacing w:val="-8"/>
        </w:rPr>
        <w:t>的，以四川省人民政府规定的行政处罚罚款听证标准金额。具体金额标准详见《附件一 各行</w:t>
      </w:r>
      <w:r>
        <w:rPr>
          <w:spacing w:val="-5"/>
        </w:rPr>
        <w:t>政监管领域“较大数额罚款"标准一览表》。</w:t>
      </w:r>
    </w:p>
    <w:p>
      <w:pPr>
        <w:pStyle w:val="8"/>
        <w:spacing w:line="367" w:lineRule="auto"/>
        <w:ind w:right="362" w:firstLine="460" w:firstLineChars="200"/>
        <w:sectPr>
          <w:pgSz w:w="11910" w:h="16840"/>
          <w:pgMar w:top="1180" w:right="760" w:bottom="1120" w:left="1160" w:header="631" w:footer="932" w:gutter="0"/>
          <w:pgNumType w:fmt="decimal"/>
          <w:cols w:space="720" w:num="1"/>
        </w:sectPr>
      </w:pPr>
      <w:r>
        <w:rPr>
          <w:spacing w:val="-5"/>
        </w:rPr>
        <w:t>2</w:t>
      </w:r>
      <w:r>
        <w:rPr>
          <w:rFonts w:hint="eastAsia"/>
          <w:spacing w:val="-5"/>
          <w:lang w:val="en-US" w:eastAsia="zh-CN"/>
        </w:rPr>
        <w:t>.</w:t>
      </w:r>
      <w:r>
        <w:rPr>
          <w:spacing w:val="-5"/>
        </w:rPr>
        <w:t>申请人在参加政府采购活动前，被纳入法院、工商行政管理部门、税务部门、银行</w:t>
      </w:r>
      <w:r>
        <w:rPr>
          <w:spacing w:val="3"/>
        </w:rPr>
        <w:t>认定的失信名单且在有效期内，或者在前三年政府采购合同履约过程中及其他经营活动</w:t>
      </w:r>
      <w:r>
        <w:t>（合同）履约过程中未依法履约被有关行政部门处罚（处理）的，本项目不认定其具有良好的商业信誉。</w:t>
      </w:r>
    </w:p>
    <w:p>
      <w:pPr>
        <w:pStyle w:val="26"/>
        <w:numPr>
          <w:ilvl w:val="0"/>
          <w:numId w:val="0"/>
        </w:numPr>
        <w:outlineLvl w:val="1"/>
      </w:pPr>
    </w:p>
    <w:p>
      <w:pPr>
        <w:pStyle w:val="3"/>
        <w:spacing w:line="367" w:lineRule="auto"/>
        <w:ind w:left="4540" w:right="368" w:hanging="4095"/>
        <w:jc w:val="left"/>
      </w:pPr>
      <w:bookmarkStart w:id="51" w:name="_Toc19696"/>
      <w:r>
        <w:t>第四章 申请人应当提供的资格、资质性及其他类似效力要求的相关证明材料</w:t>
      </w:r>
      <w:bookmarkEnd w:id="51"/>
    </w:p>
    <w:p>
      <w:pPr>
        <w:pStyle w:val="26"/>
        <w:ind w:firstLine="468" w:firstLineChars="195"/>
        <w:outlineLvl w:val="1"/>
        <w:rPr>
          <w:rFonts w:ascii="宋体" w:hAnsi="宋体" w:cs="宋体"/>
          <w:color w:val="0000FF"/>
          <w:sz w:val="24"/>
          <w:highlight w:val="none"/>
        </w:rPr>
      </w:pPr>
      <w:bookmarkStart w:id="52" w:name="第五章_采购项目概况及内容"/>
      <w:bookmarkEnd w:id="52"/>
      <w:r>
        <w:rPr>
          <w:rFonts w:hint="eastAsia" w:ascii="宋体" w:hAnsi="宋体" w:cs="宋体"/>
          <w:color w:val="0000FF"/>
          <w:sz w:val="24"/>
          <w:highlight w:val="none"/>
        </w:rPr>
        <w:t>1、具有独立承担民事责任能力的证明材料复印件（注：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2、具备良好商业信誉的证明材料（可提供承诺函）；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3、具备健全财务会计制度的证明材料｛注：①可提供</w:t>
      </w:r>
      <w:r>
        <w:rPr>
          <w:rFonts w:hint="eastAsia" w:ascii="宋体" w:hAnsi="宋体" w:cs="宋体"/>
          <w:color w:val="0000FF"/>
          <w:sz w:val="24"/>
          <w:highlight w:val="none"/>
          <w:lang w:eastAsia="zh-CN"/>
        </w:rPr>
        <w:t>近三年来</w:t>
      </w:r>
      <w:r>
        <w:rPr>
          <w:rFonts w:hint="eastAsia" w:ascii="宋体" w:hAnsi="宋体" w:cs="宋体"/>
          <w:color w:val="0000FF"/>
          <w:sz w:val="24"/>
          <w:highlight w:val="none"/>
        </w:rPr>
        <w:t>经审计</w:t>
      </w:r>
      <w:r>
        <w:rPr>
          <w:rFonts w:hint="eastAsia" w:ascii="宋体" w:hAnsi="宋体" w:cs="宋体"/>
          <w:color w:val="0000FF"/>
          <w:sz w:val="24"/>
          <w:highlight w:val="none"/>
          <w:lang w:eastAsia="zh-CN"/>
        </w:rPr>
        <w:t>的任意一年</w:t>
      </w:r>
      <w:r>
        <w:rPr>
          <w:rFonts w:hint="eastAsia" w:ascii="宋体" w:hAnsi="宋体" w:cs="宋体"/>
          <w:color w:val="0000FF"/>
          <w:sz w:val="24"/>
          <w:highlight w:val="none"/>
        </w:rPr>
        <w:t>的财务报告复印件②也可提供</w:t>
      </w:r>
      <w:r>
        <w:rPr>
          <w:rFonts w:hint="eastAsia" w:ascii="宋体" w:hAnsi="宋体" w:cs="宋体"/>
          <w:color w:val="0000FF"/>
          <w:sz w:val="24"/>
          <w:highlight w:val="none"/>
          <w:lang w:eastAsia="zh-CN"/>
        </w:rPr>
        <w:t>近三年来任意一年</w:t>
      </w:r>
      <w:r>
        <w:rPr>
          <w:rFonts w:hint="eastAsia" w:ascii="宋体" w:hAnsi="宋体" w:cs="宋体"/>
          <w:color w:val="0000FF"/>
          <w:sz w:val="24"/>
          <w:highlight w:val="none"/>
        </w:rPr>
        <w:t>的供应商内部的财务报表复印件，③也可提供截至响应文件递交截止日一年内银行出具的资信证明（复印件），④供应商注册时间截至响应文件递交截止日不足一年的，也可提供在工商备案的公司章程（复印件）}。</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4、具有履行合同所必须的设备和专业技术能力证明材料（可提供承诺函）；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5、具有依法缴纳税收和社会保障资金的良好记录（注：①可提供2021年以来任意3个月缴纳税收和社保的凭证，②也可提供具有依法缴纳税收和社会保障资金的良好记录承诺函）；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6、参加本次政府采购活动前三年内，在经营活动中没有重大违法记录的证明材料（可提供承诺函）；</w:t>
      </w:r>
    </w:p>
    <w:p>
      <w:pPr>
        <w:pStyle w:val="26"/>
        <w:ind w:firstLine="468" w:firstLineChars="195"/>
        <w:outlineLvl w:val="1"/>
        <w:rPr>
          <w:rFonts w:ascii="宋体" w:hAnsi="宋体" w:cs="宋体"/>
          <w:color w:val="0000FF"/>
          <w:sz w:val="24"/>
          <w:highlight w:val="none"/>
        </w:rPr>
      </w:pPr>
      <w:r>
        <w:rPr>
          <w:rFonts w:hint="eastAsia" w:ascii="宋体" w:hAnsi="宋体" w:cs="宋体"/>
          <w:color w:val="0000FF"/>
          <w:sz w:val="24"/>
          <w:highlight w:val="none"/>
        </w:rPr>
        <w:t>7、具备法律、行政法规规定的其他条件的证明材料（可提供承诺函）；</w:t>
      </w:r>
    </w:p>
    <w:p>
      <w:pPr>
        <w:pStyle w:val="26"/>
        <w:ind w:firstLine="468" w:firstLineChars="195"/>
        <w:outlineLvl w:val="1"/>
        <w:rPr>
          <w:rFonts w:hint="eastAsia" w:ascii="宋体" w:hAnsi="宋体" w:eastAsia="宋体" w:cs="宋体"/>
          <w:color w:val="0000FF"/>
          <w:sz w:val="24"/>
          <w:highlight w:val="none"/>
          <w:lang w:eastAsia="zh-CN"/>
        </w:rPr>
      </w:pPr>
      <w:r>
        <w:rPr>
          <w:rFonts w:hint="eastAsia" w:ascii="宋体" w:hAnsi="宋体" w:cs="宋体"/>
          <w:color w:val="0000FF"/>
          <w:sz w:val="24"/>
          <w:highlight w:val="none"/>
        </w:rPr>
        <w:t>8、根据政府采购项目提出的特殊条件</w:t>
      </w:r>
      <w:r>
        <w:rPr>
          <w:rFonts w:hint="eastAsia" w:ascii="宋体" w:hAnsi="宋体" w:cs="宋体"/>
          <w:color w:val="0000FF"/>
          <w:sz w:val="24"/>
          <w:highlight w:val="none"/>
          <w:lang w:eastAsia="zh-CN"/>
        </w:rPr>
        <w:t>证明材料：</w:t>
      </w:r>
    </w:p>
    <w:p>
      <w:pPr>
        <w:spacing w:line="360" w:lineRule="auto"/>
        <w:ind w:firstLine="240" w:firstLineChars="100"/>
        <w:rPr>
          <w:rFonts w:hint="eastAsia" w:ascii="宋体" w:hAnsi="宋体" w:cs="仿宋"/>
          <w:color w:val="0000FF"/>
          <w:sz w:val="24"/>
        </w:rPr>
      </w:pPr>
      <w:r>
        <w:rPr>
          <w:rFonts w:hint="eastAsia" w:ascii="宋体" w:hAnsi="宋体" w:cs="仿宋"/>
          <w:color w:val="0000FF"/>
          <w:sz w:val="24"/>
        </w:rPr>
        <w:t>（1）具有建设行政主管部门核发的水利水电施工总承包叁级及以上资质</w:t>
      </w:r>
      <w:r>
        <w:rPr>
          <w:rFonts w:hint="eastAsia" w:ascii="宋体" w:hAnsi="宋体" w:cs="仿宋"/>
          <w:color w:val="0000FF"/>
          <w:sz w:val="24"/>
          <w:lang w:eastAsia="zh-CN"/>
        </w:rPr>
        <w:t>（提供证书复印件）</w:t>
      </w:r>
      <w:r>
        <w:rPr>
          <w:rFonts w:hint="eastAsia" w:ascii="宋体" w:hAnsi="宋体" w:cs="仿宋"/>
          <w:color w:val="0000FF"/>
          <w:sz w:val="24"/>
        </w:rPr>
        <w:t>；</w:t>
      </w:r>
    </w:p>
    <w:p>
      <w:pPr>
        <w:spacing w:line="360" w:lineRule="auto"/>
        <w:ind w:firstLine="240" w:firstLineChars="100"/>
        <w:rPr>
          <w:rFonts w:hint="eastAsia" w:ascii="宋体" w:hAnsi="宋体" w:cs="仿宋"/>
          <w:color w:val="0000FF"/>
          <w:sz w:val="24"/>
        </w:rPr>
      </w:pPr>
      <w:r>
        <w:rPr>
          <w:rFonts w:hint="eastAsia" w:ascii="宋体" w:hAnsi="宋体" w:cs="仿宋"/>
          <w:color w:val="0000FF"/>
          <w:sz w:val="24"/>
        </w:rPr>
        <w:t>（2）具备有效的《安全生产许可证》</w:t>
      </w:r>
      <w:r>
        <w:rPr>
          <w:rFonts w:hint="eastAsia" w:ascii="宋体" w:hAnsi="宋体" w:cs="仿宋"/>
          <w:color w:val="0000FF"/>
          <w:sz w:val="24"/>
          <w:lang w:eastAsia="zh-CN"/>
        </w:rPr>
        <w:t>（提供证书复印件）</w:t>
      </w:r>
      <w:r>
        <w:rPr>
          <w:rFonts w:hint="eastAsia" w:ascii="宋体" w:hAnsi="宋体" w:cs="仿宋"/>
          <w:color w:val="0000FF"/>
          <w:sz w:val="24"/>
        </w:rPr>
        <w:t>；</w:t>
      </w:r>
    </w:p>
    <w:p>
      <w:pPr>
        <w:pStyle w:val="26"/>
        <w:ind w:left="0" w:leftChars="0" w:firstLine="240" w:firstLineChars="100"/>
        <w:outlineLvl w:val="1"/>
        <w:rPr>
          <w:rFonts w:hint="eastAsia" w:ascii="宋体" w:hAnsi="宋体" w:cs="仿宋"/>
          <w:color w:val="0000FF"/>
          <w:sz w:val="24"/>
          <w:lang w:eastAsia="zh-CN"/>
        </w:rPr>
      </w:pPr>
      <w:r>
        <w:rPr>
          <w:rFonts w:hint="eastAsia" w:ascii="宋体" w:hAnsi="宋体" w:cs="仿宋"/>
          <w:color w:val="0000FF"/>
          <w:sz w:val="24"/>
          <w:lang w:eastAsia="zh-CN"/>
        </w:rPr>
        <w:t>（</w:t>
      </w:r>
      <w:r>
        <w:rPr>
          <w:rFonts w:hint="eastAsia" w:cs="仿宋"/>
          <w:color w:val="0000FF"/>
          <w:sz w:val="24"/>
          <w:lang w:val="en-US" w:eastAsia="zh-CN"/>
        </w:rPr>
        <w:t>3</w:t>
      </w:r>
      <w:r>
        <w:rPr>
          <w:rFonts w:hint="eastAsia" w:ascii="宋体" w:hAnsi="宋体" w:cs="仿宋"/>
          <w:color w:val="0000FF"/>
          <w:sz w:val="24"/>
          <w:lang w:eastAsia="zh-CN"/>
        </w:rPr>
        <w:t>）</w:t>
      </w:r>
      <w:r>
        <w:rPr>
          <w:rFonts w:hint="eastAsia" w:ascii="宋体" w:hAnsi="宋体" w:cs="宋体"/>
          <w:color w:val="0000FF"/>
          <w:kern w:val="0"/>
          <w:sz w:val="24"/>
          <w:lang w:val="zh-CN" w:eastAsia="zh-CN"/>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r>
        <w:rPr>
          <w:rFonts w:hint="eastAsia" w:ascii="宋体" w:hAnsi="宋体" w:cs="仿宋"/>
          <w:color w:val="0000FF"/>
          <w:sz w:val="24"/>
          <w:lang w:val="en-US" w:eastAsia="zh-CN"/>
        </w:rPr>
        <w:t>（提供证书复印件</w:t>
      </w:r>
      <w:r>
        <w:rPr>
          <w:rFonts w:hint="eastAsia" w:ascii="宋体" w:hAnsi="宋体" w:cs="仿宋"/>
          <w:color w:val="0000FF"/>
          <w:sz w:val="24"/>
          <w:lang w:eastAsia="zh-CN"/>
        </w:rPr>
        <w:t>）</w:t>
      </w:r>
    </w:p>
    <w:p>
      <w:pPr>
        <w:pStyle w:val="26"/>
        <w:ind w:firstLine="468" w:firstLineChars="195"/>
        <w:outlineLvl w:val="1"/>
        <w:rPr>
          <w:rFonts w:hint="eastAsia" w:ascii="宋体" w:hAnsi="宋体" w:eastAsia="宋体" w:cs="宋体"/>
          <w:color w:val="0000FF"/>
          <w:sz w:val="24"/>
          <w:highlight w:val="none"/>
          <w:lang w:eastAsia="zh-CN"/>
        </w:rPr>
      </w:pPr>
      <w:r>
        <w:rPr>
          <w:rFonts w:hint="eastAsia" w:ascii="宋体" w:hAnsi="宋体" w:eastAsia="宋体" w:cs="宋体"/>
          <w:color w:val="0000FF"/>
          <w:sz w:val="24"/>
          <w:highlight w:val="none"/>
          <w:lang w:val="en-US" w:eastAsia="zh-CN"/>
        </w:rPr>
        <w:t>9、本项目专门面向中小企业采购（提供中小企业声明函）。</w:t>
      </w:r>
    </w:p>
    <w:p>
      <w:pPr>
        <w:pStyle w:val="26"/>
        <w:ind w:firstLine="468" w:firstLineChars="195"/>
        <w:outlineLvl w:val="1"/>
        <w:rPr>
          <w:rFonts w:hint="eastAsia" w:ascii="宋体" w:hAnsi="宋体" w:cs="宋体"/>
          <w:color w:val="0000FF"/>
          <w:sz w:val="24"/>
          <w:highlight w:val="none"/>
        </w:rPr>
      </w:pPr>
    </w:p>
    <w:p>
      <w:pPr>
        <w:pStyle w:val="26"/>
        <w:ind w:firstLine="468" w:firstLineChars="195"/>
        <w:outlineLvl w:val="1"/>
        <w:rPr>
          <w:rFonts w:hint="eastAsia" w:ascii="宋体" w:hAnsi="宋体" w:cs="宋体"/>
          <w:color w:val="0000FF"/>
          <w:sz w:val="24"/>
          <w:highlight w:val="none"/>
        </w:rPr>
      </w:pPr>
    </w:p>
    <w:p>
      <w:pPr>
        <w:spacing w:line="360" w:lineRule="auto"/>
        <w:ind w:firstLine="482" w:firstLineChars="200"/>
        <w:rPr>
          <w:rFonts w:ascii="宋体" w:hAnsi="宋体" w:eastAsia="宋体" w:cs="宋体"/>
          <w:b/>
          <w:color w:val="0000FF"/>
          <w:sz w:val="24"/>
          <w:highlight w:val="none"/>
        </w:rPr>
      </w:pPr>
      <w:r>
        <w:rPr>
          <w:rFonts w:hint="eastAsia" w:ascii="宋体" w:hAnsi="宋体" w:eastAsia="宋体" w:cs="宋体"/>
          <w:b/>
          <w:color w:val="0000FF"/>
          <w:sz w:val="24"/>
          <w:highlight w:val="none"/>
        </w:rPr>
        <w:t>说明：1）供应商提供的以上资格证明材料为复印件</w:t>
      </w:r>
      <w:r>
        <w:rPr>
          <w:rFonts w:hint="eastAsia" w:ascii="宋体" w:hAnsi="宋体" w:eastAsia="宋体" w:cs="宋体"/>
          <w:b/>
          <w:color w:val="0000FF"/>
          <w:sz w:val="24"/>
          <w:highlight w:val="none"/>
          <w:lang w:eastAsia="zh-CN"/>
        </w:rPr>
        <w:t>、扫描件</w:t>
      </w:r>
      <w:r>
        <w:rPr>
          <w:rFonts w:hint="eastAsia" w:ascii="宋体" w:hAnsi="宋体" w:eastAsia="宋体" w:cs="宋体"/>
          <w:b/>
          <w:color w:val="0000FF"/>
          <w:sz w:val="24"/>
          <w:highlight w:val="none"/>
        </w:rPr>
        <w:t>的均应加盖供应商公章(鲜章)。</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供应商应对其所提供的资格证明材料来源的合法性、真实性负责。</w:t>
      </w:r>
    </w:p>
    <w:p>
      <w:pPr>
        <w:numPr>
          <w:ilvl w:val="0"/>
          <w:numId w:val="8"/>
        </w:numPr>
        <w:spacing w:line="360" w:lineRule="auto"/>
        <w:ind w:firstLine="723" w:firstLineChars="300"/>
        <w:rPr>
          <w:rFonts w:hint="eastAsia" w:ascii="宋体" w:hAnsi="宋体" w:eastAsia="宋体" w:cs="宋体"/>
          <w:b/>
          <w:color w:val="0000FF"/>
          <w:sz w:val="24"/>
          <w:highlight w:val="none"/>
        </w:rPr>
      </w:pPr>
      <w:r>
        <w:rPr>
          <w:rFonts w:hint="eastAsia" w:ascii="宋体" w:hAnsi="宋体" w:eastAsia="宋体" w:cs="宋体"/>
          <w:b/>
          <w:color w:val="0000FF"/>
          <w:sz w:val="24"/>
          <w:highlight w:val="none"/>
        </w:rPr>
        <w:t>提供的证件材料如有有效期要求的，必须在有效期内</w:t>
      </w:r>
      <w:r>
        <w:rPr>
          <w:rFonts w:hint="eastAsia" w:ascii="宋体" w:hAnsi="宋体" w:eastAsia="宋体" w:cs="宋体"/>
          <w:b/>
          <w:color w:val="0000FF"/>
          <w:sz w:val="24"/>
          <w:highlight w:val="none"/>
          <w:lang w:eastAsia="zh-CN"/>
        </w:rPr>
        <w:t>。</w:t>
      </w:r>
    </w:p>
    <w:p>
      <w:pPr>
        <w:pStyle w:val="8"/>
        <w:keepNext w:val="0"/>
        <w:keepLines w:val="0"/>
        <w:pageBreakBefore w:val="0"/>
        <w:widowControl w:val="0"/>
        <w:kinsoku/>
        <w:wordWrap/>
        <w:overflowPunct/>
        <w:topLinePunct w:val="0"/>
        <w:autoSpaceDE/>
        <w:autoSpaceDN/>
        <w:bidi w:val="0"/>
        <w:adjustRightInd/>
        <w:snapToGrid/>
        <w:spacing w:after="100" w:line="400" w:lineRule="exact"/>
        <w:textAlignment w:val="auto"/>
        <w:rPr>
          <w:rFonts w:hint="eastAsia" w:ascii="宋体" w:hAnsi="宋体" w:eastAsia="宋体" w:cs="宋体"/>
          <w:b/>
          <w:bCs/>
          <w:sz w:val="24"/>
          <w:highlight w:val="none"/>
        </w:rPr>
      </w:pPr>
    </w:p>
    <w:p>
      <w:pPr>
        <w:pStyle w:val="8"/>
        <w:rPr>
          <w:sz w:val="29"/>
        </w:rPr>
      </w:pPr>
    </w:p>
    <w:p/>
    <w:p>
      <w:pPr>
        <w:pStyle w:val="8"/>
      </w:pPr>
    </w:p>
    <w:p/>
    <w:p>
      <w:pPr>
        <w:pStyle w:val="3"/>
      </w:pPr>
      <w:bookmarkStart w:id="53" w:name="第六章_申请文件格式"/>
      <w:bookmarkEnd w:id="53"/>
      <w:bookmarkStart w:id="54" w:name="_Toc20792"/>
      <w:r>
        <w:t>第</w:t>
      </w:r>
      <w:r>
        <w:rPr>
          <w:rFonts w:hint="eastAsia"/>
        </w:rPr>
        <w:t>五</w:t>
      </w:r>
      <w:r>
        <w:t>章 申请文件格式</w:t>
      </w:r>
      <w:bookmarkEnd w:id="54"/>
    </w:p>
    <w:p>
      <w:pPr>
        <w:pStyle w:val="8"/>
        <w:spacing w:before="10"/>
        <w:rPr>
          <w:b/>
          <w:sz w:val="43"/>
        </w:rPr>
      </w:pPr>
    </w:p>
    <w:p>
      <w:pPr>
        <w:pStyle w:val="8"/>
        <w:spacing w:line="367" w:lineRule="auto"/>
        <w:ind w:left="390" w:right="344" w:firstLine="470"/>
        <w:jc w:val="both"/>
      </w:pPr>
      <w:r>
        <w:rPr>
          <w:spacing w:val="-1"/>
        </w:rPr>
        <w:t>一、本章所制申请文件格式，除格式中明确将该格式作为实质性要求的，一律不具有强</w:t>
      </w:r>
      <w:r>
        <w:rPr>
          <w:spacing w:val="-4"/>
        </w:rPr>
        <w:t>制性，但是，申请人申请文件相关资料和本章所制格式不一致的，需涵盖所有要求内容，未</w:t>
      </w:r>
      <w:r>
        <w:t>按要求提供导致申请文件被判为无效申请文件，后果由申请人自行承担。</w:t>
      </w:r>
    </w:p>
    <w:p>
      <w:pPr>
        <w:pStyle w:val="8"/>
        <w:spacing w:before="4" w:line="369" w:lineRule="auto"/>
        <w:ind w:left="390" w:right="269" w:firstLine="470"/>
        <w:jc w:val="both"/>
      </w:pPr>
      <w:r>
        <w:rPr>
          <w:spacing w:val="-16"/>
        </w:rPr>
        <w:t>二、本章所制申请文件格式有关表格中的备注栏，由申请人根据自身情况作解释性说明， 不作为必填项。</w:t>
      </w:r>
    </w:p>
    <w:p>
      <w:pPr>
        <w:pStyle w:val="8"/>
        <w:spacing w:line="369" w:lineRule="auto"/>
        <w:ind w:left="390" w:right="287" w:firstLine="480"/>
      </w:pPr>
      <w:r>
        <w:rPr>
          <w:spacing w:val="-8"/>
        </w:rPr>
        <w:t>三、本章所制申请文件格式中需要填写的相关内容事项，可能会与本采购项目无关，在不</w:t>
      </w:r>
      <w:r>
        <w:rPr>
          <w:spacing w:val="-15"/>
        </w:rPr>
        <w:t>改变申请文件原义、不影响本项目采购需求的情况下，申请人可以不予填写，但应当注明。</w:t>
      </w:r>
    </w:p>
    <w:p>
      <w:pPr>
        <w:pStyle w:val="8"/>
        <w:spacing w:line="306" w:lineRule="exact"/>
        <w:ind w:left="870"/>
        <w:sectPr>
          <w:headerReference r:id="rId9" w:type="default"/>
          <w:footerReference r:id="rId10" w:type="default"/>
          <w:pgSz w:w="11910" w:h="16840"/>
          <w:pgMar w:top="780" w:right="780" w:bottom="820" w:left="800" w:header="545" w:footer="635" w:gutter="0"/>
          <w:pgNumType w:fmt="decimal"/>
          <w:cols w:space="720" w:num="1"/>
        </w:sectPr>
      </w:pPr>
      <w:r>
        <w:t>四、未提供具体格式的由申请人自拟。</w:t>
      </w:r>
    </w:p>
    <w:p>
      <w:pPr>
        <w:pStyle w:val="8"/>
        <w:rPr>
          <w:sz w:val="20"/>
        </w:rPr>
      </w:pPr>
    </w:p>
    <w:p>
      <w:pPr>
        <w:pStyle w:val="8"/>
        <w:rPr>
          <w:sz w:val="20"/>
        </w:rPr>
      </w:pPr>
    </w:p>
    <w:p>
      <w:pPr>
        <w:pStyle w:val="8"/>
        <w:spacing w:before="11"/>
        <w:rPr>
          <w:sz w:val="17"/>
        </w:rPr>
      </w:pPr>
    </w:p>
    <w:p>
      <w:pPr>
        <w:pStyle w:val="3"/>
        <w:spacing w:before="55"/>
        <w:ind w:right="31"/>
      </w:pPr>
      <w:bookmarkStart w:id="55" w:name="“申请文件”格式"/>
      <w:bookmarkEnd w:id="55"/>
      <w:bookmarkStart w:id="56" w:name="_Toc18968"/>
      <w:bookmarkStart w:id="57" w:name="_Toc31272"/>
      <w:r>
        <w:t>“申请文件”格式</w:t>
      </w:r>
      <w:bookmarkEnd w:id="56"/>
      <w:bookmarkEnd w:id="57"/>
    </w:p>
    <w:p>
      <w:pPr>
        <w:pStyle w:val="8"/>
        <w:rPr>
          <w:b/>
          <w:sz w:val="20"/>
        </w:rPr>
      </w:pPr>
    </w:p>
    <w:p>
      <w:pPr>
        <w:pStyle w:val="8"/>
        <w:rPr>
          <w:b/>
          <w:sz w:val="20"/>
        </w:rPr>
      </w:pPr>
    </w:p>
    <w:p>
      <w:pPr>
        <w:pStyle w:val="8"/>
        <w:spacing w:before="1"/>
        <w:rPr>
          <w:b/>
          <w:sz w:val="22"/>
        </w:rPr>
      </w:pPr>
    </w:p>
    <w:p>
      <w:pPr>
        <w:spacing w:before="54"/>
        <w:ind w:right="356"/>
        <w:jc w:val="right"/>
        <w:rPr>
          <w:b/>
          <w:sz w:val="32"/>
        </w:rPr>
      </w:pPr>
      <w:r>
        <w:rPr>
          <w:b/>
          <w:w w:val="90"/>
          <w:sz w:val="32"/>
        </w:rPr>
        <w:t>（正本/副本）</w:t>
      </w:r>
    </w:p>
    <w:p>
      <w:pPr>
        <w:spacing w:before="219"/>
        <w:ind w:left="225" w:right="192"/>
        <w:jc w:val="center"/>
        <w:rPr>
          <w:b/>
          <w:sz w:val="32"/>
        </w:rPr>
      </w:pPr>
      <w:r>
        <w:rPr>
          <w:b/>
          <w:sz w:val="32"/>
          <w:u w:val="single"/>
        </w:rPr>
        <w:t>XX</w:t>
      </w:r>
      <w:r>
        <w:rPr>
          <w:b/>
          <w:sz w:val="32"/>
        </w:rPr>
        <w:t xml:space="preserve"> 项目</w:t>
      </w:r>
    </w:p>
    <w:p>
      <w:pPr>
        <w:pStyle w:val="8"/>
        <w:rPr>
          <w:b/>
          <w:sz w:val="32"/>
        </w:rPr>
      </w:pPr>
    </w:p>
    <w:p>
      <w:pPr>
        <w:pStyle w:val="8"/>
        <w:spacing w:before="4"/>
        <w:rPr>
          <w:b/>
          <w:sz w:val="34"/>
        </w:rPr>
      </w:pPr>
    </w:p>
    <w:p>
      <w:pPr>
        <w:ind w:left="225" w:right="192"/>
        <w:jc w:val="center"/>
        <w:outlineLvl w:val="0"/>
        <w:rPr>
          <w:b/>
          <w:sz w:val="32"/>
        </w:rPr>
      </w:pPr>
      <w:bookmarkStart w:id="58" w:name="_Toc23875"/>
      <w:bookmarkStart w:id="59" w:name="_Toc727"/>
      <w:bookmarkStart w:id="60" w:name="_Toc1601"/>
      <w:r>
        <w:rPr>
          <w:b/>
          <w:sz w:val="32"/>
        </w:rPr>
        <w:t>申请文件</w:t>
      </w:r>
      <w:bookmarkEnd w:id="58"/>
      <w:bookmarkEnd w:id="59"/>
      <w:bookmarkEnd w:id="60"/>
    </w:p>
    <w:p>
      <w:pPr>
        <w:pStyle w:val="8"/>
        <w:rPr>
          <w:b/>
          <w:sz w:val="20"/>
        </w:rPr>
      </w:pPr>
    </w:p>
    <w:p>
      <w:pPr>
        <w:pStyle w:val="8"/>
        <w:rPr>
          <w:b/>
          <w:sz w:val="20"/>
        </w:rPr>
      </w:pPr>
    </w:p>
    <w:p>
      <w:pPr>
        <w:pStyle w:val="8"/>
        <w:rPr>
          <w:b/>
          <w:sz w:val="20"/>
        </w:rPr>
      </w:pPr>
    </w:p>
    <w:p>
      <w:pPr>
        <w:pStyle w:val="8"/>
        <w:spacing w:before="1"/>
        <w:rPr>
          <w:b/>
          <w:sz w:val="27"/>
        </w:rPr>
      </w:pPr>
    </w:p>
    <w:p>
      <w:pPr>
        <w:spacing w:before="54" w:line="415" w:lineRule="auto"/>
        <w:ind w:left="1016" w:right="7667"/>
        <w:outlineLvl w:val="1"/>
        <w:rPr>
          <w:b/>
          <w:sz w:val="32"/>
        </w:rPr>
      </w:pPr>
      <w:bookmarkStart w:id="61" w:name="_Toc2173"/>
      <w:r>
        <w:rPr>
          <w:b/>
          <w:sz w:val="32"/>
        </w:rPr>
        <w:t>项目名称： 项目编号：</w:t>
      </w:r>
      <w:bookmarkEnd w:id="61"/>
    </w:p>
    <w:p>
      <w:pPr>
        <w:spacing w:line="423" w:lineRule="exact"/>
        <w:ind w:left="1031"/>
        <w:outlineLvl w:val="1"/>
        <w:rPr>
          <w:sz w:val="34"/>
        </w:rPr>
      </w:pPr>
      <w:bookmarkStart w:id="62" w:name="_Toc3807"/>
      <w:r>
        <w:rPr>
          <w:b/>
          <w:sz w:val="32"/>
        </w:rPr>
        <w:t>包号（如有）</w:t>
      </w:r>
      <w:r>
        <w:rPr>
          <w:sz w:val="34"/>
        </w:rPr>
        <w:t>：</w:t>
      </w:r>
      <w:bookmarkEnd w:id="62"/>
    </w:p>
    <w:p>
      <w:pPr>
        <w:spacing w:before="273"/>
        <w:ind w:left="1031"/>
        <w:outlineLvl w:val="1"/>
        <w:rPr>
          <w:b/>
          <w:sz w:val="32"/>
        </w:rPr>
      </w:pPr>
      <w:bookmarkStart w:id="63" w:name="_Toc4711"/>
      <w:r>
        <w:rPr>
          <w:b/>
          <w:sz w:val="32"/>
        </w:rPr>
        <w:t>供应商名称：</w:t>
      </w:r>
      <w:bookmarkEnd w:id="63"/>
    </w:p>
    <w:p>
      <w:pPr>
        <w:pStyle w:val="8"/>
        <w:spacing w:before="6"/>
        <w:rPr>
          <w:b/>
          <w:sz w:val="23"/>
        </w:rPr>
      </w:pPr>
    </w:p>
    <w:p>
      <w:pPr>
        <w:spacing w:line="412" w:lineRule="auto"/>
        <w:ind w:left="1016" w:right="2723" w:firstLine="12"/>
        <w:outlineLvl w:val="1"/>
        <w:rPr>
          <w:b/>
          <w:sz w:val="32"/>
        </w:rPr>
      </w:pPr>
      <w:bookmarkStart w:id="64" w:name="_Toc18939"/>
      <w:r>
        <w:rPr>
          <w:b/>
          <w:w w:val="90"/>
          <w:sz w:val="32"/>
        </w:rPr>
        <w:t xml:space="preserve">法定代表人/单位负责人（签字或盖个人名章）： </w:t>
      </w:r>
      <w:r>
        <w:rPr>
          <w:b/>
          <w:sz w:val="32"/>
        </w:rPr>
        <w:t>日期：XX 年XX 月XX 日</w:t>
      </w:r>
      <w:bookmarkEnd w:id="64"/>
    </w:p>
    <w:p>
      <w:pPr>
        <w:spacing w:line="412" w:lineRule="auto"/>
        <w:rPr>
          <w:sz w:val="32"/>
        </w:rPr>
        <w:sectPr>
          <w:pgSz w:w="11910" w:h="16840"/>
          <w:pgMar w:top="780" w:right="780" w:bottom="820" w:left="800" w:header="545" w:footer="635" w:gutter="0"/>
          <w:pgNumType w:fmt="decimal"/>
          <w:cols w:space="720" w:num="1"/>
        </w:sectPr>
      </w:pPr>
    </w:p>
    <w:p>
      <w:pPr>
        <w:pStyle w:val="8"/>
        <w:spacing w:before="2"/>
        <w:rPr>
          <w:b/>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6" name="组合 1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5" name="直线 1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naIGGSQIAAPYEAAAOAAAAZHJzL2Uyb0RvYy54bWylVEuOGjEQ&#10;3UfKHSzvQwMzEGgBsxhm2ETJSJMcoHC7uy35J9vQsM8iy+xzjaySRU4TzTVSdjeQMIqEEhaNP+VX&#10;771yeXazU5JsufPC6Dkd9PqUcM1MIXQ1px/e37+aUOID6AKk0XxO99zTm8XLF7PG5nxoaiML7giC&#10;aJ83dk7rEGyeZZ7VXIHvGcs1bpbGKQg4dVVWOGgQXcls2O+Ps8a4wjrDuPe4umw3aYfoLgE0ZSkY&#10;Xxq2UVyHFtVxCQEl+VpYTxeJbVlyFt6VpeeByDlFpSF9MQmO1/GbLWaQVw5sLVhHAS6hcKZJgdCY&#10;9Ai1hABk48QzKCWYM96UoceMylohyRFUMeifebNyZmOTlipvKns0HQt15vo/w7K32wdHRIE3YUyJ&#10;BoUVf/r+8efnT2Qwiu40tsoxaOXso31w3ULVzqLgXelU/EcpZJd83R995btAGC6O+5Or6dWIEoZ7&#10;09EwAUPOaqzNs0OsvuuOTUeTQXumpZIdsmWR1JFDY/Ei+pM7/v/ceazB8mS6j8IP7iD7zp0vX5++&#10;/SBoVzIjBd3qzhqfe3Tpr768bu/bwZeTwHQRj/ogt86HFTeKxMGcSqEjJchh+8YHzIuhh5C4LDVp&#10;0NnB9TX6BdiUJTYDDpXFwnpdpbPeSFHcCynjCe+q9a10ZAuxMdIvckPcP8JikiX4uo1LW62EmkNx&#10;pwsS9hZvjMaXgkYKiheUSI4PSxwhIOQBhLwkElNLjQxiOVsT42htin3yNq1jmVNEaofEtmvd2G+/&#10;z1PU6bla/A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J2iBhkkCAAD2BAAADgAAAAAAAAAB&#10;ACAAAAAjAQAAZHJzL2Uyb0RvYy54bWxQSwUGAAAAAAYABgBZAQAA3gUAAAAA&#10;">
                <o:lock v:ext="edit" aspectratio="f"/>
                <v:line id="直线 16" o:spid="_x0000_s1026" o:spt="20" style="position:absolute;left:0;top:7;height:0;width:9581;" filled="f" stroked="t" coordsize="21600,21600" o:gfxdata="UEsDBAoAAAAAAIdO4kAAAAAAAAAAAAAAAAAEAAAAZHJzL1BLAwQUAAAACACHTuJA66jfl7oAAADb&#10;AAAADwAAAGRycy9kb3ducmV2LnhtbEVPzWoCMRC+F3yHMIK3mrWglq3Rg2yhlB502wcYNuMmuJks&#10;m6lrffpGKPQ2H9/vbHbX0KkLDclHNrCYF6CIm2g9twa+Pl8fn0ElQbbYRSYDP5Rgt508bLC0ceQj&#10;XWppVQ7hVKIBJ9KXWqfGUcA0jz1x5k5xCCgZDq22A445PHT6qShWOqDn3OCwp72j5lx/BwP14WNc&#10;vd9uY7WuPSYR76pqb8xsuiheQAld5V/8536zef4S7r/kA/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rqN+X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4"/>
        <w:spacing w:before="12"/>
        <w:ind w:right="187"/>
      </w:pPr>
      <w:bookmarkStart w:id="65" w:name="一、法定代表人/单位负责人身份证明"/>
      <w:bookmarkEnd w:id="65"/>
      <w:bookmarkStart w:id="66" w:name="_Toc12252"/>
      <w:bookmarkStart w:id="67" w:name="_Toc2600"/>
    </w:p>
    <w:p>
      <w:pPr>
        <w:pStyle w:val="4"/>
        <w:spacing w:before="12"/>
        <w:ind w:right="187"/>
      </w:pPr>
    </w:p>
    <w:p>
      <w:pPr>
        <w:pStyle w:val="4"/>
        <w:spacing w:before="12"/>
        <w:ind w:right="187"/>
      </w:pPr>
      <w:r>
        <w:t>一、法定代表人/单位负责人身份证明</w:t>
      </w:r>
      <w:bookmarkEnd w:id="66"/>
      <w:bookmarkEnd w:id="67"/>
    </w:p>
    <w:p>
      <w:pPr>
        <w:pStyle w:val="8"/>
        <w:rPr>
          <w:b/>
          <w:sz w:val="30"/>
        </w:rPr>
      </w:pPr>
    </w:p>
    <w:p>
      <w:pPr>
        <w:pStyle w:val="8"/>
        <w:spacing w:before="244"/>
        <w:ind w:left="390"/>
      </w:pPr>
      <w:r>
        <w:t>致：</w:t>
      </w:r>
      <w:r>
        <w:rPr>
          <w:rFonts w:hint="eastAsia"/>
          <w:u w:val="single"/>
        </w:rPr>
        <w:t>渠县政府采购中心</w:t>
      </w:r>
    </w:p>
    <w:p>
      <w:pPr>
        <w:pStyle w:val="8"/>
        <w:rPr>
          <w:sz w:val="20"/>
        </w:rPr>
      </w:pPr>
    </w:p>
    <w:p>
      <w:pPr>
        <w:pStyle w:val="8"/>
        <w:spacing w:before="12"/>
        <w:rPr>
          <w:sz w:val="20"/>
        </w:rPr>
      </w:pPr>
    </w:p>
    <w:p>
      <w:pPr>
        <w:pStyle w:val="8"/>
        <w:spacing w:before="66" w:line="369" w:lineRule="auto"/>
        <w:ind w:left="390" w:right="304" w:firstLine="600"/>
      </w:pPr>
      <w:r>
        <w:t>XXXX（法定代表人/单位负责人姓名）在 XXXX（申请人名称）处任 XXXX（职务名称） 职务，是 XXXX（申请人名称）的法定代表人/单位负责人。</w:t>
      </w:r>
    </w:p>
    <w:p>
      <w:pPr>
        <w:pStyle w:val="8"/>
      </w:pPr>
    </w:p>
    <w:p>
      <w:pPr>
        <w:pStyle w:val="8"/>
      </w:pPr>
    </w:p>
    <w:p>
      <w:pPr>
        <w:pStyle w:val="8"/>
        <w:spacing w:before="185"/>
        <w:ind w:left="971"/>
      </w:pPr>
      <w:r>
        <w:t>特此证明。</w:t>
      </w:r>
    </w:p>
    <w:p>
      <w:pPr>
        <w:pStyle w:val="8"/>
      </w:pPr>
    </w:p>
    <w:p>
      <w:pPr>
        <w:pStyle w:val="8"/>
      </w:pPr>
    </w:p>
    <w:p>
      <w:pPr>
        <w:pStyle w:val="8"/>
      </w:pPr>
    </w:p>
    <w:p>
      <w:pPr>
        <w:pStyle w:val="8"/>
      </w:pPr>
    </w:p>
    <w:p>
      <w:pPr>
        <w:pStyle w:val="8"/>
      </w:pPr>
    </w:p>
    <w:p>
      <w:pPr>
        <w:pStyle w:val="8"/>
      </w:pPr>
    </w:p>
    <w:p>
      <w:pPr>
        <w:pStyle w:val="8"/>
        <w:spacing w:before="12"/>
        <w:rPr>
          <w:sz w:val="27"/>
        </w:rPr>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pPr>
    </w:p>
    <w:p>
      <w:pPr>
        <w:pStyle w:val="8"/>
      </w:pPr>
    </w:p>
    <w:p>
      <w:pPr>
        <w:pStyle w:val="8"/>
      </w:pPr>
    </w:p>
    <w:p>
      <w:pPr>
        <w:pStyle w:val="8"/>
      </w:pPr>
    </w:p>
    <w:p>
      <w:pPr>
        <w:pStyle w:val="8"/>
      </w:pPr>
    </w:p>
    <w:p>
      <w:pPr>
        <w:pStyle w:val="8"/>
      </w:pPr>
    </w:p>
    <w:p>
      <w:pPr>
        <w:pStyle w:val="8"/>
      </w:pPr>
    </w:p>
    <w:p>
      <w:pPr>
        <w:pStyle w:val="8"/>
      </w:pPr>
    </w:p>
    <w:p>
      <w:pPr>
        <w:pStyle w:val="6"/>
        <w:spacing w:before="166"/>
        <w:ind w:left="870"/>
      </w:pPr>
      <w:r>
        <w:t>说明：</w:t>
      </w:r>
    </w:p>
    <w:p>
      <w:pPr>
        <w:pStyle w:val="24"/>
        <w:numPr>
          <w:ilvl w:val="0"/>
          <w:numId w:val="9"/>
        </w:numPr>
        <w:tabs>
          <w:tab w:val="left" w:pos="1118"/>
          <w:tab w:val="left" w:pos="9800"/>
        </w:tabs>
        <w:spacing w:before="110" w:line="328" w:lineRule="auto"/>
        <w:ind w:right="179" w:firstLine="480"/>
        <w:rPr>
          <w:b/>
          <w:sz w:val="24"/>
        </w:rPr>
      </w:pPr>
      <w:r>
        <w:rPr>
          <w:b/>
          <w:spacing w:val="9"/>
          <w:w w:val="90"/>
          <w:sz w:val="24"/>
        </w:rPr>
        <w:t>上述证</w:t>
      </w:r>
      <w:r>
        <w:rPr>
          <w:b/>
          <w:spacing w:val="7"/>
          <w:w w:val="90"/>
          <w:sz w:val="24"/>
        </w:rPr>
        <w:t>明</w:t>
      </w:r>
      <w:r>
        <w:rPr>
          <w:b/>
          <w:spacing w:val="9"/>
          <w:w w:val="90"/>
          <w:sz w:val="24"/>
        </w:rPr>
        <w:t>文件在申请文件</w:t>
      </w:r>
      <w:r>
        <w:rPr>
          <w:b/>
          <w:spacing w:val="7"/>
          <w:w w:val="90"/>
          <w:sz w:val="24"/>
        </w:rPr>
        <w:t>中</w:t>
      </w:r>
      <w:r>
        <w:rPr>
          <w:b/>
          <w:spacing w:val="9"/>
          <w:w w:val="90"/>
          <w:sz w:val="24"/>
        </w:rPr>
        <w:t>附有法定代表</w:t>
      </w:r>
      <w:r>
        <w:rPr>
          <w:b/>
          <w:spacing w:val="7"/>
          <w:w w:val="90"/>
          <w:sz w:val="24"/>
        </w:rPr>
        <w:t>人</w:t>
      </w:r>
      <w:r>
        <w:rPr>
          <w:b/>
          <w:spacing w:val="12"/>
          <w:w w:val="90"/>
          <w:sz w:val="24"/>
        </w:rPr>
        <w:t>/</w:t>
      </w:r>
      <w:r>
        <w:rPr>
          <w:b/>
          <w:spacing w:val="7"/>
          <w:w w:val="90"/>
          <w:sz w:val="24"/>
        </w:rPr>
        <w:t>单</w:t>
      </w:r>
      <w:r>
        <w:rPr>
          <w:b/>
          <w:spacing w:val="9"/>
          <w:w w:val="90"/>
          <w:sz w:val="24"/>
        </w:rPr>
        <w:t>位</w:t>
      </w:r>
      <w:r>
        <w:rPr>
          <w:b/>
          <w:spacing w:val="7"/>
          <w:w w:val="90"/>
          <w:sz w:val="24"/>
        </w:rPr>
        <w:t>负</w:t>
      </w:r>
      <w:r>
        <w:rPr>
          <w:b/>
          <w:spacing w:val="9"/>
          <w:w w:val="90"/>
          <w:sz w:val="24"/>
        </w:rPr>
        <w:t>责</w:t>
      </w:r>
      <w:r>
        <w:rPr>
          <w:b/>
          <w:spacing w:val="7"/>
          <w:w w:val="90"/>
          <w:sz w:val="24"/>
        </w:rPr>
        <w:t>人</w:t>
      </w:r>
      <w:r>
        <w:rPr>
          <w:b/>
          <w:spacing w:val="9"/>
          <w:w w:val="90"/>
          <w:sz w:val="24"/>
        </w:rPr>
        <w:t>身</w:t>
      </w:r>
      <w:r>
        <w:rPr>
          <w:b/>
          <w:spacing w:val="7"/>
          <w:w w:val="90"/>
          <w:sz w:val="24"/>
        </w:rPr>
        <w:t>份</w:t>
      </w:r>
      <w:r>
        <w:rPr>
          <w:b/>
          <w:spacing w:val="9"/>
          <w:w w:val="90"/>
          <w:sz w:val="24"/>
        </w:rPr>
        <w:t>证</w:t>
      </w:r>
      <w:r>
        <w:rPr>
          <w:b/>
          <w:spacing w:val="7"/>
          <w:w w:val="90"/>
          <w:sz w:val="24"/>
        </w:rPr>
        <w:t>复</w:t>
      </w:r>
      <w:r>
        <w:rPr>
          <w:b/>
          <w:spacing w:val="9"/>
          <w:w w:val="90"/>
          <w:sz w:val="24"/>
        </w:rPr>
        <w:t>印</w:t>
      </w:r>
      <w:r>
        <w:rPr>
          <w:b/>
          <w:spacing w:val="7"/>
          <w:w w:val="90"/>
          <w:sz w:val="24"/>
        </w:rPr>
        <w:t>件</w:t>
      </w:r>
      <w:r>
        <w:rPr>
          <w:b/>
          <w:spacing w:val="4"/>
          <w:w w:val="90"/>
          <w:sz w:val="24"/>
        </w:rPr>
        <w:t>(</w:t>
      </w:r>
      <w:r>
        <w:rPr>
          <w:b/>
          <w:spacing w:val="7"/>
          <w:w w:val="90"/>
          <w:sz w:val="24"/>
        </w:rPr>
        <w:t>身</w:t>
      </w:r>
      <w:r>
        <w:rPr>
          <w:b/>
          <w:spacing w:val="9"/>
          <w:w w:val="90"/>
          <w:sz w:val="24"/>
        </w:rPr>
        <w:t>份</w:t>
      </w:r>
      <w:r>
        <w:rPr>
          <w:b/>
          <w:spacing w:val="7"/>
          <w:w w:val="90"/>
          <w:sz w:val="24"/>
        </w:rPr>
        <w:t>证</w:t>
      </w:r>
      <w:r>
        <w:rPr>
          <w:b/>
          <w:spacing w:val="9"/>
          <w:w w:val="90"/>
          <w:sz w:val="24"/>
        </w:rPr>
        <w:t>两</w:t>
      </w:r>
      <w:r>
        <w:rPr>
          <w:b/>
          <w:w w:val="90"/>
          <w:sz w:val="24"/>
        </w:rPr>
        <w:t>面</w:t>
      </w:r>
      <w:r>
        <w:rPr>
          <w:b/>
          <w:sz w:val="24"/>
        </w:rPr>
        <w:t>均应复印)或护照复印件(申请人的法定代表人为外籍人士的，则提供护照复印件)时才能生效</w:t>
      </w:r>
      <w:r>
        <w:rPr>
          <w:b/>
          <w:spacing w:val="-12"/>
          <w:sz w:val="24"/>
        </w:rPr>
        <w:t>。</w:t>
      </w:r>
    </w:p>
    <w:p>
      <w:pPr>
        <w:pStyle w:val="24"/>
        <w:numPr>
          <w:ilvl w:val="0"/>
          <w:numId w:val="9"/>
        </w:numPr>
        <w:tabs>
          <w:tab w:val="left" w:pos="1118"/>
        </w:tabs>
        <w:spacing w:before="34" w:line="242" w:lineRule="auto"/>
        <w:ind w:right="769" w:firstLine="480"/>
        <w:rPr>
          <w:b/>
          <w:sz w:val="24"/>
        </w:rPr>
      </w:pPr>
      <w:r>
        <w:rPr>
          <w:b/>
          <w:spacing w:val="9"/>
          <w:w w:val="90"/>
          <w:sz w:val="24"/>
        </w:rPr>
        <w:t>法定代表人/</w:t>
      </w:r>
      <w:r>
        <w:rPr>
          <w:b/>
          <w:spacing w:val="7"/>
          <w:w w:val="90"/>
          <w:sz w:val="24"/>
        </w:rPr>
        <w:t>单位负责人身份证明书仅在法定代表人</w:t>
      </w:r>
      <w:r>
        <w:rPr>
          <w:b/>
          <w:spacing w:val="9"/>
          <w:w w:val="90"/>
          <w:sz w:val="24"/>
        </w:rPr>
        <w:t>/</w:t>
      </w:r>
      <w:r>
        <w:rPr>
          <w:b/>
          <w:spacing w:val="6"/>
          <w:w w:val="90"/>
          <w:sz w:val="24"/>
        </w:rPr>
        <w:t xml:space="preserve">单位负责人自己参加资格预审 </w:t>
      </w:r>
      <w:r>
        <w:rPr>
          <w:b/>
          <w:spacing w:val="3"/>
          <w:sz w:val="24"/>
        </w:rPr>
        <w:t>活动时提供。</w:t>
      </w:r>
    </w:p>
    <w:p>
      <w:pPr>
        <w:spacing w:line="242" w:lineRule="auto"/>
        <w:rPr>
          <w:sz w:val="24"/>
        </w:rPr>
        <w:sectPr>
          <w:headerReference r:id="rId11" w:type="default"/>
          <w:pgSz w:w="11910" w:h="16840"/>
          <w:pgMar w:top="720" w:right="780" w:bottom="820" w:left="800" w:header="525" w:footer="635" w:gutter="0"/>
          <w:pgNumType w:fmt="decimal"/>
          <w:cols w:space="720" w:num="1"/>
        </w:sectPr>
      </w:pPr>
    </w:p>
    <w:p>
      <w:pPr>
        <w:pStyle w:val="8"/>
        <w:spacing w:before="2"/>
        <w:rPr>
          <w:b/>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18" name="组合 1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7" name="直线 1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sZdrRSQIAAPYEAAAOAAAAZHJzL2Uyb0RvYy54bWyllM1uGjEQ&#10;x++V+g6W72WBhARWQA4h4VK1kdI+wOD17lryl2zDwr2HHnvva/TUHvI0VV6jYy8sLVEl1HJY/DGe&#10;mf9vPJ7ebJUkG+68MHpGB70+JVwzUwhdzejHD/dvxpT4ALoAaTSf0R339Gb++tW0sTkfmtrIgjuC&#10;TrTPGzujdQg2zzLPaq7A94zlGjdL4xQEnLoqKxw06F3JbNjvX2WNcYV1hnHvcXXRbtK9R3eOQ1OW&#10;gvGFYWvFdWi9Oi4hoCRfC+vpPGVblpyF92XpeSByRlFpSF8MguNV/GbzKeSVA1sLtk8BzknhRJMC&#10;oTFo52oBAcjaiReulGDOeFOGHjMqa4UkIqhi0D9hs3RmbZOWKm8q20HHQp1Q/2e37N3mwRFR4E3A&#10;umtQWPHnH59+fvlMBteRTmOrHI2Wzj7aB7dfqNpZFLwtnYr/KIVsE9ddx5VvA2G4eNUfX0wuRpQw&#10;3JuMhqMWO6uxNi8Osfpuf2wyGg/aM4N0IjtEy2JSXQ6NxYvoj3T8/9F5rMHyBN1H4Qc61x2dr9+e&#10;vz8RxJVgJKNbvUfjc4+U/solEYX8wOUoMF3ETh/k1vmw5EaROJhRKXRMCXLYvPUB46LpwSQuS00a&#10;JDu4vERegE1ZYjPgUFksrNdVOuuNFMW9kDKe8K5a3UpHNhAbI/2iHvT7h1kMsgBft3Zpq61dzaG4&#10;0wUJO4s3RuNLQWMKiheUSI4PSxyhQ8gDCHmOJYaWGjOI5WwhxtHKFLvENq1jmZNFaoeU7b51Y7/9&#10;Pk9Wx+dq/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rGXa0UkCAAD2BAAADgAAAAAAAAAB&#10;ACAAAAAjAQAAZHJzL2Uyb0RvYy54bWxQSwUGAAAAAAYABgBZAQAA3gUAAAAA&#10;">
                <o:lock v:ext="edit" aspectratio="f"/>
                <v:line id="直线 18" o:spid="_x0000_s1026" o:spt="20" style="position:absolute;left:0;top:7;height:0;width:9581;" filled="f" stroked="t" coordsize="21600,21600" o:gfxdata="UEsDBAoAAAAAAIdO4kAAAAAAAAAAAAAAAAAEAAAAZHJzL1BLAwQUAAAACACHTuJAdDbke7oAAADb&#10;AAAADwAAAGRycy9kb3ducmV2LnhtbEVPzWoCMRC+F3yHMEJvNWsPWrZGD7KFIj3otg8wbKab0M1k&#10;2Uxd9emNIHibj+93VptT6NSRhuQjG5jPClDETbSeWwM/3x8vb6CSIFvsIpOBMyXYrCdPKyxtHPlA&#10;x1palUM4lWjAifSl1qlxFDDNYk+cud84BJQMh1bbAcccHjr9WhQLHdBzbnDY09ZR81f/BwP1/mtc&#10;7C6XsVrWHpOId1W1NeZ5Oi/eQQmd5CG+uz9tnr+E2y/5A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0NuR7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pStyle w:val="8"/>
        <w:spacing w:before="2"/>
        <w:rPr>
          <w:b/>
          <w:sz w:val="18"/>
        </w:rPr>
      </w:pPr>
    </w:p>
    <w:p>
      <w:pPr>
        <w:spacing w:before="58"/>
        <w:ind w:left="225" w:right="192"/>
        <w:jc w:val="center"/>
        <w:outlineLvl w:val="0"/>
        <w:rPr>
          <w:b/>
          <w:sz w:val="30"/>
        </w:rPr>
      </w:pPr>
      <w:bookmarkStart w:id="68" w:name="_Toc15761"/>
      <w:bookmarkStart w:id="69" w:name="_Toc677"/>
      <w:bookmarkStart w:id="70" w:name="_Toc19603"/>
      <w:r>
        <w:rPr>
          <w:b/>
          <w:sz w:val="30"/>
        </w:rPr>
        <w:t>二、法定代表人/单位负责人授权书</w:t>
      </w:r>
      <w:bookmarkEnd w:id="68"/>
      <w:bookmarkEnd w:id="69"/>
      <w:bookmarkEnd w:id="70"/>
    </w:p>
    <w:p>
      <w:pPr>
        <w:pStyle w:val="8"/>
        <w:spacing w:before="10"/>
        <w:rPr>
          <w:b/>
          <w:sz w:val="26"/>
        </w:rPr>
      </w:pPr>
    </w:p>
    <w:p>
      <w:pPr>
        <w:pStyle w:val="8"/>
        <w:ind w:left="390"/>
      </w:pPr>
      <w:r>
        <w:t>致：</w:t>
      </w:r>
      <w:r>
        <w:rPr>
          <w:rFonts w:hint="eastAsia"/>
          <w:u w:val="single"/>
        </w:rPr>
        <w:t>渠县政府采购中心</w:t>
      </w:r>
    </w:p>
    <w:p>
      <w:pPr>
        <w:pStyle w:val="8"/>
        <w:spacing w:before="98"/>
        <w:ind w:left="870"/>
      </w:pPr>
      <w:r>
        <w:rPr>
          <w:spacing w:val="-7"/>
        </w:rPr>
        <w:t>本授权声明：</w:t>
      </w:r>
      <w:r>
        <w:rPr>
          <w:spacing w:val="-17"/>
        </w:rPr>
        <w:t>XXXX（</w:t>
      </w:r>
      <w:r>
        <w:t>申请人名称</w:t>
      </w:r>
      <w:r>
        <w:rPr>
          <w:spacing w:val="-17"/>
        </w:rPr>
        <w:t>）,XXXX（</w:t>
      </w:r>
      <w:r>
        <w:t>法定代表人/</w:t>
      </w:r>
      <w:r>
        <w:rPr>
          <w:spacing w:val="-9"/>
        </w:rPr>
        <w:t>单位负责人姓名、职务</w:t>
      </w:r>
      <w:r>
        <w:rPr>
          <w:spacing w:val="-53"/>
        </w:rPr>
        <w:t>）</w:t>
      </w:r>
      <w:r>
        <w:rPr>
          <w:spacing w:val="-20"/>
        </w:rPr>
        <w:t xml:space="preserve">授权 </w:t>
      </w:r>
      <w:r>
        <w:t>XXXX</w:t>
      </w:r>
    </w:p>
    <w:p>
      <w:pPr>
        <w:pStyle w:val="8"/>
        <w:spacing w:before="98" w:line="314" w:lineRule="auto"/>
        <w:ind w:left="390" w:right="337"/>
      </w:pPr>
      <w:r>
        <w:t>（被授权人姓名、职务）为我方参加 XXXX 项目（采购项目编号：XXXX）资格预审采购活动的合法代表，以我方名义全权处理该项目有关资格预审的一切事宜。</w:t>
      </w:r>
    </w:p>
    <w:p>
      <w:pPr>
        <w:pStyle w:val="8"/>
        <w:spacing w:before="6"/>
        <w:ind w:left="870"/>
      </w:pPr>
      <w:r>
        <w:t>特此声明。</w:t>
      </w:r>
    </w:p>
    <w:p>
      <w:pPr>
        <w:pStyle w:val="8"/>
      </w:pPr>
    </w:p>
    <w:p>
      <w:pPr>
        <w:pStyle w:val="8"/>
      </w:pPr>
    </w:p>
    <w:p>
      <w:pPr>
        <w:pStyle w:val="8"/>
        <w:tabs>
          <w:tab w:val="left" w:pos="2790"/>
          <w:tab w:val="left" w:pos="3987"/>
        </w:tabs>
        <w:spacing w:before="200"/>
        <w:ind w:left="870"/>
      </w:pPr>
      <w:r>
        <w:t>申请人名称：</w:t>
      </w:r>
      <w:r>
        <w:rPr>
          <w:u w:val="single"/>
        </w:rPr>
        <w:t xml:space="preserve"> </w:t>
      </w:r>
      <w:r>
        <w:rPr>
          <w:u w:val="single"/>
        </w:rPr>
        <w:tab/>
      </w:r>
      <w:r>
        <w:rPr>
          <w:u w:val="single"/>
        </w:rPr>
        <w:t>公章</w:t>
      </w:r>
      <w:r>
        <w:rPr>
          <w:u w:val="single"/>
        </w:rPr>
        <w:tab/>
      </w:r>
      <w:r>
        <w:t>。</w:t>
      </w:r>
    </w:p>
    <w:p>
      <w:pPr>
        <w:pStyle w:val="8"/>
        <w:tabs>
          <w:tab w:val="left" w:pos="1590"/>
          <w:tab w:val="left" w:pos="3990"/>
          <w:tab w:val="left" w:pos="7470"/>
        </w:tabs>
        <w:spacing w:before="163" w:line="369" w:lineRule="auto"/>
        <w:ind w:left="870" w:right="2617"/>
      </w:pPr>
      <w:r>
        <w:t>法定代表人/单位负责人（签字或盖个人名章）：</w:t>
      </w:r>
      <w:r>
        <w:rPr>
          <w:u w:val="single"/>
        </w:rPr>
        <w:t xml:space="preserve"> </w:t>
      </w:r>
      <w:r>
        <w:rPr>
          <w:u w:val="single"/>
        </w:rPr>
        <w:tab/>
      </w:r>
      <w:r>
        <w:rPr>
          <w:spacing w:val="-17"/>
        </w:rPr>
        <w:t>。</w:t>
      </w:r>
      <w:r>
        <w:t>职</w:t>
      </w:r>
      <w:r>
        <w:tab/>
      </w:r>
      <w:r>
        <w:t>务：</w:t>
      </w:r>
      <w:r>
        <w:rPr>
          <w:u w:val="single"/>
        </w:rPr>
        <w:t xml:space="preserve"> </w:t>
      </w:r>
      <w:r>
        <w:rPr>
          <w:u w:val="single"/>
        </w:rPr>
        <w:tab/>
      </w:r>
      <w:r>
        <w:t>。</w:t>
      </w:r>
    </w:p>
    <w:p>
      <w:pPr>
        <w:pStyle w:val="8"/>
        <w:tabs>
          <w:tab w:val="left" w:pos="1590"/>
          <w:tab w:val="left" w:pos="3750"/>
          <w:tab w:val="left" w:pos="3990"/>
        </w:tabs>
        <w:spacing w:line="367" w:lineRule="auto"/>
        <w:ind w:left="870" w:right="6097"/>
      </w:pPr>
      <w:r>
        <w:t>被授权人（签字）：</w:t>
      </w:r>
      <w:r>
        <w:rPr>
          <w:u w:val="single"/>
        </w:rPr>
        <w:t xml:space="preserve"> </w:t>
      </w:r>
      <w:r>
        <w:rPr>
          <w:u w:val="single"/>
        </w:rPr>
        <w:tab/>
      </w:r>
      <w:r>
        <w:rPr>
          <w:u w:val="single"/>
        </w:rPr>
        <w:tab/>
      </w:r>
      <w:r>
        <w:rPr>
          <w:spacing w:val="-17"/>
        </w:rPr>
        <w:t>。</w:t>
      </w:r>
      <w:r>
        <w:t>职</w:t>
      </w:r>
      <w:r>
        <w:tab/>
      </w:r>
      <w:r>
        <w:t>务：</w:t>
      </w:r>
      <w:r>
        <w:rPr>
          <w:u w:val="single"/>
        </w:rPr>
        <w:t xml:space="preserve"> </w:t>
      </w:r>
      <w:r>
        <w:rPr>
          <w:u w:val="single"/>
        </w:rPr>
        <w:tab/>
      </w:r>
      <w:r>
        <w:t>。</w:t>
      </w:r>
    </w:p>
    <w:p>
      <w:pPr>
        <w:pStyle w:val="8"/>
        <w:tabs>
          <w:tab w:val="left" w:pos="3750"/>
          <w:tab w:val="left" w:pos="4230"/>
        </w:tabs>
        <w:spacing w:before="3" w:line="364" w:lineRule="auto"/>
        <w:ind w:left="870" w:right="5857"/>
      </w:pPr>
      <w:r>
        <w:t>有效通信地址：</w:t>
      </w:r>
      <w:r>
        <w:rPr>
          <w:u w:val="single"/>
        </w:rPr>
        <w:t xml:space="preserve"> </w:t>
      </w:r>
      <w:r>
        <w:rPr>
          <w:u w:val="single"/>
        </w:rPr>
        <w:tab/>
      </w:r>
      <w:r>
        <w:rPr>
          <w:u w:val="single"/>
        </w:rPr>
        <w:tab/>
      </w:r>
      <w:r>
        <w:rPr>
          <w:spacing w:val="-17"/>
        </w:rPr>
        <w:t>。</w:t>
      </w:r>
      <w:r>
        <w:t>电子邮箱：</w:t>
      </w:r>
      <w:r>
        <w:rPr>
          <w:u w:val="single"/>
        </w:rPr>
        <w:t xml:space="preserve"> </w:t>
      </w:r>
      <w:r>
        <w:rPr>
          <w:u w:val="single"/>
        </w:rPr>
        <w:tab/>
      </w:r>
      <w:r>
        <w:t>。</w:t>
      </w:r>
    </w:p>
    <w:p>
      <w:pPr>
        <w:pStyle w:val="8"/>
        <w:tabs>
          <w:tab w:val="left" w:pos="1590"/>
          <w:tab w:val="left" w:pos="4590"/>
          <w:tab w:val="left" w:pos="7470"/>
        </w:tabs>
        <w:spacing w:before="9" w:line="364" w:lineRule="auto"/>
        <w:ind w:left="870" w:right="2617"/>
      </w:pPr>
      <w:r>
        <w:t>联系电话（座机）：</w:t>
      </w:r>
      <w:r>
        <w:rPr>
          <w:u w:val="single"/>
        </w:rPr>
        <w:t xml:space="preserve"> </w:t>
      </w:r>
      <w:r>
        <w:rPr>
          <w:u w:val="single"/>
        </w:rPr>
        <w:tab/>
      </w:r>
      <w:r>
        <w:t>；（手机）</w:t>
      </w:r>
      <w:r>
        <w:rPr>
          <w:u w:val="single"/>
        </w:rPr>
        <w:t xml:space="preserve"> </w:t>
      </w:r>
      <w:r>
        <w:rPr>
          <w:u w:val="single"/>
        </w:rPr>
        <w:tab/>
      </w:r>
      <w:r>
        <w:rPr>
          <w:spacing w:val="-17"/>
        </w:rPr>
        <w:t>。</w:t>
      </w:r>
      <w:r>
        <w:t>日</w:t>
      </w:r>
      <w:r>
        <w:tab/>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pPr>
    </w:p>
    <w:p>
      <w:pPr>
        <w:pStyle w:val="8"/>
      </w:pPr>
    </w:p>
    <w:p>
      <w:pPr>
        <w:pStyle w:val="8"/>
      </w:pPr>
    </w:p>
    <w:p>
      <w:pPr>
        <w:pStyle w:val="6"/>
        <w:spacing w:before="194"/>
        <w:ind w:left="870"/>
      </w:pPr>
      <w:r>
        <w:t>说明：</w:t>
      </w:r>
    </w:p>
    <w:p>
      <w:pPr>
        <w:pStyle w:val="24"/>
        <w:numPr>
          <w:ilvl w:val="0"/>
          <w:numId w:val="0"/>
        </w:numPr>
        <w:tabs>
          <w:tab w:val="left" w:pos="1116"/>
        </w:tabs>
        <w:spacing w:line="274" w:lineRule="exact"/>
        <w:ind w:left="869" w:leftChars="0"/>
        <w:rPr>
          <w:rFonts w:ascii="宋体" w:hAnsi="宋体" w:eastAsia="宋体" w:cs="宋体"/>
          <w:b/>
          <w:spacing w:val="-3"/>
          <w:sz w:val="24"/>
        </w:rPr>
      </w:pPr>
      <w:r>
        <w:rPr>
          <w:rFonts w:hint="eastAsia" w:ascii="宋体" w:hAnsi="宋体" w:eastAsia="宋体" w:cs="宋体"/>
          <w:b/>
          <w:spacing w:val="-3"/>
          <w:sz w:val="24"/>
          <w:lang w:val="en-US" w:eastAsia="zh-CN"/>
        </w:rPr>
        <w:t>1.</w:t>
      </w:r>
      <w:r>
        <w:rPr>
          <w:rFonts w:ascii="宋体" w:hAnsi="宋体" w:eastAsia="宋体" w:cs="宋体"/>
          <w:b/>
          <w:spacing w:val="-3"/>
          <w:sz w:val="24"/>
        </w:rPr>
        <w:t>上述证明文件在申请文件中附有法定代表人/单位负责人、授权代表身份证复印件(身  份证两面均应复印)时才能生效。</w:t>
      </w:r>
    </w:p>
    <w:p>
      <w:pPr>
        <w:pStyle w:val="24"/>
        <w:numPr>
          <w:ilvl w:val="0"/>
          <w:numId w:val="0"/>
        </w:numPr>
        <w:tabs>
          <w:tab w:val="left" w:pos="1116"/>
        </w:tabs>
        <w:spacing w:line="274" w:lineRule="exact"/>
        <w:ind w:left="869" w:leftChars="0"/>
        <w:rPr>
          <w:b/>
          <w:sz w:val="24"/>
        </w:rPr>
      </w:pPr>
      <w:r>
        <w:rPr>
          <w:rFonts w:hint="eastAsia"/>
          <w:b/>
          <w:spacing w:val="-3"/>
          <w:sz w:val="24"/>
          <w:lang w:val="en-US" w:eastAsia="zh-CN"/>
        </w:rPr>
        <w:t>2.</w:t>
      </w:r>
      <w:r>
        <w:rPr>
          <w:b/>
          <w:spacing w:val="-3"/>
          <w:sz w:val="24"/>
        </w:rPr>
        <w:t>非法人单位参与资格预审活动的应提供单位介绍信原件，自然人参加资格预审活动的</w:t>
      </w:r>
    </w:p>
    <w:p>
      <w:pPr>
        <w:spacing w:before="78"/>
        <w:ind w:left="390"/>
        <w:rPr>
          <w:b/>
          <w:sz w:val="24"/>
        </w:rPr>
      </w:pPr>
      <w:r>
        <w:rPr>
          <w:b/>
          <w:sz w:val="24"/>
        </w:rPr>
        <w:t>应提供自然人身份证。</w:t>
      </w:r>
    </w:p>
    <w:p>
      <w:pPr>
        <w:rPr>
          <w:sz w:val="24"/>
        </w:rPr>
        <w:sectPr>
          <w:pgSz w:w="11910" w:h="16840"/>
          <w:pgMar w:top="720" w:right="780" w:bottom="820" w:left="800" w:header="525" w:footer="635" w:gutter="0"/>
          <w:pgNumType w:fmt="decimal"/>
          <w:cols w:space="720" w:num="1"/>
        </w:sectPr>
      </w:pPr>
    </w:p>
    <w:p>
      <w:pPr>
        <w:pStyle w:val="8"/>
        <w:spacing w:before="2"/>
        <w:rPr>
          <w:b/>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0" name="组合 1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19" name="直线 2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1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Bj72BHSAIAAPYEAAAOAAAAZHJzL2Uyb0RvYy54bWyllM2O0zAQ&#10;x+9IvIPlO03b3S5t1HQP291eEKy08ABTx0ks+Uu227R3Dhy58xqc4MDToH0Nxk7aQldIK+ghdez5&#10;+v8m4/n1Tkmy5c4Lows6Ggwp4ZqZUui6oB/e372aUuID6BKk0byge+7p9eLli3lrcz42jZEldwSD&#10;aJ+3tqBNCDbPMs8arsAPjOUaDyvjFAR8dXVWOmgxupLZeDi8ylrjSusM497j7rI7pH1E95yApqoE&#10;40vDNorr0EV1XEJASb4R1tNFqraqOAvvqsrzQGRBUWlIT0yC63V8Zos55LUD2wjWlwDPKeFMkwKh&#10;Mekx1BICkI0TT0IpwZzxpgoDZlTWCUlEUMVoeMZm5czGJi113tb2CB0bdUb9n8Oyt9t7R0RZ0DEi&#10;0aCw44/fP/78/ImMZpFOa+scjVbOPth712/U3VsUvKuciv8ohewS1/2RK98FwnDzaji9mF1MKGF4&#10;NpuMJx121mBvnjix5rZ3m02mo85nlDyyQ7YsFnWsobX4IfoTHf9/dB4asDxB91F4TwdhHOh8+fr4&#10;7QdBXAlGMrrRPRqfe6T0Vy6vO+EHLieBKdhRH+TW+bDiRpG4KKgUOpYEOWzf+IB50fRgErelJi2S&#10;HV1eIi/AoaxwGHCpLDbW6zr5eiNFeSekjB7e1esb6cgW4mCkX6wN4/5hFpMswTedXTrqJDQcyltd&#10;krC3+MVovCloLEHxkhLJ8WKJKwwIeQAhn2OJqaXGCmI7O4hxtTblPrFN+9jmZJHGIVXbj26ct9/f&#10;k9Xp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Bj72BHSAIAAPYEAAAOAAAAAAAAAAEA&#10;IAAAACMBAABkcnMvZTJvRG9jLnhtbFBLBQYAAAAABgAGAFkBAADdBQAAAAA=&#10;">
                <o:lock v:ext="edit" aspectratio="f"/>
                <v:line id="直线 20" o:spid="_x0000_s1026" o:spt="20" style="position:absolute;left:0;top:7;height:0;width:9581;" filled="f" stroked="t" coordsize="21600,21600" o:gfxdata="UEsDBAoAAAAAAIdO4kAAAAAAAAAAAAAAAAAEAAAAZHJzL1BLAwQUAAAACACHTuJAauXVkroAAADb&#10;AAAADwAAAGRycy9kb3ducmV2LnhtbEVPzWoCMRC+F3yHMEJvNWsPardGD7KFUjzotg8wbMZNcDNZ&#10;NlPX+vSNUOhtPr7fWW+voVMXGpKPbGA+K0ARN9F6bg18fb49rUAlQbbYRSYDP5Rgu5k8rLG0ceQj&#10;XWppVQ7hVKIBJ9KXWqfGUcA0iz1x5k5xCCgZDq22A445PHT6uSgWOqDn3OCwp52j5lx/BwP1YT8u&#10;Pm63sVrWHpOId1W1M+ZxOi9eQQld5V/85363ef4L3H/JB+j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5dWSugAAANsA&#10;AAAPAAAAAAAAAAEAIAAAACIAAABkcnMvZG93bnJldi54bWxQSwECFAAUAAAACACHTuJAMy8FnjsA&#10;AAA5AAAAEAAAAAAAAAABACAAAAAJAQAAZHJzL3NoYXBleG1sLnhtbFBLBQYAAAAABgAGAFsBAACz&#10;AwAAAAA=&#10;">
                  <v:fill on="f" focussize="0,0"/>
                  <v:stroke weight="0.72pt" color="#000000" joinstyle="round"/>
                  <v:imagedata o:title=""/>
                  <o:lock v:ext="edit" aspectratio="f"/>
                </v:line>
                <w10:wrap type="none"/>
                <w10:anchorlock/>
              </v:group>
            </w:pict>
          </mc:Fallback>
        </mc:AlternateContent>
      </w:r>
    </w:p>
    <w:p>
      <w:pPr>
        <w:spacing w:before="12"/>
        <w:ind w:left="225" w:right="196"/>
        <w:jc w:val="center"/>
        <w:outlineLvl w:val="0"/>
        <w:rPr>
          <w:b/>
          <w:sz w:val="30"/>
        </w:rPr>
      </w:pPr>
      <w:bookmarkStart w:id="71" w:name="_Toc5485"/>
      <w:bookmarkStart w:id="72" w:name="_Toc13740"/>
    </w:p>
    <w:p>
      <w:pPr>
        <w:spacing w:before="12"/>
        <w:ind w:left="225" w:right="196"/>
        <w:jc w:val="center"/>
        <w:outlineLvl w:val="0"/>
        <w:rPr>
          <w:b/>
          <w:sz w:val="30"/>
        </w:rPr>
      </w:pPr>
      <w:bookmarkStart w:id="73" w:name="_Toc21931"/>
      <w:r>
        <w:rPr>
          <w:b/>
          <w:sz w:val="30"/>
        </w:rPr>
        <w:t>三、申请人承诺函</w:t>
      </w:r>
      <w:bookmarkEnd w:id="71"/>
      <w:bookmarkEnd w:id="72"/>
      <w:bookmarkEnd w:id="73"/>
    </w:p>
    <w:p>
      <w:pPr>
        <w:pStyle w:val="8"/>
        <w:spacing w:before="10"/>
        <w:rPr>
          <w:b/>
          <w:sz w:val="32"/>
        </w:rPr>
      </w:pPr>
    </w:p>
    <w:p>
      <w:pPr>
        <w:pStyle w:val="8"/>
        <w:ind w:left="390"/>
      </w:pPr>
      <w:r>
        <w:t>致：</w:t>
      </w:r>
      <w:r>
        <w:rPr>
          <w:rFonts w:hint="eastAsia"/>
          <w:u w:val="single"/>
        </w:rPr>
        <w:t>渠县政府采购中心</w:t>
      </w:r>
    </w:p>
    <w:p>
      <w:pPr>
        <w:pStyle w:val="8"/>
        <w:spacing w:before="55" w:line="285" w:lineRule="auto"/>
        <w:ind w:left="870" w:right="853"/>
      </w:pPr>
      <w:r>
        <w:t xml:space="preserve">我公司作为本次采购项目的申请人，根据资格预审文件要求，现郑重承诺如下： </w:t>
      </w:r>
      <w:r>
        <w:rPr>
          <w:spacing w:val="-3"/>
        </w:rPr>
        <w:t>一、具备《中华人民共和国政府采购法》第二十二条第一款和本项目规定的条件：</w:t>
      </w:r>
    </w:p>
    <w:p>
      <w:pPr>
        <w:pStyle w:val="8"/>
        <w:spacing w:line="303" w:lineRule="exact"/>
        <w:ind w:left="870"/>
      </w:pPr>
      <w:r>
        <w:t>（一）具有独立承担民事责任的能力；</w:t>
      </w:r>
    </w:p>
    <w:p>
      <w:pPr>
        <w:pStyle w:val="8"/>
        <w:spacing w:before="55"/>
        <w:ind w:left="870"/>
      </w:pPr>
      <w:r>
        <w:t>（二）具有良好的商业信誉和健全的财务会计制度；</w:t>
      </w:r>
    </w:p>
    <w:p>
      <w:pPr>
        <w:pStyle w:val="8"/>
        <w:spacing w:before="57"/>
        <w:ind w:left="870"/>
      </w:pPr>
      <w:r>
        <w:t>（三）具有履行合同所必需的设备和专业技术能力；</w:t>
      </w:r>
    </w:p>
    <w:p>
      <w:pPr>
        <w:pStyle w:val="8"/>
        <w:spacing w:before="57"/>
        <w:ind w:left="870"/>
      </w:pPr>
      <w:r>
        <w:t>（四）具有依法缴纳税收和社会保障资金的良好记录；</w:t>
      </w:r>
    </w:p>
    <w:p>
      <w:pPr>
        <w:pStyle w:val="8"/>
        <w:spacing w:before="55"/>
        <w:ind w:left="870"/>
      </w:pPr>
      <w:r>
        <w:t>（五）参加政府采购活动前三年内，在经营活动中没有重大违法记录；</w:t>
      </w:r>
    </w:p>
    <w:p>
      <w:pPr>
        <w:pStyle w:val="8"/>
        <w:spacing w:before="58"/>
        <w:ind w:left="870"/>
      </w:pPr>
      <w:r>
        <w:t>（六）法律、行政法规规定的其他条件；</w:t>
      </w:r>
    </w:p>
    <w:p>
      <w:pPr>
        <w:pStyle w:val="8"/>
        <w:spacing w:before="54"/>
        <w:ind w:left="870"/>
      </w:pPr>
      <w:r>
        <w:t>（七）根据采购项目提出的特殊条件。</w:t>
      </w:r>
    </w:p>
    <w:p>
      <w:pPr>
        <w:pStyle w:val="8"/>
        <w:spacing w:before="58" w:line="283" w:lineRule="auto"/>
        <w:ind w:left="390" w:right="344" w:firstLine="480"/>
        <w:jc w:val="both"/>
      </w:pPr>
      <w:r>
        <w:rPr>
          <w:spacing w:val="-4"/>
        </w:rPr>
        <w:t>二、完全接受和满足本项目资格预审文件中规定的实质性要求，如对资格预审文件有异议，已经在递交申请文件截止时间届满前依法进行维权救济，不存在对资格预审文件有异议</w:t>
      </w:r>
      <w:r>
        <w:t>的同时又参加资格预审活动以求侥幸成交或者为实现其他非法目的的行为。</w:t>
      </w:r>
    </w:p>
    <w:p>
      <w:pPr>
        <w:pStyle w:val="8"/>
        <w:spacing w:before="1" w:line="283" w:lineRule="auto"/>
        <w:ind w:left="390" w:right="337" w:firstLine="480"/>
      </w:pPr>
      <w:r>
        <w:t>三、参加本次政府采购活动，不存在与单位负责人为同一人或者存在直接控股、管理关系的其他申请人参与同一合同项下的政府采购活动的行为。</w:t>
      </w:r>
    </w:p>
    <w:p>
      <w:pPr>
        <w:pStyle w:val="8"/>
        <w:spacing w:before="1" w:line="283" w:lineRule="auto"/>
        <w:ind w:left="390" w:right="337" w:firstLine="480"/>
      </w:pPr>
      <w:r>
        <w:t>四、参加本次政府采购活动，不存在和其他申请人在同一合同项下的采购项目中，同时委托同一个自然人、同一家庭的人员、同一单位的人员作为代理人的行为。</w:t>
      </w:r>
    </w:p>
    <w:p>
      <w:pPr>
        <w:pStyle w:val="8"/>
        <w:spacing w:before="67" w:line="345" w:lineRule="auto"/>
        <w:ind w:left="390" w:right="337" w:firstLine="480"/>
      </w:pPr>
      <w:r>
        <w:t>五、参加活动前未为采购项目提供整体设计、规范编制或者项目管理、监理、检测等服务，也不是国家禁止参加政府采购活动的申请人。</w:t>
      </w:r>
    </w:p>
    <w:p>
      <w:pPr>
        <w:pStyle w:val="8"/>
        <w:spacing w:line="264" w:lineRule="exact"/>
        <w:ind w:left="870"/>
      </w:pPr>
      <w:r>
        <w:t>六、如果有《四川省政府采购当事人诚信管理办法》（川财采[2015]33 号）规定的记入</w:t>
      </w:r>
    </w:p>
    <w:p>
      <w:pPr>
        <w:pStyle w:val="8"/>
        <w:spacing w:before="35"/>
        <w:ind w:left="390"/>
      </w:pPr>
      <w:r>
        <w:t>诚信档案的失信行为，将在申请文件中全面如实反映。</w:t>
      </w:r>
    </w:p>
    <w:p>
      <w:pPr>
        <w:pStyle w:val="8"/>
        <w:spacing w:before="58" w:line="283" w:lineRule="auto"/>
        <w:ind w:left="390" w:right="337" w:firstLine="480"/>
      </w:pPr>
      <w:r>
        <w:t>七、申请文件中提供的任何资料和技术、服务、商务等响应承诺情况都是真实的、有效的、合法的。</w:t>
      </w:r>
    </w:p>
    <w:p>
      <w:pPr>
        <w:spacing w:line="333" w:lineRule="auto"/>
        <w:ind w:left="870" w:right="424"/>
        <w:rPr>
          <w:b w:val="0"/>
          <w:bCs/>
          <w:sz w:val="24"/>
        </w:rPr>
      </w:pPr>
      <w:r>
        <w:rPr>
          <w:sz w:val="24"/>
        </w:rPr>
        <w:t>八、我单位及我单位提供的产品均满足法律法规强制性要求的其他许可或认证资格。</w:t>
      </w:r>
      <w:r>
        <w:rPr>
          <w:b w:val="0"/>
          <w:bCs/>
          <w:sz w:val="24"/>
        </w:rPr>
        <w:t>九、我单位/公司完全同意并满足资格预审文件资格预审须知要求的非资格性条件的实</w:t>
      </w:r>
    </w:p>
    <w:p>
      <w:pPr>
        <w:pStyle w:val="6"/>
        <w:spacing w:before="17"/>
        <w:rPr>
          <w:b w:val="0"/>
          <w:bCs/>
        </w:rPr>
      </w:pPr>
      <w:bookmarkStart w:id="74" w:name="质性条款要求。"/>
      <w:bookmarkEnd w:id="74"/>
      <w:r>
        <w:rPr>
          <w:b w:val="0"/>
          <w:bCs/>
        </w:rPr>
        <w:t>质性条款要求。</w:t>
      </w:r>
    </w:p>
    <w:p>
      <w:pPr>
        <w:ind w:firstLine="928" w:firstLineChars="400"/>
        <w:rPr>
          <w:b w:val="0"/>
          <w:bCs w:val="0"/>
          <w:sz w:val="24"/>
          <w:szCs w:val="24"/>
        </w:rPr>
      </w:pPr>
      <w:r>
        <w:rPr>
          <w:rFonts w:hint="eastAsia"/>
          <w:b w:val="0"/>
          <w:bCs w:val="0"/>
          <w:spacing w:val="-4"/>
          <w:sz w:val="24"/>
          <w:szCs w:val="24"/>
          <w:lang w:val="en-US" w:eastAsia="zh-CN"/>
        </w:rPr>
        <w:t>十、</w:t>
      </w:r>
      <w:r>
        <w:rPr>
          <w:b w:val="0"/>
          <w:bCs w:val="0"/>
          <w:spacing w:val="-4"/>
          <w:sz w:val="24"/>
          <w:szCs w:val="24"/>
        </w:rPr>
        <w:t>本项目资格预审申请文件有效期为递交资格预审申请文件截止之日起</w:t>
      </w:r>
      <w:r>
        <w:rPr>
          <w:b w:val="0"/>
          <w:bCs w:val="0"/>
          <w:sz w:val="24"/>
          <w:szCs w:val="24"/>
          <w:u w:val="single"/>
        </w:rPr>
        <w:tab/>
      </w:r>
      <w:r>
        <w:rPr>
          <w:rFonts w:hint="eastAsia"/>
          <w:b w:val="0"/>
          <w:bCs w:val="0"/>
          <w:sz w:val="24"/>
          <w:szCs w:val="24"/>
          <w:u w:val="single"/>
          <w:lang w:val="en-US" w:eastAsia="zh-CN"/>
        </w:rPr>
        <w:t xml:space="preserve">  </w:t>
      </w:r>
      <w:r>
        <w:rPr>
          <w:b w:val="0"/>
          <w:bCs w:val="0"/>
          <w:spacing w:val="-4"/>
          <w:sz w:val="24"/>
          <w:szCs w:val="24"/>
        </w:rPr>
        <w:t>天。</w:t>
      </w:r>
    </w:p>
    <w:p>
      <w:pPr>
        <w:pStyle w:val="8"/>
        <w:spacing w:before="70" w:line="285" w:lineRule="auto"/>
        <w:ind w:left="390" w:right="337" w:firstLine="480"/>
      </w:pPr>
      <w:r>
        <w:t>本公司对上述承诺的内容事项真实性负责。如经查实上述承诺的内容事项存在虚假，我公司愿意接受以提供虚假材料谋取中标追究法律责任。</w:t>
      </w:r>
    </w:p>
    <w:p>
      <w:pPr>
        <w:pStyle w:val="8"/>
      </w:pPr>
    </w:p>
    <w:p>
      <w:pPr>
        <w:pStyle w:val="8"/>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keepNext w:val="0"/>
        <w:keepLines w:val="0"/>
        <w:pageBreakBefore w:val="0"/>
        <w:widowControl w:val="0"/>
        <w:kinsoku/>
        <w:wordWrap/>
        <w:overflowPunct/>
        <w:topLinePunct w:val="0"/>
        <w:autoSpaceDE w:val="0"/>
        <w:autoSpaceDN w:val="0"/>
        <w:bidi w:val="0"/>
        <w:adjustRightInd/>
        <w:snapToGrid/>
        <w:spacing w:line="560" w:lineRule="exact"/>
        <w:ind w:left="0" w:right="0"/>
        <w:textAlignment w:val="auto"/>
        <w:sectPr>
          <w:pgSz w:w="11910" w:h="16840"/>
          <w:pgMar w:top="720" w:right="780" w:bottom="820" w:left="800" w:header="525" w:footer="635" w:gutter="0"/>
          <w:pgNumType w:fmt="decimal"/>
          <w:cols w:space="720" w:num="1"/>
        </w:sectPr>
      </w:pPr>
    </w:p>
    <w:p>
      <w:pPr>
        <w:pStyle w:val="8"/>
        <w:spacing w:before="1"/>
        <w:rPr>
          <w:sz w:val="18"/>
        </w:rPr>
      </w:pPr>
    </w:p>
    <w:p>
      <w:pPr>
        <w:pStyle w:val="4"/>
      </w:pPr>
      <w:bookmarkStart w:id="75" w:name="四、无行贿犯罪记录承诺函"/>
      <w:bookmarkEnd w:id="75"/>
      <w:bookmarkStart w:id="76" w:name="_Toc12189"/>
      <w:bookmarkStart w:id="77" w:name="_Toc32702"/>
    </w:p>
    <w:p>
      <w:pPr>
        <w:pStyle w:val="4"/>
      </w:pPr>
      <w:r>
        <w:t>四、无行贿犯罪记录承诺函</w:t>
      </w:r>
      <w:bookmarkEnd w:id="76"/>
      <w:bookmarkEnd w:id="77"/>
    </w:p>
    <w:p>
      <w:pPr>
        <w:pStyle w:val="8"/>
        <w:spacing w:before="263"/>
        <w:ind w:left="390"/>
      </w:pPr>
      <w:r>
        <w:t>致：</w:t>
      </w:r>
      <w:r>
        <w:rPr>
          <w:rFonts w:hint="eastAsia"/>
          <w:u w:val="single"/>
        </w:rPr>
        <w:t>渠县政府采购中心</w:t>
      </w:r>
    </w:p>
    <w:p>
      <w:pPr>
        <w:pStyle w:val="8"/>
        <w:spacing w:before="161" w:line="367" w:lineRule="auto"/>
        <w:ind w:left="390" w:right="344" w:firstLine="480"/>
        <w:jc w:val="both"/>
      </w:pPr>
      <w:r>
        <w:rPr>
          <w:spacing w:val="-5"/>
        </w:rPr>
        <w:t xml:space="preserve">本公司 </w:t>
      </w:r>
      <w:r>
        <w:t>XXXX（申请人名称）</w:t>
      </w:r>
      <w:r>
        <w:rPr>
          <w:spacing w:val="-6"/>
        </w:rPr>
        <w:t xml:space="preserve">参加 </w:t>
      </w:r>
      <w:r>
        <w:t>XXXX（采购项目名称）（采购项目编号：XXXX）</w:t>
      </w:r>
      <w:r>
        <w:rPr>
          <w:spacing w:val="2"/>
        </w:rPr>
        <w:t>的政</w:t>
      </w:r>
      <w:r>
        <w:rPr>
          <w:spacing w:val="-3"/>
        </w:rPr>
        <w:t>府采购活动，现郑重承诺，我公司及我公司现任法定代表人、主要负责人在参加本次政府采</w:t>
      </w:r>
      <w:r>
        <w:t>购活动前三年内不具有行贿犯罪记录。</w:t>
      </w:r>
    </w:p>
    <w:p>
      <w:pPr>
        <w:pStyle w:val="8"/>
      </w:pPr>
    </w:p>
    <w:p>
      <w:pPr>
        <w:pStyle w:val="8"/>
      </w:pPr>
    </w:p>
    <w:p>
      <w:pPr>
        <w:pStyle w:val="8"/>
        <w:spacing w:before="2"/>
        <w:rPr>
          <w:sz w:val="26"/>
        </w:rPr>
      </w:pPr>
    </w:p>
    <w:p>
      <w:pPr>
        <w:pStyle w:val="8"/>
        <w:spacing w:line="367" w:lineRule="auto"/>
        <w:ind w:left="390" w:right="337" w:firstLine="480"/>
      </w:pPr>
      <w:r>
        <w:t>本公司对上述承诺的内容事项真实性负责。如经查实上述承诺的内容事项存在虚假，我公司愿意接受按国家法律法规的规定被追究责任。</w:t>
      </w:r>
    </w:p>
    <w:p>
      <w:pPr>
        <w:pStyle w:val="8"/>
      </w:pPr>
    </w:p>
    <w:p>
      <w:pPr>
        <w:pStyle w:val="8"/>
      </w:pPr>
    </w:p>
    <w:p>
      <w:pPr>
        <w:pStyle w:val="8"/>
      </w:pPr>
    </w:p>
    <w:p>
      <w:pPr>
        <w:pStyle w:val="8"/>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tabs>
          <w:tab w:val="left" w:pos="1590"/>
          <w:tab w:val="left" w:pos="7887"/>
        </w:tabs>
        <w:spacing w:before="134" w:line="348" w:lineRule="auto"/>
        <w:ind w:left="870" w:right="2201"/>
      </w:pPr>
      <w:r>
        <w:t>。</w:t>
      </w:r>
    </w:p>
    <w:p>
      <w:pPr>
        <w:spacing w:line="348" w:lineRule="auto"/>
        <w:sectPr>
          <w:headerReference r:id="rId12" w:type="default"/>
          <w:pgSz w:w="11910" w:h="16840"/>
          <w:pgMar w:top="780" w:right="780" w:bottom="820" w:left="800" w:header="545" w:footer="635" w:gutter="0"/>
          <w:pgNumType w:fmt="decimal"/>
          <w:cols w:space="720" w:num="1"/>
        </w:sectPr>
      </w:pPr>
    </w:p>
    <w:p>
      <w:pPr>
        <w:pStyle w:val="8"/>
        <w:spacing w:before="1"/>
        <w:rPr>
          <w:sz w:val="18"/>
        </w:rPr>
      </w:pPr>
    </w:p>
    <w:p>
      <w:pPr>
        <w:pStyle w:val="4"/>
        <w:ind w:left="392" w:right="0"/>
        <w:jc w:val="left"/>
      </w:pPr>
      <w:bookmarkStart w:id="78" w:name="五、参加政府采购活动前三年内，在经营活动中没有重大违法记录承诺函"/>
      <w:bookmarkEnd w:id="78"/>
      <w:bookmarkStart w:id="79" w:name="_Toc2347"/>
      <w:bookmarkStart w:id="80" w:name="_Toc21155"/>
    </w:p>
    <w:p>
      <w:pPr>
        <w:pStyle w:val="4"/>
        <w:ind w:left="392" w:right="0"/>
        <w:jc w:val="left"/>
      </w:pPr>
      <w:r>
        <w:t>五、参加政府采购活动前三年内，在经营活动中没有重大违法记录承诺函</w:t>
      </w:r>
      <w:bookmarkEnd w:id="79"/>
      <w:bookmarkEnd w:id="80"/>
    </w:p>
    <w:p>
      <w:pPr>
        <w:pStyle w:val="8"/>
        <w:spacing w:before="263"/>
        <w:ind w:left="390"/>
      </w:pPr>
      <w:r>
        <w:t>致：</w:t>
      </w:r>
      <w:r>
        <w:rPr>
          <w:rFonts w:hint="eastAsia"/>
          <w:u w:val="single"/>
        </w:rPr>
        <w:t>渠县政府采购中心</w:t>
      </w:r>
    </w:p>
    <w:p>
      <w:pPr>
        <w:pStyle w:val="8"/>
        <w:spacing w:before="161" w:line="367" w:lineRule="auto"/>
        <w:ind w:left="390" w:right="342" w:firstLine="480"/>
        <w:jc w:val="both"/>
      </w:pPr>
      <w:r>
        <w:rPr>
          <w:spacing w:val="-16"/>
        </w:rPr>
        <w:t xml:space="preserve">本公司 </w:t>
      </w:r>
      <w:r>
        <w:t>XXXX（申请人名称）</w:t>
      </w:r>
      <w:r>
        <w:rPr>
          <w:spacing w:val="-15"/>
        </w:rPr>
        <w:t xml:space="preserve"> 参加 </w:t>
      </w:r>
      <w:r>
        <w:t>XXXX（采购项目名称</w:t>
      </w:r>
      <w:r>
        <w:rPr>
          <w:spacing w:val="-3"/>
        </w:rPr>
        <w:t>）（</w:t>
      </w:r>
      <w:r>
        <w:t>采购项目编号：XXXX）</w:t>
      </w:r>
      <w:r>
        <w:rPr>
          <w:spacing w:val="-9"/>
        </w:rPr>
        <w:t>的政</w:t>
      </w:r>
      <w:r>
        <w:rPr>
          <w:spacing w:val="-3"/>
        </w:rPr>
        <w:t>府采购活动，现郑重承诺，我公司在参加本次政府采购活动前三年内，在经营活动中没有重</w:t>
      </w:r>
      <w:r>
        <w:t>大违法记录。</w:t>
      </w:r>
    </w:p>
    <w:p>
      <w:pPr>
        <w:pStyle w:val="8"/>
        <w:spacing w:before="4" w:line="369" w:lineRule="auto"/>
        <w:ind w:left="390" w:right="337" w:firstLine="480"/>
      </w:pPr>
      <w:r>
        <w:t>本公司对上述承诺的内容事项真实性负责。如经查实上述承诺的内容事项存在虚假，我公司愿意接受按国家法律法规的规定被追究责任。</w:t>
      </w:r>
    </w:p>
    <w:p>
      <w:pPr>
        <w:pStyle w:val="8"/>
      </w:pPr>
    </w:p>
    <w:p>
      <w:pPr>
        <w:pStyle w:val="8"/>
      </w:pPr>
    </w:p>
    <w:p>
      <w:pPr>
        <w:pStyle w:val="8"/>
      </w:pPr>
    </w:p>
    <w:p>
      <w:pPr>
        <w:pStyle w:val="8"/>
      </w:pPr>
    </w:p>
    <w:p>
      <w:pPr>
        <w:pStyle w:val="8"/>
      </w:pPr>
    </w:p>
    <w:p>
      <w:pPr>
        <w:pStyle w:val="8"/>
      </w:pPr>
    </w:p>
    <w:p>
      <w:pPr>
        <w:pStyle w:val="8"/>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pPr>
    </w:p>
    <w:p>
      <w:pPr>
        <w:pStyle w:val="8"/>
      </w:pPr>
    </w:p>
    <w:p>
      <w:pPr>
        <w:pStyle w:val="6"/>
        <w:spacing w:before="214"/>
        <w:ind w:left="870"/>
      </w:pPr>
      <w:bookmarkStart w:id="81" w:name="说明："/>
      <w:bookmarkEnd w:id="81"/>
      <w:r>
        <w:t>说明：</w:t>
      </w:r>
    </w:p>
    <w:p>
      <w:pPr>
        <w:pStyle w:val="24"/>
        <w:numPr>
          <w:ilvl w:val="0"/>
          <w:numId w:val="10"/>
        </w:numPr>
        <w:tabs>
          <w:tab w:val="left" w:pos="1113"/>
        </w:tabs>
        <w:spacing w:before="160" w:line="369" w:lineRule="auto"/>
        <w:ind w:right="373" w:firstLine="480"/>
        <w:rPr>
          <w:b/>
          <w:sz w:val="24"/>
        </w:rPr>
      </w:pPr>
      <w:r>
        <w:rPr>
          <w:b/>
          <w:spacing w:val="-3"/>
          <w:w w:val="95"/>
          <w:sz w:val="24"/>
        </w:rPr>
        <w:t xml:space="preserve">重大违法记录是指申请人因违法经营受到刑事处罚或者责令停产停业、吊销许可证或  </w:t>
      </w:r>
      <w:r>
        <w:rPr>
          <w:b/>
          <w:spacing w:val="-3"/>
          <w:sz w:val="24"/>
        </w:rPr>
        <w:t>者执照、较大数额罚款等行政处罚。</w:t>
      </w:r>
    </w:p>
    <w:p>
      <w:pPr>
        <w:pStyle w:val="24"/>
        <w:numPr>
          <w:ilvl w:val="0"/>
          <w:numId w:val="10"/>
        </w:numPr>
        <w:tabs>
          <w:tab w:val="left" w:pos="1113"/>
        </w:tabs>
        <w:spacing w:line="369" w:lineRule="auto"/>
        <w:ind w:right="102" w:firstLine="480"/>
        <w:jc w:val="both"/>
        <w:rPr>
          <w:b/>
          <w:sz w:val="24"/>
        </w:rPr>
      </w:pPr>
      <w:r>
        <w:rPr>
          <w:b/>
          <w:sz w:val="24"/>
        </w:rPr>
        <w:t>重大违法记录中的较大数额罚款的具体金额标准：采购项目所属行业行政主管部门对</w:t>
      </w:r>
      <w:r>
        <w:rPr>
          <w:b/>
          <w:spacing w:val="-5"/>
          <w:sz w:val="24"/>
        </w:rPr>
        <w:t>较大数额罚款金额标准有明文规定的，以采购项目所属行业行政主管部门规定的较大数额罚款</w:t>
      </w:r>
      <w:r>
        <w:rPr>
          <w:b/>
          <w:spacing w:val="-6"/>
          <w:sz w:val="24"/>
        </w:rPr>
        <w:t>金额标准为准；采购项目所属行业行政主管部门对较大数额罚款金额标准未明文规定的，应</w:t>
      </w:r>
      <w:r>
        <w:rPr>
          <w:b/>
          <w:spacing w:val="-8"/>
          <w:sz w:val="24"/>
        </w:rPr>
        <w:t>当以四川省人民政府规定的行政处罚罚款听证标准金额为准</w:t>
      </w:r>
      <w:r>
        <w:rPr>
          <w:b/>
          <w:spacing w:val="-27"/>
          <w:sz w:val="24"/>
        </w:rPr>
        <w:t>；</w:t>
      </w:r>
      <w:r>
        <w:rPr>
          <w:b/>
          <w:sz w:val="24"/>
        </w:rPr>
        <w:t>省外较大数额的标准应以作出行政处罚地域的政府规定为准。</w:t>
      </w:r>
    </w:p>
    <w:p>
      <w:pPr>
        <w:spacing w:line="369" w:lineRule="auto"/>
        <w:jc w:val="both"/>
        <w:rPr>
          <w:sz w:val="24"/>
        </w:rPr>
        <w:sectPr>
          <w:pgSz w:w="11910" w:h="16840"/>
          <w:pgMar w:top="780" w:right="780" w:bottom="820" w:left="800" w:header="545" w:footer="635" w:gutter="0"/>
          <w:pgNumType w:fmt="decimal"/>
          <w:cols w:space="720" w:num="1"/>
        </w:sectPr>
      </w:pPr>
    </w:p>
    <w:p>
      <w:pPr>
        <w:pStyle w:val="8"/>
        <w:spacing w:before="1"/>
        <w:rPr>
          <w:b/>
          <w:sz w:val="18"/>
        </w:rPr>
      </w:pPr>
    </w:p>
    <w:p>
      <w:pPr>
        <w:spacing w:before="58"/>
        <w:ind w:left="225" w:right="189"/>
        <w:jc w:val="center"/>
        <w:outlineLvl w:val="0"/>
        <w:rPr>
          <w:b/>
          <w:sz w:val="30"/>
        </w:rPr>
      </w:pPr>
      <w:bookmarkStart w:id="82" w:name="_Toc17179"/>
      <w:bookmarkStart w:id="83" w:name="_Toc25873"/>
    </w:p>
    <w:p>
      <w:pPr>
        <w:spacing w:before="58"/>
        <w:ind w:left="225" w:right="189"/>
        <w:jc w:val="center"/>
        <w:outlineLvl w:val="0"/>
        <w:rPr>
          <w:b/>
          <w:sz w:val="30"/>
        </w:rPr>
      </w:pPr>
      <w:bookmarkStart w:id="84" w:name="_Toc3842"/>
      <w:r>
        <w:rPr>
          <w:b/>
          <w:sz w:val="30"/>
        </w:rPr>
        <w:t>六、不属于禁止参加政府采购活动的申请人承诺函</w:t>
      </w:r>
      <w:bookmarkEnd w:id="82"/>
      <w:bookmarkEnd w:id="83"/>
      <w:bookmarkEnd w:id="84"/>
    </w:p>
    <w:p>
      <w:pPr>
        <w:pStyle w:val="8"/>
        <w:spacing w:before="7"/>
        <w:rPr>
          <w:b/>
          <w:sz w:val="29"/>
        </w:rPr>
      </w:pPr>
    </w:p>
    <w:p>
      <w:pPr>
        <w:pStyle w:val="8"/>
        <w:ind w:left="390"/>
      </w:pPr>
      <w:r>
        <w:t>致：</w:t>
      </w:r>
      <w:r>
        <w:rPr>
          <w:rFonts w:hint="eastAsia"/>
          <w:u w:val="single"/>
        </w:rPr>
        <w:t>渠县政府采购中心</w:t>
      </w:r>
    </w:p>
    <w:p>
      <w:pPr>
        <w:pStyle w:val="8"/>
        <w:spacing w:before="134" w:line="348" w:lineRule="auto"/>
        <w:ind w:left="390" w:right="306" w:firstLine="480"/>
      </w:pPr>
      <w:r>
        <w:t>本公司 XXXX（申请人名称）参加 XXXX（采购项目名称）（采购项目编号：XXXX）的政府采购活动并郑重承诺：</w:t>
      </w:r>
    </w:p>
    <w:p>
      <w:pPr>
        <w:pStyle w:val="24"/>
        <w:numPr>
          <w:ilvl w:val="0"/>
          <w:numId w:val="11"/>
        </w:numPr>
        <w:tabs>
          <w:tab w:val="left" w:pos="1113"/>
        </w:tabs>
        <w:spacing w:line="306" w:lineRule="exact"/>
        <w:rPr>
          <w:sz w:val="24"/>
        </w:rPr>
      </w:pPr>
      <w:r>
        <w:rPr>
          <w:spacing w:val="-10"/>
          <w:sz w:val="24"/>
        </w:rPr>
        <w:t>本公司未被列入按《关于在政府采购活动中查询及使用信用记录有关问题的通知</w:t>
      </w:r>
      <w:r>
        <w:rPr>
          <w:spacing w:val="-173"/>
          <w:sz w:val="24"/>
        </w:rPr>
        <w:t>》</w:t>
      </w:r>
      <w:r>
        <w:rPr>
          <w:sz w:val="24"/>
        </w:rPr>
        <w:t>（</w:t>
      </w:r>
      <w:r>
        <w:rPr>
          <w:spacing w:val="-6"/>
          <w:sz w:val="24"/>
        </w:rPr>
        <w:t>财库</w:t>
      </w:r>
    </w:p>
    <w:p>
      <w:pPr>
        <w:pStyle w:val="8"/>
        <w:spacing w:before="139" w:line="345" w:lineRule="auto"/>
        <w:ind w:left="390" w:right="303"/>
      </w:pPr>
      <w:r>
        <w:t>〔2016〕125 号）规定的失信被执行人、重大税收违法案件当事人名单、政府采购严重违法失信行为记录名单。</w:t>
      </w:r>
    </w:p>
    <w:p>
      <w:pPr>
        <w:pStyle w:val="24"/>
        <w:numPr>
          <w:ilvl w:val="0"/>
          <w:numId w:val="11"/>
        </w:numPr>
        <w:tabs>
          <w:tab w:val="left" w:pos="1113"/>
        </w:tabs>
        <w:spacing w:before="5" w:line="345" w:lineRule="auto"/>
        <w:ind w:left="390" w:right="515" w:firstLine="480"/>
        <w:rPr>
          <w:sz w:val="24"/>
        </w:rPr>
      </w:pPr>
      <w:r>
        <w:rPr>
          <w:spacing w:val="-8"/>
          <w:sz w:val="24"/>
        </w:rPr>
        <w:t>遵守国家法律法规规定，诚信守法经营，不属于财政部门、人民法院、工商行政管理部门、税务部门、银行公布的失信被执行人。</w:t>
      </w:r>
    </w:p>
    <w:p>
      <w:pPr>
        <w:pStyle w:val="24"/>
        <w:numPr>
          <w:ilvl w:val="0"/>
          <w:numId w:val="11"/>
        </w:numPr>
        <w:tabs>
          <w:tab w:val="left" w:pos="1113"/>
        </w:tabs>
        <w:spacing w:before="2" w:line="348" w:lineRule="auto"/>
        <w:ind w:left="390" w:right="344" w:firstLine="480"/>
        <w:jc w:val="both"/>
        <w:rPr>
          <w:sz w:val="24"/>
        </w:rPr>
      </w:pPr>
      <w:r>
        <w:rPr>
          <w:spacing w:val="-4"/>
          <w:sz w:val="24"/>
        </w:rPr>
        <w:t>在参加本次政府采购活动前三年内，具有良好的商业信誉，在政府采购合同履约过程</w:t>
      </w:r>
      <w:r>
        <w:rPr>
          <w:sz w:val="24"/>
        </w:rPr>
        <w:t>中及其他经营活动履约过程中未被有关部门处罚（处理</w:t>
      </w:r>
      <w:r>
        <w:rPr>
          <w:spacing w:val="-5"/>
          <w:sz w:val="24"/>
        </w:rPr>
        <w:t>）</w:t>
      </w:r>
      <w:r>
        <w:rPr>
          <w:spacing w:val="-3"/>
          <w:sz w:val="24"/>
        </w:rPr>
        <w:t>过，不属于禁止参加政府采购活动的申请人。</w:t>
      </w:r>
    </w:p>
    <w:p>
      <w:pPr>
        <w:pStyle w:val="8"/>
        <w:spacing w:before="10"/>
        <w:rPr>
          <w:sz w:val="34"/>
        </w:rPr>
      </w:pPr>
    </w:p>
    <w:p>
      <w:pPr>
        <w:pStyle w:val="8"/>
        <w:spacing w:line="345" w:lineRule="auto"/>
        <w:ind w:left="390" w:right="337" w:firstLine="480"/>
      </w:pPr>
      <w:r>
        <w:t>本公司对上述承诺的内容事项真实性负责，愿意接受社会各界监督。如经查实上述承诺的内容事项存在虚假，我公司愿意接受按国家法律法规的规定被追究责任。</w:t>
      </w:r>
    </w:p>
    <w:p>
      <w:pPr>
        <w:pStyle w:val="8"/>
      </w:pPr>
    </w:p>
    <w:p>
      <w:pPr>
        <w:pStyle w:val="8"/>
      </w:pPr>
    </w:p>
    <w:p>
      <w:pPr>
        <w:pStyle w:val="8"/>
      </w:pPr>
    </w:p>
    <w:p>
      <w:pPr>
        <w:pStyle w:val="8"/>
      </w:pPr>
    </w:p>
    <w:p>
      <w:pPr>
        <w:pStyle w:val="8"/>
      </w:pPr>
    </w:p>
    <w:p>
      <w:pPr>
        <w:pStyle w:val="8"/>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pPr>
    </w:p>
    <w:p>
      <w:pPr>
        <w:pStyle w:val="8"/>
        <w:rPr>
          <w:sz w:val="19"/>
        </w:rPr>
      </w:pPr>
    </w:p>
    <w:p>
      <w:pPr>
        <w:pStyle w:val="6"/>
        <w:spacing w:before="1"/>
        <w:ind w:left="743"/>
      </w:pPr>
      <w:bookmarkStart w:id="85" w:name="温馨提示："/>
      <w:bookmarkEnd w:id="85"/>
      <w:r>
        <w:t>温馨提示：</w:t>
      </w:r>
    </w:p>
    <w:p>
      <w:pPr>
        <w:spacing w:before="136" w:line="348" w:lineRule="auto"/>
        <w:ind w:left="390" w:right="210" w:firstLine="480"/>
        <w:rPr>
          <w:b/>
          <w:sz w:val="24"/>
        </w:rPr>
      </w:pPr>
      <w:r>
        <w:rPr>
          <w:b/>
          <w:spacing w:val="-3"/>
          <w:sz w:val="24"/>
        </w:rPr>
        <w:t>申请人参加本项目采购活动前可通过“信用中国”网站</w:t>
      </w:r>
      <w:r>
        <w:rPr>
          <w:b/>
          <w:sz w:val="24"/>
        </w:rPr>
        <w:t xml:space="preserve">（ </w:t>
      </w:r>
      <w:r>
        <w:fldChar w:fldCharType="begin"/>
      </w:r>
      <w:r>
        <w:instrText xml:space="preserve"> HYPERLINK "http://www.creditchina.gov.cn/" \h </w:instrText>
      </w:r>
      <w:r>
        <w:fldChar w:fldCharType="separate"/>
      </w:r>
      <w:r>
        <w:rPr>
          <w:b/>
          <w:sz w:val="24"/>
        </w:rPr>
        <w:t>www.creditchina.gov.cn</w:t>
      </w:r>
      <w:r>
        <w:rPr>
          <w:b/>
          <w:sz w:val="24"/>
        </w:rPr>
        <w:fldChar w:fldCharType="end"/>
      </w:r>
      <w:r>
        <w:rPr>
          <w:b/>
          <w:sz w:val="24"/>
        </w:rPr>
        <w:t>）、“中国政府采购网”网站（</w:t>
      </w:r>
      <w:r>
        <w:fldChar w:fldCharType="begin"/>
      </w:r>
      <w:r>
        <w:instrText xml:space="preserve"> HYPERLINK "http://www.ccgp.gov.cn/" \h </w:instrText>
      </w:r>
      <w:r>
        <w:fldChar w:fldCharType="separate"/>
      </w:r>
      <w:r>
        <w:rPr>
          <w:b/>
          <w:sz w:val="24"/>
        </w:rPr>
        <w:t>www.ccgp.gov.cn</w:t>
      </w:r>
      <w:r>
        <w:rPr>
          <w:b/>
          <w:sz w:val="24"/>
        </w:rPr>
        <w:fldChar w:fldCharType="end"/>
      </w:r>
      <w:r>
        <w:rPr>
          <w:b/>
          <w:sz w:val="24"/>
        </w:rPr>
        <w:t>）、四川政府采购网等渠道自行查询其主体在递交申请文件截止之日前一个工作日的相关信用信息记录。</w:t>
      </w:r>
    </w:p>
    <w:p>
      <w:pPr>
        <w:spacing w:line="348" w:lineRule="auto"/>
        <w:rPr>
          <w:sz w:val="24"/>
        </w:rPr>
        <w:sectPr>
          <w:pgSz w:w="11910" w:h="16840"/>
          <w:pgMar w:top="780" w:right="780" w:bottom="820" w:left="800" w:header="545" w:footer="635" w:gutter="0"/>
          <w:pgNumType w:fmt="decimal"/>
          <w:cols w:space="720" w:num="1"/>
        </w:sectPr>
      </w:pPr>
    </w:p>
    <w:p>
      <w:pPr>
        <w:pStyle w:val="8"/>
        <w:spacing w:before="2"/>
        <w:rPr>
          <w:b/>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2" name="组合 21"/>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1" name="直线 22"/>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1"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UjBIGSgIAAPYEAAAOAAAAZHJzL2Uyb0RvYy54bWyllM1uEzEQ&#10;x+9IvIPlO9nstinJKpsemjYXBJUKD+DY3l1L/pLtZJM7B47ceQ1OcOBpUF+DsXeTQCqkCnLY+GM8&#10;M//feDy/3imJttx5YXSF89EYI66pYUI3Ff7w/u7VFCMfiGZEGs0rvOceXy9evph3tuSFaY1k3CFw&#10;on3Z2Qq3IdgyyzxtuSJ+ZCzXsFkbp0iAqWsy5kgH3pXMivH4KuuMY9YZyr2H1WW/iQeP7jkOTV0L&#10;ypeGbhTXoffquCQBJPlWWI8XKdu65jS8q2vPA5IVBqUhfSEIjNfxmy3mpGwcsa2gQwrkOSmcaVJE&#10;aAh6dLUkgaCNE09cKUGd8aYOI2pU1gtJREBFPj5js3JmY5OWpuwae4QOhTqj/s9u6dvtvUOCVbgo&#10;MNJEQcUfv3/8+fkTKvJIp7NNCUYrZx/svRsWmn4WBe9qp+I/SEG7xHV/5Mp3AVFYvBpPL2YXE4wo&#10;7M0mxaTHTluozZNDtL0djs0m07w/k6cT2SFaFpM65tBZuIj+RMf/H52HllieoPso/EAHMhnofPn6&#10;+O0HAlwJRjK60QMaX3qg9Fcur3vhBy4ngekiHvWR0jofVtwoFAcVlkLHlEhJtm98gLhgejCJy1Kj&#10;Dsjml5fAi0BT1tAMMFQWCut1k856IwW7E1LGE9416xvp0JbExki/mBv4/cMsBlkS3/Z2aauX0HLC&#10;bjVDYW/hxmh4KXBMQXGGkeTwsMQROCRlIEI+xxJCSw0ZxHL2EONobdg+sU3rUOZkkdohZTu0buy3&#10;3+fJ6vRcLX4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Pcx4UtQAAAADAQAADwAAAAAAAAABACAA&#10;AAAiAAAAZHJzL2Rvd25yZXYueG1sUEsBAhQAFAAAAAgAh07iQJSMEgZKAgAA9gQAAA4AAAAAAAAA&#10;AQAgAAAAIwEAAGRycy9lMm9Eb2MueG1sUEsFBgAAAAAGAAYAWQEAAN8FAAAAAA==&#10;">
                <o:lock v:ext="edit" aspectratio="f"/>
                <v:line id="直线 22" o:spid="_x0000_s1026" o:spt="20" style="position:absolute;left:0;top:7;height:0;width:9581;" filled="f" stroked="t" coordsize="21600,21600" o:gfxdata="UEsDBAoAAAAAAIdO4kAAAAAAAAAAAAAAAAAEAAAAZHJzL1BLAwQUAAAACACHTuJAWv8TKbwAAADb&#10;AAAADwAAAGRycy9kb3ducmV2LnhtbEWPwWrDMBBE74X8g9hAb43sHNLgRskhuFBKD6nTD1isrSVq&#10;rYy1jdN8fRUI5DjMzBtmszuHXp1oTD6ygXJRgCJuo/XcGfg6vj6tQSVBtthHJgN/lGC3nT1ssLJx&#10;4k86NdKpDOFUoQEnMlRap9ZRwLSIA3H2vuMYULIcO21HnDI89HpZFCsd0HNecDjQ3lH70/wGA83h&#10;Y1q9Xy5T/dx4TCLe1fXemMd5WbyAEjrLPXxrv1kDyxKuX/IP0N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r/Eym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spacing w:before="29"/>
        <w:ind w:left="1047" w:right="534"/>
        <w:jc w:val="center"/>
        <w:outlineLvl w:val="0"/>
        <w:rPr>
          <w:b/>
          <w:sz w:val="30"/>
        </w:rPr>
      </w:pPr>
      <w:bookmarkStart w:id="86" w:name="_Toc6698"/>
      <w:bookmarkStart w:id="87" w:name="_Toc7070"/>
    </w:p>
    <w:p>
      <w:pPr>
        <w:spacing w:before="29"/>
        <w:ind w:left="1047" w:right="534"/>
        <w:jc w:val="center"/>
        <w:outlineLvl w:val="0"/>
        <w:rPr>
          <w:b/>
          <w:sz w:val="30"/>
        </w:rPr>
      </w:pPr>
    </w:p>
    <w:p>
      <w:pPr>
        <w:spacing w:before="29"/>
        <w:ind w:left="1047" w:right="534"/>
        <w:jc w:val="center"/>
        <w:outlineLvl w:val="0"/>
        <w:rPr>
          <w:b/>
          <w:sz w:val="30"/>
        </w:rPr>
      </w:pPr>
      <w:bookmarkStart w:id="88" w:name="_Toc6140"/>
      <w:r>
        <w:rPr>
          <w:b/>
          <w:sz w:val="30"/>
        </w:rPr>
        <w:t>七、</w:t>
      </w:r>
      <w:bookmarkEnd w:id="86"/>
      <w:bookmarkEnd w:id="87"/>
      <w:r>
        <w:rPr>
          <w:b/>
          <w:sz w:val="30"/>
        </w:rPr>
        <w:t>中小企业声明函（工程、服务）</w:t>
      </w:r>
      <w:bookmarkEnd w:id="88"/>
    </w:p>
    <w:p>
      <w:pPr>
        <w:pStyle w:val="8"/>
        <w:spacing w:line="500" w:lineRule="exact"/>
        <w:rPr>
          <w:b/>
        </w:rPr>
      </w:pPr>
    </w:p>
    <w:p>
      <w:pPr>
        <w:pStyle w:val="8"/>
        <w:spacing w:line="500" w:lineRule="exact"/>
        <w:ind w:firstLine="641"/>
        <w:rPr>
          <w:spacing w:val="-2"/>
        </w:rPr>
      </w:pPr>
      <w:r>
        <w:rPr>
          <w:spacing w:val="-2"/>
        </w:rPr>
        <w:t>本公司（联合体）郑重声明，根据《政府采购促进中小企业发展管理办法》（财库</w:t>
      </w:r>
      <w:r>
        <w:rPr>
          <w:rFonts w:hint="eastAsia"/>
          <w:spacing w:val="-2"/>
        </w:rPr>
        <w:t>﹝</w:t>
      </w:r>
      <w:r>
        <w:rPr>
          <w:spacing w:val="-2"/>
        </w:rPr>
        <w:t>2020</w:t>
      </w:r>
      <w:r>
        <w:rPr>
          <w:rFonts w:hint="eastAsia"/>
          <w:spacing w:val="-2"/>
        </w:rPr>
        <w:t>﹞</w:t>
      </w:r>
      <w:r>
        <w:rPr>
          <w:spacing w:val="-2"/>
        </w:rPr>
        <w:t>46 号）的规定，本公司（联合体）参加</w:t>
      </w:r>
      <w:r>
        <w:rPr>
          <w:spacing w:val="-2"/>
          <w:u w:val="single"/>
        </w:rPr>
        <w:t>（单位名称）</w:t>
      </w:r>
      <w:r>
        <w:rPr>
          <w:spacing w:val="-2"/>
        </w:rPr>
        <w:t>的</w:t>
      </w:r>
      <w:r>
        <w:rPr>
          <w:spacing w:val="-2"/>
          <w:u w:val="single"/>
        </w:rPr>
        <w:t>（项目名称）</w:t>
      </w:r>
      <w:r>
        <w:rPr>
          <w:spacing w:val="-2"/>
        </w:rPr>
        <w:t>采购活动，工程的施工单位全部为符合政策要求的中小企业（或者：服务全部由符合政策要求的中小企业承接）。相关企业（含联合体中的中小企业</w:t>
      </w:r>
      <w:r>
        <w:rPr>
          <w:rFonts w:hint="eastAsia"/>
          <w:spacing w:val="-2"/>
        </w:rPr>
        <w:t>、</w:t>
      </w:r>
      <w:r>
        <w:rPr>
          <w:spacing w:val="-2"/>
        </w:rPr>
        <w:t>签订分包意向协议的中小企业）的具体情况如下：</w:t>
      </w:r>
    </w:p>
    <w:p>
      <w:pPr>
        <w:pStyle w:val="8"/>
        <w:spacing w:line="500" w:lineRule="exact"/>
        <w:ind w:firstLine="641"/>
        <w:rPr>
          <w:spacing w:val="-2"/>
        </w:rPr>
      </w:pPr>
      <w:r>
        <w:rPr>
          <w:spacing w:val="-2"/>
        </w:rPr>
        <w:t xml:space="preserve"> </w:t>
      </w:r>
      <w:r>
        <w:rPr>
          <w:rFonts w:hint="eastAsia"/>
          <w:spacing w:val="-2"/>
          <w:lang w:val="en-US"/>
        </w:rPr>
        <w:t>1、</w:t>
      </w:r>
      <w:r>
        <w:rPr>
          <w:spacing w:val="-2"/>
          <w:u w:val="single"/>
        </w:rPr>
        <w:t>（标的名称）</w:t>
      </w:r>
      <w:r>
        <w:rPr>
          <w:spacing w:val="-2"/>
        </w:rPr>
        <w:t xml:space="preserve"> ，属于</w:t>
      </w:r>
      <w:r>
        <w:rPr>
          <w:spacing w:val="-2"/>
          <w:u w:val="single"/>
        </w:rPr>
        <w:t>（采购文件中明确的所属行业）</w:t>
      </w:r>
      <w:r>
        <w:rPr>
          <w:spacing w:val="-2"/>
        </w:rPr>
        <w:t>行业；承建（承接）企业为</w:t>
      </w:r>
      <w:r>
        <w:rPr>
          <w:spacing w:val="-2"/>
          <w:u w:val="single"/>
        </w:rPr>
        <w:t>（企业名称）</w:t>
      </w:r>
      <w:r>
        <w:rPr>
          <w:spacing w:val="-2"/>
        </w:rPr>
        <w:t xml:space="preserve">，从业人员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w:t>
      </w:r>
      <w:r>
        <w:fldChar w:fldCharType="begin"/>
      </w:r>
      <w:r>
        <w:instrText xml:space="preserve"> HYPERLINK \l "_bookmark0" </w:instrText>
      </w:r>
      <w:r>
        <w:fldChar w:fldCharType="separate"/>
      </w:r>
      <w:r>
        <w:rPr>
          <w:spacing w:val="-2"/>
          <w:vertAlign w:val="superscript"/>
        </w:rPr>
        <w:t>1</w:t>
      </w:r>
      <w:r>
        <w:rPr>
          <w:spacing w:val="-2"/>
          <w:vertAlign w:val="superscript"/>
        </w:rPr>
        <w:fldChar w:fldCharType="end"/>
      </w:r>
      <w:r>
        <w:rPr>
          <w:spacing w:val="-2"/>
        </w:rPr>
        <w:t>，属于</w:t>
      </w:r>
      <w:r>
        <w:rPr>
          <w:spacing w:val="-2"/>
          <w:u w:val="single"/>
        </w:rPr>
        <w:t>（中型企业、小型企业、微型企业）</w:t>
      </w:r>
      <w:r>
        <w:rPr>
          <w:spacing w:val="-2"/>
        </w:rPr>
        <w:t>；</w:t>
      </w:r>
    </w:p>
    <w:p>
      <w:pPr>
        <w:pStyle w:val="8"/>
        <w:spacing w:line="500" w:lineRule="exact"/>
        <w:ind w:firstLine="641"/>
        <w:rPr>
          <w:spacing w:val="-2"/>
        </w:rPr>
      </w:pPr>
      <w:r>
        <w:rPr>
          <w:spacing w:val="-2"/>
        </w:rPr>
        <w:t xml:space="preserve"> </w:t>
      </w:r>
      <w:r>
        <w:rPr>
          <w:rFonts w:hint="eastAsia"/>
          <w:spacing w:val="-2"/>
          <w:lang w:val="en-US"/>
        </w:rPr>
        <w:t>2、</w:t>
      </w:r>
      <w:r>
        <w:rPr>
          <w:spacing w:val="-2"/>
          <w:u w:val="single"/>
        </w:rPr>
        <w:t xml:space="preserve">（标的名称） </w:t>
      </w:r>
      <w:r>
        <w:rPr>
          <w:spacing w:val="-2"/>
        </w:rPr>
        <w:t>，属于</w:t>
      </w:r>
      <w:r>
        <w:rPr>
          <w:spacing w:val="-2"/>
          <w:u w:val="single"/>
        </w:rPr>
        <w:t>（采购文件中明确的所属行业）</w:t>
      </w:r>
      <w:r>
        <w:rPr>
          <w:spacing w:val="-2"/>
        </w:rPr>
        <w:t>行业；</w:t>
      </w:r>
      <w:r>
        <w:rPr>
          <w:spacing w:val="7"/>
          <w:w w:val="99"/>
          <w:sz w:val="32"/>
        </w:rPr>
        <w:t>承</w:t>
      </w:r>
      <w:r>
        <w:rPr>
          <w:spacing w:val="5"/>
          <w:w w:val="99"/>
          <w:sz w:val="32"/>
        </w:rPr>
        <w:t>建</w:t>
      </w:r>
      <w:r>
        <w:rPr>
          <w:spacing w:val="7"/>
          <w:w w:val="99"/>
          <w:sz w:val="32"/>
        </w:rPr>
        <w:t>（</w:t>
      </w:r>
      <w:r>
        <w:rPr>
          <w:spacing w:val="5"/>
          <w:w w:val="99"/>
          <w:sz w:val="32"/>
        </w:rPr>
        <w:t>承</w:t>
      </w:r>
      <w:r>
        <w:rPr>
          <w:spacing w:val="7"/>
          <w:w w:val="99"/>
          <w:sz w:val="32"/>
        </w:rPr>
        <w:t>接）</w:t>
      </w:r>
      <w:r>
        <w:rPr>
          <w:spacing w:val="5"/>
          <w:w w:val="99"/>
          <w:sz w:val="32"/>
        </w:rPr>
        <w:t>企</w:t>
      </w:r>
      <w:r>
        <w:rPr>
          <w:spacing w:val="7"/>
          <w:w w:val="99"/>
          <w:sz w:val="32"/>
        </w:rPr>
        <w:t>业</w:t>
      </w:r>
      <w:r>
        <w:rPr>
          <w:spacing w:val="-2"/>
        </w:rPr>
        <w:t>为</w:t>
      </w:r>
      <w:r>
        <w:rPr>
          <w:spacing w:val="-2"/>
          <w:u w:val="single"/>
        </w:rPr>
        <w:t>（企业名称）</w:t>
      </w:r>
      <w:r>
        <w:rPr>
          <w:spacing w:val="-2"/>
        </w:rPr>
        <w:t>，从业人员</w:t>
      </w:r>
      <w:r>
        <w:rPr>
          <w:spacing w:val="-2"/>
          <w:u w:val="single"/>
        </w:rPr>
        <w:t xml:space="preserve"> </w:t>
      </w:r>
      <w:r>
        <w:rPr>
          <w:spacing w:val="-2"/>
          <w:u w:val="single"/>
        </w:rPr>
        <w:tab/>
      </w:r>
      <w:r>
        <w:rPr>
          <w:spacing w:val="-2"/>
        </w:rPr>
        <w:t>人，营业收入为</w:t>
      </w:r>
      <w:r>
        <w:rPr>
          <w:spacing w:val="-2"/>
          <w:u w:val="single"/>
        </w:rPr>
        <w:tab/>
      </w:r>
      <w:r>
        <w:rPr>
          <w:spacing w:val="-2"/>
        </w:rPr>
        <w:t>万元，资产总额为</w:t>
      </w:r>
      <w:r>
        <w:rPr>
          <w:spacing w:val="-2"/>
          <w:u w:val="single"/>
        </w:rPr>
        <w:t xml:space="preserve"> </w:t>
      </w:r>
      <w:r>
        <w:rPr>
          <w:spacing w:val="-2"/>
          <w:u w:val="single"/>
        </w:rPr>
        <w:tab/>
      </w:r>
      <w:r>
        <w:rPr>
          <w:spacing w:val="-2"/>
        </w:rPr>
        <w:t>万元，属于</w:t>
      </w:r>
      <w:r>
        <w:rPr>
          <w:spacing w:val="-2"/>
          <w:u w:val="single"/>
        </w:rPr>
        <w:t>（中型企业、小型企业、微型企业）</w:t>
      </w:r>
      <w:r>
        <w:rPr>
          <w:spacing w:val="-2"/>
        </w:rPr>
        <w:t>；</w:t>
      </w:r>
    </w:p>
    <w:p>
      <w:pPr>
        <w:pStyle w:val="8"/>
        <w:spacing w:line="500" w:lineRule="exact"/>
        <w:ind w:firstLine="641"/>
        <w:rPr>
          <w:spacing w:val="-2"/>
        </w:rPr>
      </w:pPr>
      <w:r>
        <w:rPr>
          <w:spacing w:val="-2"/>
        </w:rPr>
        <w:t>……</w:t>
      </w:r>
    </w:p>
    <w:p>
      <w:pPr>
        <w:pStyle w:val="8"/>
        <w:spacing w:line="500" w:lineRule="exact"/>
        <w:ind w:firstLine="641"/>
        <w:rPr>
          <w:spacing w:val="-2"/>
        </w:rPr>
      </w:pPr>
      <w:r>
        <w:rPr>
          <w:spacing w:val="-2"/>
        </w:rPr>
        <w:t>以上企业，不属于大企业的分支机构，不存在控股股东为大企业的情形，也不存在与大企业的负责人为同一人的情形。</w:t>
      </w:r>
    </w:p>
    <w:p>
      <w:pPr>
        <w:pStyle w:val="8"/>
        <w:spacing w:line="500" w:lineRule="exact"/>
        <w:ind w:firstLine="641"/>
        <w:rPr>
          <w:spacing w:val="-2"/>
        </w:rPr>
      </w:pPr>
      <w:r>
        <w:rPr>
          <w:spacing w:val="-2"/>
        </w:rPr>
        <w:t>本企业对上述声明内容的真实性负责。如有虚假，将依法承担相应责任。</w:t>
      </w:r>
    </w:p>
    <w:p>
      <w:pPr>
        <w:pStyle w:val="8"/>
        <w:spacing w:line="500" w:lineRule="exact"/>
        <w:ind w:firstLine="472" w:firstLineChars="200"/>
        <w:jc w:val="both"/>
        <w:rPr>
          <w:spacing w:val="-2"/>
        </w:rPr>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spacing w:line="304" w:lineRule="exact"/>
        <w:ind w:left="870"/>
      </w:pPr>
    </w:p>
    <w:p>
      <w:pPr>
        <w:pStyle w:val="8"/>
      </w:pPr>
    </w:p>
    <w:p>
      <w:pPr>
        <w:pStyle w:val="8"/>
      </w:pPr>
    </w:p>
    <w:p>
      <w:pPr>
        <w:pStyle w:val="8"/>
      </w:pPr>
    </w:p>
    <w:p>
      <w:pPr>
        <w:pStyle w:val="13"/>
        <w:jc w:val="both"/>
      </w:pPr>
    </w:p>
    <w:p>
      <w:pPr>
        <w:spacing w:line="350" w:lineRule="auto"/>
        <w:rPr>
          <w:sz w:val="28"/>
          <w:szCs w:val="28"/>
        </w:rPr>
        <w:sectPr>
          <w:headerReference r:id="rId13" w:type="default"/>
          <w:pgSz w:w="11910" w:h="16840"/>
          <w:pgMar w:top="720" w:right="780" w:bottom="820" w:left="800" w:header="525" w:footer="635" w:gutter="0"/>
          <w:pgNumType w:fmt="decimal"/>
          <w:cols w:space="720" w:num="1"/>
        </w:sectPr>
      </w:pPr>
      <w:r>
        <w:rPr>
          <w:sz w:val="28"/>
          <w:szCs w:val="28"/>
        </w:rPr>
        <w:t>注</w:t>
      </w:r>
      <w:r>
        <w:rPr>
          <w:rFonts w:hint="eastAsia"/>
          <w:sz w:val="28"/>
          <w:szCs w:val="28"/>
        </w:rPr>
        <w:t>：</w:t>
      </w:r>
      <w:r>
        <w:rPr>
          <w:rFonts w:hint="eastAsia"/>
          <w:sz w:val="21"/>
          <w:szCs w:val="28"/>
        </w:rPr>
        <w:t>从业人员、营业收入、资产总额填报上一年度数据，无上一年度数据的新成立企业可不填报。</w:t>
      </w:r>
    </w:p>
    <w:p>
      <w:pPr>
        <w:pStyle w:val="8"/>
        <w:spacing w:before="2"/>
        <w:rPr>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4" name="组合 23"/>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3" name="直线 24"/>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3"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2R5G8SQIAAPYEAAAOAAAAZHJzL2Uyb0RvYy54bWyllL2OEzEQ&#10;x3sk3sFyTzYflyNZZXPF5S4NgpMOHsCxvbuW/CXbySY9BSU9r0EFBU+D7jUYezcbyAkpghQbf4xn&#10;5v8bjxc3eyXRjjsvjC7waDDEiGtqmNBVgT+8v381w8gHohmRRvMCH7jHN8uXLxaNzfnY1EYy7hA4&#10;0T5vbIHrEGyeZZ7WXBE/MJZr2CyNUyTA1FUZc6QB70pm4+HwOmuMY9YZyr2H1VW7iTuP7hKHpiwF&#10;5StDt4rr0Hp1XJIAknwtrMfLlG1ZchrelaXnAckCg9KQvhAExpv4zZYLkleO2FrQLgVySQpnmhQR&#10;GoL2rlYkELR14pkrJagz3pRhQI3KWiGJCKgYDc/YrJ3Z2qSlypvK9tChUGfU/9ktfbt7cEiwAo+v&#10;MNJEQcWfvn/8+fkTGk8incZWORitnX20D65bqNpZFLwvnYr/IAXtE9dDz5XvA6KweD2cTeaTKUYU&#10;9ubT8bTFTmuozbNDtL7rjs2ns1F7ZpROZMdoWUyqz6GxcBH9iY7/PzqPNbE8QfdR+JHOpKfz5evT&#10;tx8IcCUYyehWd2h87oHSX7m8boUfuZwEpovY6yO5dT6suVEoDgoshY4pkZzs3vgAccH0aBKXpUYN&#10;kB1dQQ0pgaYsoRlgqCwU1usqnfVGCnYvpIwnvKs2t9KhHYmNkX4xN/D7h1kMsiK+bu3SViuh5oTd&#10;aYbCwcKN0fBS4JiC4gwjyeFhiSNwSPJAhLzEEkJLDRnEcrYQ42hj2CGxTetQ5mSR2iFl27Vu7Lff&#10;58nq9Fwt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tkeRvEkCAAD2BAAADgAAAAAAAAAB&#10;ACAAAAAjAQAAZHJzL2Uyb0RvYy54bWxQSwUGAAAAAAYABgBZAQAA3gUAAAAA&#10;">
                <o:lock v:ext="edit" aspectratio="f"/>
                <v:line id="直线 24" o:spid="_x0000_s1026" o:spt="20" style="position:absolute;left:0;top:7;height:0;width:9581;" filled="f" stroked="t" coordsize="21600,21600" o:gfxdata="UEsDBAoAAAAAAIdO4kAAAAAAAAAAAAAAAAAEAAAAZHJzL1BLAwQUAAAACACHTuJAxWEoxb0AAADb&#10;AAAADwAAAGRycy9kb3ducmV2LnhtbEWPQWsCMRSE70L/Q3hCb5rVgp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YSjF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4"/>
        <w:spacing w:before="12"/>
      </w:pPr>
      <w:bookmarkStart w:id="89" w:name="八、申请人基本情况表"/>
      <w:bookmarkEnd w:id="89"/>
      <w:bookmarkStart w:id="90" w:name="_Toc19817"/>
      <w:bookmarkStart w:id="91" w:name="_Toc12232"/>
    </w:p>
    <w:p>
      <w:pPr>
        <w:pStyle w:val="4"/>
        <w:spacing w:before="12"/>
      </w:pPr>
      <w:r>
        <w:t>八、申请人诚信情况承诺函</w:t>
      </w:r>
    </w:p>
    <w:p>
      <w:pPr>
        <w:pStyle w:val="8"/>
        <w:spacing w:before="3"/>
        <w:rPr>
          <w:b/>
          <w:sz w:val="37"/>
        </w:rPr>
      </w:pPr>
    </w:p>
    <w:p>
      <w:pPr>
        <w:pStyle w:val="8"/>
        <w:spacing w:before="1"/>
        <w:ind w:left="390"/>
      </w:pPr>
      <w:r>
        <w:t>致：</w:t>
      </w:r>
      <w:r>
        <w:rPr>
          <w:rFonts w:hint="eastAsia"/>
          <w:u w:val="single"/>
        </w:rPr>
        <w:t>渠县政府采购中心</w:t>
      </w:r>
    </w:p>
    <w:p>
      <w:pPr>
        <w:pStyle w:val="8"/>
        <w:tabs>
          <w:tab w:val="left" w:pos="2619"/>
          <w:tab w:val="left" w:pos="4723"/>
        </w:tabs>
        <w:spacing w:before="165" w:line="367" w:lineRule="auto"/>
        <w:ind w:left="390" w:right="248" w:firstLine="480"/>
      </w:pPr>
      <w:r>
        <w:t>本公司/单</w:t>
      </w:r>
      <w:r>
        <w:rPr>
          <w:spacing w:val="-3"/>
        </w:rPr>
        <w:t>位</w:t>
      </w:r>
      <w:r>
        <w:rPr>
          <w:rFonts w:ascii="Times New Roman" w:eastAsia="Times New Roman"/>
          <w:u w:val="single"/>
        </w:rPr>
        <w:t xml:space="preserve"> </w:t>
      </w:r>
      <w:r>
        <w:rPr>
          <w:rFonts w:ascii="Times New Roman" w:eastAsia="Times New Roman"/>
          <w:u w:val="single"/>
        </w:rPr>
        <w:tab/>
      </w:r>
      <w:r>
        <w:rPr>
          <w:u w:val="single"/>
        </w:rPr>
        <w:t>（申请人名称）</w:t>
      </w:r>
      <w:r>
        <w:rPr>
          <w:u w:val="single"/>
        </w:rPr>
        <w:tab/>
      </w:r>
      <w:r>
        <w:t>参加</w:t>
      </w:r>
      <w:r>
        <w:rPr>
          <w:spacing w:val="-60"/>
        </w:rPr>
        <w:t xml:space="preserve"> </w:t>
      </w:r>
      <w:r>
        <w:t>XXX</w:t>
      </w:r>
      <w:r>
        <w:rPr>
          <w:spacing w:val="-53"/>
        </w:rPr>
        <w:t>X</w:t>
      </w:r>
      <w:r>
        <w:t>（采购项目名称</w:t>
      </w:r>
      <w:r>
        <w:rPr>
          <w:spacing w:val="-106"/>
        </w:rPr>
        <w:t>）</w:t>
      </w:r>
      <w:r>
        <w:t>（采购项目编</w:t>
      </w:r>
      <w:r>
        <w:rPr>
          <w:spacing w:val="-1"/>
        </w:rPr>
        <w:t>号</w:t>
      </w:r>
      <w:r>
        <w:rPr>
          <w:spacing w:val="-58"/>
        </w:rPr>
        <w:t>：</w:t>
      </w:r>
      <w:r>
        <w:rPr>
          <w:spacing w:val="-5"/>
        </w:rPr>
        <w:t>XXX</w:t>
      </w:r>
      <w:r>
        <w:rPr>
          <w:spacing w:val="-7"/>
        </w:rPr>
        <w:t>X</w:t>
      </w:r>
      <w:r>
        <w:rPr>
          <w:spacing w:val="-2"/>
        </w:rPr>
        <w:t>）</w:t>
      </w:r>
      <w:r>
        <w:t>的政府采购活动</w:t>
      </w:r>
      <w:r>
        <w:rPr>
          <w:spacing w:val="-15"/>
        </w:rPr>
        <w:t>，</w:t>
      </w:r>
      <w:r>
        <w:t>现根</w:t>
      </w:r>
      <w:r>
        <w:rPr>
          <w:spacing w:val="-20"/>
        </w:rPr>
        <w:t>据</w:t>
      </w:r>
      <w:r>
        <w:t>《四川省政府采购当事人诚信管理办法</w:t>
      </w:r>
      <w:r>
        <w:rPr>
          <w:spacing w:val="-15"/>
        </w:rPr>
        <w:t>》</w:t>
      </w:r>
      <w:r>
        <w:t>川财</w:t>
      </w:r>
      <w:r>
        <w:rPr>
          <w:spacing w:val="-17"/>
        </w:rPr>
        <w:t>采</w:t>
      </w:r>
      <w:r>
        <w:t>〔2015</w:t>
      </w:r>
      <w:r>
        <w:rPr>
          <w:spacing w:val="-17"/>
        </w:rPr>
        <w:t>〕</w:t>
      </w:r>
      <w:r>
        <w:t>33</w:t>
      </w:r>
      <w:r>
        <w:rPr>
          <w:spacing w:val="-60"/>
        </w:rPr>
        <w:t xml:space="preserve"> </w:t>
      </w:r>
      <w:r>
        <w:t>号的相关规定</w:t>
      </w:r>
      <w:r>
        <w:rPr>
          <w:spacing w:val="-10"/>
        </w:rPr>
        <w:t>，</w:t>
      </w:r>
      <w:r>
        <w:t>针对本公司/单位的诚信情况作出以下承诺</w:t>
      </w:r>
      <w:r>
        <w:rPr>
          <w:spacing w:val="-8"/>
        </w:rPr>
        <w:t>：</w:t>
      </w:r>
      <w:r>
        <w:t>我公司/单位具</w:t>
      </w:r>
      <w:r>
        <w:rPr>
          <w:spacing w:val="-5"/>
        </w:rPr>
        <w:t>有</w:t>
      </w:r>
      <w:r>
        <w:t>《四川省政府采购当事人诚信管理办法》（川财采〔2015〕33</w:t>
      </w:r>
      <w:r>
        <w:rPr>
          <w:spacing w:val="-56"/>
        </w:rPr>
        <w:t xml:space="preserve"> </w:t>
      </w:r>
      <w:r>
        <w:t>号）所规定的失信行为</w:t>
      </w:r>
      <w:r>
        <w:rPr>
          <w:spacing w:val="-51"/>
        </w:rPr>
        <w:t xml:space="preserve"> </w:t>
      </w:r>
      <w:r>
        <w:t>XXXX</w:t>
      </w:r>
      <w:r>
        <w:rPr>
          <w:spacing w:val="-56"/>
        </w:rPr>
        <w:t xml:space="preserve"> </w:t>
      </w:r>
      <w:r>
        <w:t>次（填写失信行为的次数时</w:t>
      </w:r>
      <w:r>
        <w:rPr>
          <w:spacing w:val="-3"/>
        </w:rPr>
        <w:t>，</w:t>
      </w:r>
      <w:r>
        <w:t>建议使用大写数字，如零</w:t>
      </w:r>
      <w:r>
        <w:rPr>
          <w:spacing w:val="-5"/>
        </w:rPr>
        <w:t>、</w:t>
      </w:r>
      <w:r>
        <w:t>壹</w:t>
      </w:r>
      <w:r>
        <w:rPr>
          <w:spacing w:val="-3"/>
        </w:rPr>
        <w:t>、</w:t>
      </w:r>
      <w:r>
        <w:t>贰</w:t>
      </w:r>
      <w:r>
        <w:rPr>
          <w:spacing w:val="-3"/>
        </w:rPr>
        <w:t>、</w:t>
      </w:r>
      <w:r>
        <w:t>叁、肆等</w:t>
      </w:r>
      <w:r>
        <w:rPr>
          <w:spacing w:val="-3"/>
        </w:rPr>
        <w:t>。</w:t>
      </w:r>
      <w:r>
        <w:rPr>
          <w:spacing w:val="-4"/>
        </w:rPr>
        <w:t>）；（</w:t>
      </w:r>
      <w:r>
        <w:t>仅限递交申请文件截止当日仍在有效期的次数）</w:t>
      </w:r>
    </w:p>
    <w:p>
      <w:pPr>
        <w:pStyle w:val="8"/>
      </w:pPr>
    </w:p>
    <w:p>
      <w:pPr>
        <w:pStyle w:val="8"/>
        <w:spacing w:before="169" w:line="367" w:lineRule="auto"/>
        <w:ind w:left="390" w:right="337" w:firstLine="480"/>
      </w:pPr>
      <w:r>
        <w:t>我公司/单位对以上填写信息的真实性负责。如有不实，本公司/单位愿承担由此产生的一切法律责任和后果。</w:t>
      </w:r>
    </w:p>
    <w:p>
      <w:pPr>
        <w:pStyle w:val="8"/>
      </w:pPr>
    </w:p>
    <w:p>
      <w:pPr>
        <w:pStyle w:val="8"/>
      </w:pPr>
    </w:p>
    <w:p>
      <w:pPr>
        <w:pStyle w:val="8"/>
      </w:pPr>
    </w:p>
    <w:p>
      <w:pPr>
        <w:pStyle w:val="8"/>
      </w:pPr>
    </w:p>
    <w:p>
      <w:pPr>
        <w:pStyle w:val="8"/>
        <w:spacing w:before="5"/>
        <w:rPr>
          <w:sz w:val="30"/>
        </w:rPr>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pStyle w:val="8"/>
      </w:pPr>
    </w:p>
    <w:p>
      <w:pPr>
        <w:pStyle w:val="8"/>
        <w:spacing w:before="6"/>
        <w:rPr>
          <w:sz w:val="29"/>
        </w:rPr>
      </w:pPr>
    </w:p>
    <w:p>
      <w:pPr>
        <w:pStyle w:val="8"/>
        <w:ind w:left="1165"/>
      </w:pPr>
      <w:r>
        <w:t>注：</w:t>
      </w:r>
    </w:p>
    <w:p>
      <w:pPr>
        <w:pStyle w:val="24"/>
        <w:numPr>
          <w:ilvl w:val="1"/>
          <w:numId w:val="12"/>
        </w:numPr>
        <w:tabs>
          <w:tab w:val="left" w:pos="1406"/>
        </w:tabs>
        <w:spacing w:before="166"/>
        <w:jc w:val="left"/>
        <w:rPr>
          <w:sz w:val="24"/>
        </w:rPr>
      </w:pPr>
      <w:r>
        <w:rPr>
          <w:sz w:val="24"/>
        </w:rPr>
        <w:t>本表格式及内容仅供参考，申请人也可提供自己的格式；</w:t>
      </w:r>
    </w:p>
    <w:p>
      <w:pPr>
        <w:pStyle w:val="24"/>
        <w:numPr>
          <w:ilvl w:val="1"/>
          <w:numId w:val="12"/>
        </w:numPr>
        <w:tabs>
          <w:tab w:val="left" w:pos="1406"/>
        </w:tabs>
        <w:spacing w:before="163"/>
        <w:jc w:val="left"/>
        <w:rPr>
          <w:sz w:val="24"/>
        </w:rPr>
      </w:pPr>
      <w:r>
        <w:rPr>
          <w:sz w:val="24"/>
        </w:rPr>
        <w:t>申请人存在以上所述失信行为的，将按照第二章申请人须知附表的要求进行处理；</w:t>
      </w:r>
    </w:p>
    <w:p>
      <w:pPr>
        <w:pStyle w:val="24"/>
        <w:numPr>
          <w:ilvl w:val="1"/>
          <w:numId w:val="12"/>
        </w:numPr>
        <w:tabs>
          <w:tab w:val="left" w:pos="1408"/>
        </w:tabs>
        <w:spacing w:before="163" w:line="367" w:lineRule="auto"/>
        <w:ind w:left="390" w:right="342" w:firstLine="775"/>
        <w:jc w:val="both"/>
        <w:rPr>
          <w:sz w:val="24"/>
        </w:rPr>
      </w:pPr>
      <w:r>
        <w:rPr>
          <w:spacing w:val="-3"/>
          <w:sz w:val="24"/>
        </w:rPr>
        <w:t xml:space="preserve">财政部门对政府采购当事人的失信行为依法进行处罚、处理后，应当向社会公告，并记入诚信档案，有效期为 </w:t>
      </w:r>
      <w:r>
        <w:rPr>
          <w:sz w:val="24"/>
        </w:rPr>
        <w:t>1</w:t>
      </w:r>
      <w:r>
        <w:rPr>
          <w:spacing w:val="-8"/>
          <w:sz w:val="24"/>
        </w:rPr>
        <w:t xml:space="preserve"> 年。工商部门、税务部门、审判机关及其他有关部门单位认定申请人的失信行为明确了有效期的，不再重复计算。</w:t>
      </w:r>
    </w:p>
    <w:p>
      <w:pPr>
        <w:pStyle w:val="24"/>
        <w:numPr>
          <w:ilvl w:val="1"/>
          <w:numId w:val="12"/>
        </w:numPr>
        <w:tabs>
          <w:tab w:val="left" w:pos="1113"/>
        </w:tabs>
        <w:spacing w:before="4" w:line="367" w:lineRule="auto"/>
        <w:ind w:left="390" w:right="407" w:firstLine="480"/>
        <w:jc w:val="left"/>
        <w:rPr>
          <w:sz w:val="24"/>
        </w:rPr>
      </w:pPr>
      <w:r>
        <w:rPr>
          <w:spacing w:val="-3"/>
          <w:sz w:val="24"/>
        </w:rPr>
        <w:t>申请人的失信行为受到行政处罚或司法惩处的，评审时不再对其以价格加成或扣分的方式进行惩戒。</w:t>
      </w: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pPr>
    </w:p>
    <w:p>
      <w:pPr>
        <w:pStyle w:val="24"/>
        <w:widowControl w:val="0"/>
        <w:numPr>
          <w:ilvl w:val="0"/>
          <w:numId w:val="0"/>
        </w:numPr>
        <w:tabs>
          <w:tab w:val="left" w:pos="1113"/>
        </w:tabs>
        <w:autoSpaceDE w:val="0"/>
        <w:autoSpaceDN w:val="0"/>
        <w:spacing w:before="4" w:line="367" w:lineRule="auto"/>
        <w:ind w:right="407" w:rightChars="0"/>
        <w:jc w:val="left"/>
        <w:rPr>
          <w:spacing w:val="-3"/>
          <w:sz w:val="24"/>
        </w:rPr>
        <w:sectPr>
          <w:pgSz w:w="11910" w:h="16840"/>
          <w:pgMar w:top="720" w:right="780" w:bottom="820" w:left="800" w:header="525" w:footer="635" w:gutter="0"/>
          <w:pgNumType w:fmt="decimal"/>
          <w:cols w:space="720" w:num="1"/>
        </w:sectPr>
      </w:pPr>
    </w:p>
    <w:p>
      <w:pPr>
        <w:pStyle w:val="4"/>
        <w:spacing w:before="29"/>
        <w:ind w:left="0" w:leftChars="0" w:right="194" w:firstLine="0" w:firstLineChars="0"/>
        <w:jc w:val="both"/>
      </w:pPr>
    </w:p>
    <w:p>
      <w:pPr>
        <w:pStyle w:val="4"/>
        <w:spacing w:before="29"/>
        <w:ind w:right="194"/>
      </w:pPr>
      <w:r>
        <w:rPr>
          <w:rFonts w:hint="eastAsia"/>
          <w:lang w:val="en-US" w:eastAsia="zh-CN"/>
        </w:rPr>
        <w:t>九、</w:t>
      </w:r>
      <w:r>
        <w:t>申请人基本情况表</w:t>
      </w:r>
      <w:bookmarkEnd w:id="90"/>
      <w:bookmarkEnd w:id="91"/>
    </w:p>
    <w:p>
      <w:pPr>
        <w:pStyle w:val="8"/>
        <w:spacing w:before="4"/>
        <w:rPr>
          <w:b/>
          <w:sz w:val="20"/>
        </w:rPr>
      </w:pPr>
    </w:p>
    <w:tbl>
      <w:tblPr>
        <w:tblStyle w:val="19"/>
        <w:tblW w:w="0" w:type="auto"/>
        <w:tblInd w:w="329" w:type="dxa"/>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Layout w:type="fixed"/>
        <w:tblCellMar>
          <w:top w:w="0" w:type="dxa"/>
          <w:left w:w="0" w:type="dxa"/>
          <w:bottom w:w="0" w:type="dxa"/>
          <w:right w:w="0" w:type="dxa"/>
        </w:tblCellMar>
      </w:tblPr>
      <w:tblGrid>
        <w:gridCol w:w="1742"/>
        <w:gridCol w:w="1119"/>
        <w:gridCol w:w="1405"/>
        <w:gridCol w:w="1447"/>
        <w:gridCol w:w="1537"/>
        <w:gridCol w:w="1356"/>
        <w:gridCol w:w="1248"/>
      </w:tblGrid>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bottom w:val="single" w:color="000000" w:sz="6" w:space="0"/>
              <w:right w:val="single" w:color="000000" w:sz="6" w:space="0"/>
            </w:tcBorders>
          </w:tcPr>
          <w:p>
            <w:pPr>
              <w:pStyle w:val="25"/>
              <w:keepNext w:val="0"/>
              <w:keepLines w:val="0"/>
              <w:suppressLineNumbers w:val="0"/>
              <w:spacing w:before="5" w:beforeAutospacing="0" w:after="0" w:afterAutospacing="0"/>
              <w:ind w:left="149" w:right="82"/>
              <w:jc w:val="center"/>
              <w:rPr>
                <w:rFonts w:hint="default"/>
                <w:sz w:val="24"/>
              </w:rPr>
            </w:pPr>
            <w:r>
              <w:rPr>
                <w:rFonts w:hint="default"/>
                <w:sz w:val="24"/>
              </w:rPr>
              <w:t>申请人名称</w:t>
            </w:r>
          </w:p>
        </w:tc>
        <w:tc>
          <w:tcPr>
            <w:tcW w:w="8112" w:type="dxa"/>
            <w:gridSpan w:val="6"/>
            <w:tcBorders>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注册地址</w:t>
            </w:r>
          </w:p>
        </w:tc>
        <w:tc>
          <w:tcPr>
            <w:tcW w:w="3971" w:type="dxa"/>
            <w:gridSpan w:val="3"/>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305" w:right="216"/>
              <w:jc w:val="center"/>
              <w:rPr>
                <w:rFonts w:hint="default"/>
                <w:sz w:val="24"/>
              </w:rPr>
            </w:pPr>
            <w:r>
              <w:rPr>
                <w:rFonts w:hint="default"/>
                <w:sz w:val="24"/>
              </w:rPr>
              <w:t>邮政编码</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restart"/>
            <w:tcBorders>
              <w:top w:val="single" w:color="000000" w:sz="6" w:space="0"/>
              <w:bottom w:val="single" w:color="000000" w:sz="6" w:space="0"/>
              <w:right w:val="single" w:color="000000" w:sz="6" w:space="0"/>
            </w:tcBorders>
          </w:tcPr>
          <w:p>
            <w:pPr>
              <w:pStyle w:val="25"/>
              <w:keepNext w:val="0"/>
              <w:keepLines w:val="0"/>
              <w:suppressLineNumbers w:val="0"/>
              <w:spacing w:before="1" w:beforeAutospacing="0" w:after="0" w:afterAutospacing="0"/>
              <w:ind w:left="0" w:right="0"/>
              <w:rPr>
                <w:rFonts w:hint="default"/>
                <w:b/>
                <w:sz w:val="19"/>
              </w:rPr>
            </w:pPr>
          </w:p>
          <w:p>
            <w:pPr>
              <w:pStyle w:val="25"/>
              <w:keepNext w:val="0"/>
              <w:keepLines w:val="0"/>
              <w:suppressLineNumbers w:val="0"/>
              <w:spacing w:before="1" w:beforeAutospacing="0" w:after="0" w:afterAutospacing="0"/>
              <w:ind w:left="409" w:right="0"/>
              <w:rPr>
                <w:rFonts w:hint="default"/>
                <w:sz w:val="24"/>
              </w:rPr>
            </w:pPr>
            <w:r>
              <w:rPr>
                <w:rFonts w:hint="default"/>
                <w:sz w:val="24"/>
              </w:rPr>
              <w:t>联系方式</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联系人</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电话</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vMerge w:val="continue"/>
            <w:tcBorders>
              <w:top w:val="nil"/>
              <w:bottom w:val="single" w:color="000000" w:sz="6" w:space="0"/>
              <w:right w:val="single" w:color="000000" w:sz="6" w:space="0"/>
            </w:tcBorders>
          </w:tcPr>
          <w:p>
            <w:pPr>
              <w:keepNext w:val="0"/>
              <w:keepLines w:val="0"/>
              <w:suppressLineNumbers w:val="0"/>
              <w:spacing w:before="0" w:beforeAutospacing="0" w:after="0" w:afterAutospacing="0"/>
              <w:ind w:left="0" w:right="0"/>
              <w:rPr>
                <w:rFonts w:hint="default"/>
                <w:sz w:val="2"/>
                <w:szCs w:val="2"/>
              </w:rPr>
            </w:pP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213" w:right="131"/>
              <w:jc w:val="center"/>
              <w:rPr>
                <w:rFonts w:hint="default"/>
                <w:sz w:val="24"/>
              </w:rPr>
            </w:pPr>
            <w:r>
              <w:rPr>
                <w:rFonts w:hint="default"/>
                <w:sz w:val="24"/>
              </w:rPr>
              <w:t>传真</w:t>
            </w:r>
          </w:p>
        </w:tc>
        <w:tc>
          <w:tcPr>
            <w:tcW w:w="2852"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300" w:right="216"/>
              <w:jc w:val="center"/>
              <w:rPr>
                <w:rFonts w:hint="default"/>
                <w:sz w:val="24"/>
              </w:rPr>
            </w:pPr>
            <w:r>
              <w:rPr>
                <w:rFonts w:hint="default"/>
                <w:sz w:val="24"/>
              </w:rPr>
              <w:t>网址</w:t>
            </w:r>
          </w:p>
        </w:tc>
        <w:tc>
          <w:tcPr>
            <w:tcW w:w="2604" w:type="dxa"/>
            <w:gridSpan w:val="2"/>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3" w:beforeAutospacing="0" w:after="0" w:afterAutospacing="0"/>
              <w:ind w:left="149" w:right="82"/>
              <w:jc w:val="center"/>
              <w:rPr>
                <w:rFonts w:hint="default"/>
                <w:sz w:val="24"/>
              </w:rPr>
            </w:pPr>
            <w:r>
              <w:rPr>
                <w:rFonts w:hint="default"/>
                <w:sz w:val="24"/>
              </w:rPr>
              <w:t>组织结构</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法定代表人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sz w:val="24"/>
              </w:rPr>
            </w:pPr>
            <w:r>
              <w:rPr>
                <w:rFonts w:hint="default"/>
                <w:sz w:val="24"/>
              </w:rPr>
              <w:t>技术负责人</w:t>
            </w:r>
          </w:p>
        </w:tc>
        <w:tc>
          <w:tcPr>
            <w:tcW w:w="1119"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13" w:right="131"/>
              <w:jc w:val="center"/>
              <w:rPr>
                <w:rFonts w:hint="default"/>
                <w:sz w:val="24"/>
              </w:rPr>
            </w:pPr>
            <w:r>
              <w:rPr>
                <w:rFonts w:hint="default"/>
                <w:sz w:val="24"/>
              </w:rPr>
              <w:t>姓名</w:t>
            </w:r>
          </w:p>
        </w:tc>
        <w:tc>
          <w:tcPr>
            <w:tcW w:w="1405"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44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257" w:right="175"/>
              <w:jc w:val="center"/>
              <w:rPr>
                <w:rFonts w:hint="default"/>
                <w:sz w:val="24"/>
              </w:rPr>
            </w:pPr>
            <w:r>
              <w:rPr>
                <w:rFonts w:hint="default"/>
                <w:sz w:val="24"/>
              </w:rPr>
              <w:t>技术职称</w:t>
            </w:r>
          </w:p>
        </w:tc>
        <w:tc>
          <w:tcPr>
            <w:tcW w:w="1537"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1356" w:type="dxa"/>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4" w:beforeAutospacing="0" w:after="0" w:afterAutospacing="0"/>
              <w:ind w:left="0" w:right="380"/>
              <w:jc w:val="right"/>
              <w:rPr>
                <w:rFonts w:hint="default"/>
                <w:sz w:val="24"/>
              </w:rPr>
            </w:pPr>
            <w:r>
              <w:rPr>
                <w:rFonts w:hint="default"/>
                <w:sz w:val="24"/>
              </w:rPr>
              <w:t>电话</w:t>
            </w:r>
          </w:p>
        </w:tc>
        <w:tc>
          <w:tcPr>
            <w:tcW w:w="1248" w:type="dxa"/>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成立时间</w:t>
            </w:r>
          </w:p>
        </w:tc>
        <w:tc>
          <w:tcPr>
            <w:tcW w:w="2524" w:type="dxa"/>
            <w:gridSpan w:val="2"/>
            <w:tcBorders>
              <w:top w:val="single" w:color="000000" w:sz="6" w:space="0"/>
              <w:left w:val="single" w:color="000000" w:sz="6" w:space="0"/>
              <w:bottom w:val="single" w:color="000000" w:sz="6" w:space="0"/>
              <w:righ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c>
          <w:tcPr>
            <w:tcW w:w="5588" w:type="dxa"/>
            <w:gridSpan w:val="4"/>
            <w:tcBorders>
              <w:top w:val="single" w:color="000000" w:sz="6" w:space="0"/>
              <w:left w:val="single" w:color="000000" w:sz="6" w:space="0"/>
              <w:bottom w:val="single" w:color="000000" w:sz="6" w:space="0"/>
            </w:tcBorders>
          </w:tcPr>
          <w:p>
            <w:pPr>
              <w:pStyle w:val="25"/>
              <w:keepNext w:val="0"/>
              <w:keepLines w:val="0"/>
              <w:suppressLineNumbers w:val="0"/>
              <w:spacing w:before="2" w:beforeAutospacing="0" w:after="0" w:afterAutospacing="0"/>
              <w:ind w:left="1822" w:right="0"/>
              <w:rPr>
                <w:rFonts w:hint="default"/>
                <w:sz w:val="24"/>
              </w:rPr>
            </w:pPr>
            <w:r>
              <w:rPr>
                <w:rFonts w:hint="default"/>
                <w:sz w:val="24"/>
              </w:rPr>
              <w:t>员工总人数：</w:t>
            </w: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1"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2" w:beforeAutospacing="0" w:after="0" w:afterAutospacing="0"/>
              <w:ind w:left="149" w:right="82"/>
              <w:jc w:val="center"/>
              <w:rPr>
                <w:rFonts w:hint="default"/>
                <w:sz w:val="24"/>
              </w:rPr>
            </w:pPr>
            <w:r>
              <w:rPr>
                <w:rFonts w:hint="default"/>
                <w:sz w:val="24"/>
              </w:rPr>
              <w:t>企业资质等级</w:t>
            </w:r>
          </w:p>
        </w:tc>
        <w:tc>
          <w:tcPr>
            <w:tcW w:w="8112" w:type="dxa"/>
            <w:gridSpan w:val="6"/>
            <w:tcBorders>
              <w:top w:val="single" w:color="000000" w:sz="6"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8" w:beforeAutospacing="0" w:after="0" w:afterAutospacing="0"/>
              <w:ind w:left="149" w:right="82"/>
              <w:jc w:val="center"/>
              <w:rPr>
                <w:rFonts w:hint="default"/>
                <w:sz w:val="24"/>
              </w:rPr>
            </w:pPr>
            <w:r>
              <w:rPr>
                <w:rFonts w:hint="default"/>
                <w:sz w:val="24"/>
              </w:rPr>
              <w:t>营业执照号</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7"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注册资金</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6"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7" w:beforeAutospacing="0" w:after="0" w:afterAutospacing="0"/>
              <w:ind w:left="149" w:right="82"/>
              <w:jc w:val="center"/>
              <w:rPr>
                <w:rFonts w:hint="default"/>
                <w:sz w:val="24"/>
              </w:rPr>
            </w:pPr>
            <w:r>
              <w:rPr>
                <w:rFonts w:hint="default"/>
                <w:sz w:val="24"/>
              </w:rPr>
              <w:t>开户银行</w:t>
            </w:r>
          </w:p>
        </w:tc>
        <w:tc>
          <w:tcPr>
            <w:tcW w:w="8112" w:type="dxa"/>
            <w:gridSpan w:val="6"/>
            <w:tcBorders>
              <w:top w:val="single" w:color="000000" w:sz="4" w:space="0"/>
              <w:left w:val="single" w:color="000000" w:sz="6" w:space="0"/>
              <w:bottom w:val="single" w:color="000000" w:sz="4"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70"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6" w:beforeAutospacing="0" w:after="0" w:afterAutospacing="0"/>
              <w:ind w:left="149" w:right="82"/>
              <w:jc w:val="center"/>
              <w:rPr>
                <w:rFonts w:hint="default"/>
                <w:sz w:val="24"/>
              </w:rPr>
            </w:pPr>
            <w:r>
              <w:rPr>
                <w:rFonts w:hint="default"/>
                <w:sz w:val="24"/>
              </w:rPr>
              <w:t>账号</w:t>
            </w:r>
          </w:p>
        </w:tc>
        <w:tc>
          <w:tcPr>
            <w:tcW w:w="8112" w:type="dxa"/>
            <w:gridSpan w:val="6"/>
            <w:tcBorders>
              <w:top w:val="single" w:color="000000" w:sz="4"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742" w:hRule="atLeast"/>
        </w:trPr>
        <w:tc>
          <w:tcPr>
            <w:tcW w:w="1742" w:type="dxa"/>
            <w:tcBorders>
              <w:top w:val="single" w:color="000000" w:sz="6" w:space="0"/>
              <w:bottom w:val="single" w:color="000000" w:sz="6" w:space="0"/>
              <w:right w:val="single" w:color="000000" w:sz="6" w:space="0"/>
            </w:tcBorders>
          </w:tcPr>
          <w:p>
            <w:pPr>
              <w:pStyle w:val="25"/>
              <w:keepNext w:val="0"/>
              <w:keepLines w:val="0"/>
              <w:suppressLineNumbers w:val="0"/>
              <w:spacing w:before="140" w:beforeAutospacing="0" w:after="0" w:afterAutospacing="0"/>
              <w:ind w:left="149" w:right="82"/>
              <w:jc w:val="center"/>
              <w:rPr>
                <w:rFonts w:hint="default"/>
                <w:sz w:val="24"/>
              </w:rPr>
            </w:pPr>
            <w:r>
              <w:rPr>
                <w:rFonts w:hint="default"/>
                <w:sz w:val="24"/>
              </w:rPr>
              <w:t>经营范围</w:t>
            </w:r>
          </w:p>
        </w:tc>
        <w:tc>
          <w:tcPr>
            <w:tcW w:w="8112" w:type="dxa"/>
            <w:gridSpan w:val="6"/>
            <w:tcBorders>
              <w:top w:val="single" w:color="000000" w:sz="6" w:space="0"/>
              <w:left w:val="single" w:color="000000" w:sz="6" w:space="0"/>
              <w:bottom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18" w:space="0"/>
            <w:left w:val="single" w:color="000000" w:sz="18" w:space="0"/>
            <w:bottom w:val="single" w:color="000000" w:sz="18" w:space="0"/>
            <w:right w:val="single" w:color="000000" w:sz="18" w:space="0"/>
            <w:insideH w:val="single" w:color="000000" w:sz="18" w:space="0"/>
            <w:insideV w:val="single" w:color="000000" w:sz="18" w:space="0"/>
          </w:tblBorders>
          <w:tblCellMar>
            <w:top w:w="0" w:type="dxa"/>
            <w:left w:w="0" w:type="dxa"/>
            <w:bottom w:w="0" w:type="dxa"/>
            <w:right w:w="0" w:type="dxa"/>
          </w:tblCellMar>
        </w:tblPrEx>
        <w:trPr>
          <w:trHeight w:val="465" w:hRule="atLeast"/>
        </w:trPr>
        <w:tc>
          <w:tcPr>
            <w:tcW w:w="1742" w:type="dxa"/>
            <w:tcBorders>
              <w:top w:val="single" w:color="000000" w:sz="6" w:space="0"/>
              <w:right w:val="single" w:color="000000" w:sz="6" w:space="0"/>
            </w:tcBorders>
          </w:tcPr>
          <w:p>
            <w:pPr>
              <w:pStyle w:val="25"/>
              <w:keepNext w:val="0"/>
              <w:keepLines w:val="0"/>
              <w:suppressLineNumbers w:val="0"/>
              <w:spacing w:before="4" w:beforeAutospacing="0" w:after="0" w:afterAutospacing="0"/>
              <w:ind w:left="149" w:right="82"/>
              <w:jc w:val="center"/>
              <w:rPr>
                <w:rFonts w:hint="default"/>
                <w:b/>
                <w:sz w:val="24"/>
              </w:rPr>
            </w:pPr>
            <w:r>
              <w:rPr>
                <w:rFonts w:hint="default"/>
                <w:b/>
                <w:sz w:val="24"/>
              </w:rPr>
              <w:t>备注</w:t>
            </w:r>
          </w:p>
        </w:tc>
        <w:tc>
          <w:tcPr>
            <w:tcW w:w="8112" w:type="dxa"/>
            <w:gridSpan w:val="6"/>
            <w:tcBorders>
              <w:top w:val="single" w:color="000000" w:sz="6" w:space="0"/>
              <w:left w:val="single" w:color="000000" w:sz="6" w:space="0"/>
            </w:tcBorders>
          </w:tcPr>
          <w:p>
            <w:pPr>
              <w:pStyle w:val="25"/>
              <w:keepNext w:val="0"/>
              <w:keepLines w:val="0"/>
              <w:suppressLineNumbers w:val="0"/>
              <w:spacing w:before="0" w:beforeAutospacing="0" w:after="0" w:afterAutospacing="0"/>
              <w:ind w:left="0" w:right="0"/>
              <w:rPr>
                <w:rFonts w:hint="default" w:ascii="Times New Roman"/>
              </w:rPr>
            </w:pPr>
          </w:p>
        </w:tc>
      </w:tr>
    </w:tbl>
    <w:p>
      <w:pPr>
        <w:pStyle w:val="8"/>
        <w:spacing w:before="10"/>
        <w:rPr>
          <w:b/>
          <w:sz w:val="32"/>
        </w:rPr>
      </w:pPr>
    </w:p>
    <w:p>
      <w:pPr>
        <w:pStyle w:val="8"/>
        <w:spacing w:before="1"/>
        <w:ind w:left="860"/>
      </w:pPr>
      <w:r>
        <w:t>注：</w:t>
      </w:r>
    </w:p>
    <w:p>
      <w:pPr>
        <w:pStyle w:val="24"/>
        <w:numPr>
          <w:ilvl w:val="0"/>
          <w:numId w:val="12"/>
        </w:numPr>
        <w:tabs>
          <w:tab w:val="left" w:pos="1101"/>
        </w:tabs>
        <w:spacing w:before="57" w:line="283" w:lineRule="auto"/>
        <w:ind w:right="419" w:firstLine="470"/>
        <w:rPr>
          <w:sz w:val="24"/>
        </w:rPr>
      </w:pPr>
      <w:r>
        <w:rPr>
          <w:spacing w:val="-3"/>
          <w:sz w:val="24"/>
        </w:rPr>
        <w:t>事业单位或团体组织根据实际情况提供此表信息，若未提供完善信息并不影响其申请文件的资质及效力。</w:t>
      </w:r>
    </w:p>
    <w:p>
      <w:pPr>
        <w:pStyle w:val="24"/>
        <w:numPr>
          <w:ilvl w:val="0"/>
          <w:numId w:val="12"/>
        </w:numPr>
        <w:tabs>
          <w:tab w:val="left" w:pos="1101"/>
        </w:tabs>
        <w:spacing w:line="307" w:lineRule="exact"/>
        <w:ind w:left="1100" w:hanging="243"/>
        <w:rPr>
          <w:sz w:val="24"/>
        </w:rPr>
      </w:pPr>
      <w:r>
        <w:rPr>
          <w:sz w:val="24"/>
        </w:rPr>
        <w:t>资格预审申请人对不存在项，填写“/”，并不影响其申请文件的资质及效力。</w:t>
      </w:r>
    </w:p>
    <w:p>
      <w:pPr>
        <w:pStyle w:val="8"/>
      </w:pPr>
    </w:p>
    <w:p>
      <w:pPr>
        <w:pStyle w:val="8"/>
        <w:keepNext w:val="0"/>
        <w:keepLines w:val="0"/>
        <w:pageBreakBefore w:val="0"/>
        <w:widowControl w:val="0"/>
        <w:tabs>
          <w:tab w:val="left" w:pos="2910"/>
          <w:tab w:val="left" w:pos="3867"/>
        </w:tabs>
        <w:kinsoku/>
        <w:wordWrap/>
        <w:overflowPunct/>
        <w:topLinePunct w:val="0"/>
        <w:autoSpaceDE w:val="0"/>
        <w:autoSpaceDN w:val="0"/>
        <w:bidi w:val="0"/>
        <w:adjustRightInd/>
        <w:snapToGrid/>
        <w:spacing w:line="560" w:lineRule="exact"/>
        <w:ind w:left="0" w:right="0" w:firstLine="960" w:firstLineChars="400"/>
        <w:textAlignment w:val="auto"/>
      </w:pPr>
      <w:r>
        <w:t>申请人名称：</w:t>
      </w:r>
      <w:r>
        <w:rPr>
          <w:u w:val="single"/>
        </w:rPr>
        <w:t xml:space="preserve"> </w:t>
      </w:r>
      <w:r>
        <w:rPr>
          <w:rFonts w:hint="eastAsia"/>
          <w:u w:val="single"/>
          <w:lang w:val="en-US" w:eastAsia="zh-CN"/>
        </w:rPr>
        <w:t xml:space="preserve">  </w:t>
      </w:r>
      <w:r>
        <w:rPr>
          <w:u w:val="single"/>
        </w:rPr>
        <w:tab/>
      </w:r>
      <w:r>
        <w:rPr>
          <w:rFonts w:hint="eastAsia"/>
          <w:u w:val="single"/>
          <w:lang w:val="en-US" w:eastAsia="zh-CN"/>
        </w:rPr>
        <w:t xml:space="preserve">    </w:t>
      </w:r>
      <w:r>
        <w:rPr>
          <w:u w:val="single"/>
        </w:rPr>
        <w:t>公章</w:t>
      </w:r>
      <w:r>
        <w:rPr>
          <w:rFonts w:hint="eastAsia"/>
          <w:u w:val="single"/>
          <w:lang w:val="en-US" w:eastAsia="zh-CN"/>
        </w:rPr>
        <w:t xml:space="preserve">   </w:t>
      </w:r>
      <w:r>
        <w:rPr>
          <w:u w:val="single"/>
        </w:rPr>
        <w:tab/>
      </w:r>
      <w:r>
        <w:rPr>
          <w:rFonts w:hint="eastAsia"/>
          <w:u w:val="single"/>
          <w:lang w:val="en-US" w:eastAsia="zh-CN"/>
        </w:rPr>
        <w:t xml:space="preserve">     </w:t>
      </w:r>
      <w: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left="0" w:right="0" w:firstLine="960" w:firstLineChars="400"/>
        <w:textAlignment w:val="auto"/>
        <w:rPr>
          <w:spacing w:val="-18"/>
        </w:rPr>
      </w:pPr>
      <w:r>
        <w:t>法定代表人/单位负责人（签字或盖个人名章）：</w:t>
      </w:r>
      <w:r>
        <w:rPr>
          <w:u w:val="single"/>
        </w:rPr>
        <w:t xml:space="preserve"> </w:t>
      </w:r>
      <w:r>
        <w:rPr>
          <w:u w:val="single"/>
        </w:rPr>
        <w:tab/>
      </w:r>
      <w:r>
        <w:rPr>
          <w:spacing w:val="-18"/>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rPr>
          <w:rFonts w:hint="eastAsia" w:ascii="Calibri" w:hAnsi="Calibri" w:eastAsia="宋体" w:cs="Times New Roman"/>
          <w:kern w:val="2"/>
          <w:sz w:val="21"/>
          <w:szCs w:val="22"/>
          <w:highlight w:val="white"/>
          <w:u w:val="none"/>
          <w:lang w:val="en-US" w:eastAsia="zh-CN" w:bidi="ar"/>
        </w:rPr>
      </w:pPr>
      <w:r>
        <w:rPr>
          <w:rFonts w:hint="eastAsia"/>
          <w:lang w:val="en-US" w:eastAsia="zh-CN"/>
        </w:rPr>
        <w:t>授权代表</w:t>
      </w:r>
      <w:r>
        <w:t>（签字或盖个人名章）：</w:t>
      </w:r>
      <w:r>
        <w:rPr>
          <w:u w:val="single"/>
        </w:rPr>
        <w:t xml:space="preserve"> </w:t>
      </w:r>
      <w:r>
        <w:rPr>
          <w:u w:val="single"/>
        </w:rPr>
        <w:tab/>
      </w:r>
      <w:r>
        <w:rPr>
          <w:rFonts w:hint="eastAsia"/>
          <w:u w:val="none"/>
          <w:lang w:eastAsia="zh-CN"/>
        </w:rPr>
        <w:t>。</w:t>
      </w:r>
    </w:p>
    <w:p>
      <w:pPr>
        <w:pStyle w:val="8"/>
        <w:keepNext w:val="0"/>
        <w:keepLines w:val="0"/>
        <w:pageBreakBefore w:val="0"/>
        <w:widowControl w:val="0"/>
        <w:tabs>
          <w:tab w:val="left" w:pos="1590"/>
          <w:tab w:val="left" w:pos="7887"/>
        </w:tabs>
        <w:kinsoku/>
        <w:wordWrap/>
        <w:overflowPunct/>
        <w:topLinePunct w:val="0"/>
        <w:autoSpaceDE w:val="0"/>
        <w:autoSpaceDN w:val="0"/>
        <w:bidi w:val="0"/>
        <w:adjustRightInd/>
        <w:snapToGrid/>
        <w:spacing w:line="560" w:lineRule="exact"/>
        <w:ind w:right="0" w:firstLine="960" w:firstLineChars="400"/>
        <w:textAlignment w:val="auto"/>
      </w:pPr>
      <w:r>
        <w:t>日</w:t>
      </w:r>
      <w:r>
        <w:rPr>
          <w:rFonts w:hint="eastAsia"/>
          <w:lang w:val="en-US" w:eastAsia="zh-CN"/>
        </w:rPr>
        <w:t xml:space="preserve"> </w:t>
      </w:r>
      <w:r>
        <w:t>期：XXX</w:t>
      </w:r>
      <w:r>
        <w:rPr>
          <w:spacing w:val="-60"/>
        </w:rPr>
        <w:t xml:space="preserve"> </w:t>
      </w:r>
      <w:r>
        <w:t>年</w:t>
      </w:r>
      <w:r>
        <w:rPr>
          <w:spacing w:val="-60"/>
        </w:rPr>
        <w:t xml:space="preserve"> </w:t>
      </w:r>
      <w:r>
        <w:t>XXX</w:t>
      </w:r>
      <w:r>
        <w:rPr>
          <w:spacing w:val="-60"/>
        </w:rPr>
        <w:t xml:space="preserve"> </w:t>
      </w:r>
      <w:r>
        <w:t>月</w:t>
      </w:r>
      <w:r>
        <w:rPr>
          <w:spacing w:val="-60"/>
        </w:rPr>
        <w:t xml:space="preserve"> </w:t>
      </w:r>
      <w:r>
        <w:t>XXX</w:t>
      </w:r>
      <w:r>
        <w:rPr>
          <w:spacing w:val="-60"/>
        </w:rPr>
        <w:t xml:space="preserve"> </w:t>
      </w:r>
      <w:r>
        <w:t>日。</w:t>
      </w:r>
    </w:p>
    <w:p>
      <w:pPr>
        <w:spacing w:line="350" w:lineRule="auto"/>
        <w:sectPr>
          <w:footerReference r:id="rId14" w:type="default"/>
          <w:pgSz w:w="11910" w:h="16840"/>
          <w:pgMar w:top="720" w:right="780" w:bottom="820" w:left="800" w:header="525" w:footer="635" w:gutter="0"/>
          <w:pgNumType w:fmt="decimal"/>
          <w:cols w:space="720" w:num="1"/>
        </w:sectPr>
      </w:pPr>
    </w:p>
    <w:p>
      <w:pPr>
        <w:pStyle w:val="8"/>
        <w:spacing w:before="2"/>
        <w:rPr>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6" name="组合 25"/>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5" name="直线 26"/>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5"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A42rxFSQIAAPYEAAAOAAAAZHJzL2Uyb0RvYy54bWylVMtuEzEU&#10;3SPxD5b3dJK0Cckoky6athsElQofcOPxzFjyS7aTSfYsWLLnN1jBgq9B/Q2uPZMEUiFFkMXEj+tz&#10;zznX1/PrrZJkw50XRhd0eDGghGtmSqHrgn54f/dqSokPoEuQRvOC7rin14uXL+atzfnINEaW3BEE&#10;0T5vbUGbEGyeZZ41XIG/MJZr3KyMUxBw6uqsdNAiupLZaDCYZK1xpXWGce9xddlt0h7RnQNoqkow&#10;vjRsrbgOHarjEgJK8o2wni4S26riLLyrKs8DkQVFpSF9MQmOV/GbLeaQ1w5sI1hPAc6hcKJJgdCY&#10;9AC1hABk7cQzKCWYM95U4YIZlXVCkiOoYjg48ebembVNWuq8re3BdCzUiev/DMvebh4cEWVBRxNK&#10;NCis+NP3jz8/fyKjcXSntXWOQffOPtoH1y/U3SwK3lZOxX+UQrbJ193BV74NhOHiZDC9nF2OKWG4&#10;Nxt3wJCzBmvz7BBrbvtjs/F02J0ZJirZPlsWSR04tBYvoj+64//PnccGLE+m+yh87w6y79358vXp&#10;2w+CdiUzUtCN7q3xuUeX/urL6+6+7X05CkwX8aAPcut8uOdGkTgoqBQ6UoIcNm98wLwYug+Jy1KT&#10;Fp0dXl2hX4BNWWEz4FBZLKzXdTrrjRTlnZAynvCuXt1IRzYQGyP9IjfE/SMsJlmCb7q4tNVJaDiU&#10;t7okYWfxxmh8KWikoHhJieT4sMQRAkIeQMhzIjG11MgglrMzMY5Wptwlb9M6ljlFpHZIbPvWjf32&#10;+zxFHZ+r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ONq8RUkCAAD2BAAADgAAAAAAAAAB&#10;ACAAAAAjAQAAZHJzL2Uyb0RvYy54bWxQSwUGAAAAAAYABgBZAQAA3gUAAAAA&#10;">
                <o:lock v:ext="edit" aspectratio="f"/>
                <v:line id="直线 26" o:spid="_x0000_s1026" o:spt="20" style="position:absolute;left:0;top:7;height:0;width:9581;" filled="f" stroked="t" coordsize="21600,21600" o:gfxdata="UEsDBAoAAAAAAIdO4kAAAAAAAAAAAAAAAAAEAAAAZHJzL1BLAwQUAAAACACHTuJAJcQVKr0AAADb&#10;AAAADwAAAGRycy9kb3ducmV2LnhtbEWPQWsCMRSE70L/Q3hCb5pVqJat0YOsIKWHuvYHPDavm+Dm&#10;Zdm8utZf3xQKPQ4z8w2z2d1Cp640JB/ZwGJegCJuovXcGvg4H2bPoJIgW+wik4FvSrDbPkw2WNo4&#10;8omutbQqQziVaMCJ9KXWqXEUMM1jT5y9zzgElCyHVtsBxwwPnV4WxUoH9JwXHPa0d9Rc6q9goH5/&#10;G1ev9/tYrWuPScS7qtob8zhdFC+ghG7yH/5rH62B5RP8fsk/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xBUq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8"/>
        <w:spacing w:before="2"/>
        <w:rPr>
          <w:sz w:val="3"/>
        </w:rPr>
      </w:pPr>
      <w:bookmarkStart w:id="92" w:name="九、申请人诚信情况承诺函"/>
      <w:bookmarkEnd w:id="92"/>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28" name="组合 27"/>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7" name="直线 28"/>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7"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z1+cSSQIAAPYEAAAOAAAAZHJzL2Uyb0RvYy54bWyllM1uEzEQ&#10;x+9IvIPlO9kkbdpklU0PTZsLgkqFB5h4vbuW/CXbySZ3Dhy58xqc4NCnQX0Nxt58QCqkCHLY+GM8&#10;M//feDy92ShJ1tx5YXRBB70+JVwzUwpdF/Tjh/s3Y0p8AF2CNJoXdMs9vZm9fjVtbc6HpjGy5I6g&#10;E+3z1ha0CcHmWeZZwxX4nrFc42ZlnIKAU1dnpYMWvSuZDfv9q6w1rrTOMO49rs67Tbrz6M5xaKpK&#10;MD43bKW4Dp1XxyUElOQbYT2dpWyrirPwvqo8D0QWFJWG9MUgOF7GbzabQl47sI1guxTgnBRONCkQ&#10;GoMeXM0hAFk58cKVEswZb6rQY0ZlnZBEBFUM+idsFs6sbNJS521tD9CxUCfU/9kte7d+cESUBR1i&#10;3TUorPjzj08/v3wmw+tIp7V1jkYLZx/tg9st1N0sCt5UTsV/lEI2iev2wJVvAmG4eNUfX0wuRpQw&#10;3JuMhqMOO2uwNi8OseZud2wyGg+6M4N0IttHy2JShxxaixfRH+n4/6Pz2IDlCbqPwvd0rg90vn57&#10;/v5EEFeCkYxu9Q6Nzz1S+iuXRBTyPZejwHQRD/ogt86HBTeKxEFBpdAxJchh/dYHjIume5O4LDVp&#10;kezg8hJ5ATZlhc2AQ2WxsF7X6aw3UpT3Qsp4wrt6eSsdWUNsjPSLetDvH2YxyBx809mlra52DYfy&#10;TpckbC3eGI0vBY0pKF5SIjk+LHGEDiEPIOQ5lhhaaswglrODGEdLU24T27SOZU4WqR1StrvWjf32&#10;+zxZHZ+r2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A9zHhS1AAAAAMBAAAPAAAAAAAAAAEAIAAA&#10;ACIAAABkcnMvZG93bnJldi54bWxQSwECFAAUAAAACACHTuJAs9fnEkkCAAD2BAAADgAAAAAAAAAB&#10;ACAAAAAjAQAAZHJzL2Uyb0RvYy54bWxQSwUGAAAAAAYABgBZAQAA3gUAAAAA&#10;">
                <o:lock v:ext="edit" aspectratio="f"/>
                <v:line id="直线 28" o:spid="_x0000_s1026" o:spt="20" style="position:absolute;left:0;top:7;height:0;width:9581;" filled="f" stroked="t" coordsize="21600,21600" o:gfxdata="UEsDBAoAAAAAAIdO4kAAAAAAAAAAAAAAAAAEAAAAZHJzL1BLAwQUAAAACACHTuJAulouxrwAAADb&#10;AAAADwAAAGRycy9kb3ducmV2LnhtbEWPwWrDMBBE74X+g9hCb7WcHJLiRskhuBBKD4mbD1isrSVq&#10;rYy1idN8fVQo5DjMzBtmtbmEXp1pTD6ygVlRgiJuo/XcGTh+vb+8gkqCbLGPTAZ+KcFm/fiwwsrG&#10;iQ90bqRTGcKpQgNOZKi0Tq2jgKmIA3H2vuMYULIcO21HnDI89Hpelgsd0HNecDjQ1lH705yCgWb/&#10;OS0+rtepXjYek4h3db015vlpVr6BErrIPfzf3lkD8yX8fck/QK9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paLsa8AAAA&#10;2w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p>
      <w:pPr>
        <w:pStyle w:val="4"/>
        <w:spacing w:before="3"/>
        <w:ind w:right="184"/>
      </w:pPr>
      <w:bookmarkStart w:id="93" w:name="十、申请人认为需要提供的其他文件和资料"/>
      <w:bookmarkEnd w:id="93"/>
      <w:bookmarkStart w:id="94" w:name="_Toc7769"/>
      <w:bookmarkStart w:id="95" w:name="_Toc26582"/>
    </w:p>
    <w:p>
      <w:pPr>
        <w:pStyle w:val="4"/>
        <w:spacing w:before="3"/>
        <w:ind w:right="184"/>
      </w:pPr>
      <w:r>
        <w:t>十、申请人认为需要提供的其他文件和资料</w:t>
      </w:r>
      <w:bookmarkEnd w:id="94"/>
      <w:bookmarkEnd w:id="95"/>
    </w:p>
    <w:p>
      <w:pPr>
        <w:spacing w:before="247"/>
        <w:ind w:right="534"/>
        <w:jc w:val="center"/>
        <w:outlineLvl w:val="0"/>
        <w:rPr>
          <w:sz w:val="30"/>
        </w:rPr>
      </w:pPr>
      <w:bookmarkStart w:id="96" w:name="_Toc28736"/>
      <w:bookmarkStart w:id="97" w:name="_Toc24527"/>
      <w:bookmarkStart w:id="98" w:name="_Toc20092"/>
      <w:r>
        <w:rPr>
          <w:sz w:val="30"/>
        </w:rPr>
        <w:t>格式自拟</w:t>
      </w:r>
      <w:bookmarkEnd w:id="96"/>
      <w:bookmarkEnd w:id="97"/>
      <w:bookmarkEnd w:id="98"/>
    </w:p>
    <w:p>
      <w:pPr>
        <w:pStyle w:val="8"/>
        <w:rPr>
          <w:sz w:val="30"/>
        </w:rPr>
      </w:pPr>
    </w:p>
    <w:p>
      <w:pPr>
        <w:pStyle w:val="8"/>
        <w:rPr>
          <w:sz w:val="30"/>
        </w:rPr>
      </w:pPr>
    </w:p>
    <w:p>
      <w:pPr>
        <w:pStyle w:val="8"/>
        <w:rPr>
          <w:sz w:val="30"/>
        </w:rPr>
      </w:pPr>
    </w:p>
    <w:p>
      <w:pPr>
        <w:pStyle w:val="8"/>
        <w:spacing w:before="7"/>
        <w:rPr>
          <w:sz w:val="33"/>
        </w:rPr>
      </w:pPr>
    </w:p>
    <w:p>
      <w:pPr>
        <w:pStyle w:val="6"/>
        <w:spacing w:line="244" w:lineRule="auto"/>
        <w:ind w:right="301"/>
      </w:pPr>
      <w:bookmarkStart w:id="99" w:name="注：_供应商应按磋商文件第四章相关要求提供证明材料，_有格式要求的从其要求，无格"/>
      <w:bookmarkEnd w:id="99"/>
      <w:r>
        <w:t>注： 供应商应按磋商文件第四章相关要求提供证明材料， 有格式要求的从其要求，无格式要求的格式自拟，前面已提交证明材料的不再重复提交。</w:t>
      </w:r>
    </w:p>
    <w:p>
      <w:pPr>
        <w:spacing w:line="244" w:lineRule="auto"/>
        <w:sectPr>
          <w:pgSz w:w="11910" w:h="16840"/>
          <w:pgMar w:top="720" w:right="780" w:bottom="820" w:left="800" w:header="525" w:footer="635" w:gutter="0"/>
          <w:pgNumType w:fmt="decimal"/>
          <w:cols w:space="720" w:num="1"/>
        </w:sectPr>
      </w:pPr>
    </w:p>
    <w:p>
      <w:pPr>
        <w:pStyle w:val="8"/>
        <w:spacing w:before="2"/>
        <w:rPr>
          <w:b/>
          <w:sz w:val="3"/>
        </w:rPr>
      </w:pPr>
    </w:p>
    <w:p>
      <w:pPr>
        <w:pStyle w:val="8"/>
        <w:spacing w:line="20" w:lineRule="exact"/>
        <w:ind w:left="382"/>
        <w:rPr>
          <w:sz w:val="2"/>
        </w:rPr>
      </w:pPr>
      <w:r>
        <w:rPr>
          <w:sz w:val="2"/>
          <w:lang w:val="en-US" w:bidi="ar-SA"/>
        </w:rPr>
        <mc:AlternateContent>
          <mc:Choice Requires="wpg">
            <w:drawing>
              <wp:inline distT="0" distB="0" distL="114300" distR="114300">
                <wp:extent cx="6083935" cy="9525"/>
                <wp:effectExtent l="0" t="0" r="0" b="0"/>
                <wp:docPr id="30" name="组合 29"/>
                <wp:cNvGraphicFramePr/>
                <a:graphic xmlns:a="http://schemas.openxmlformats.org/drawingml/2006/main">
                  <a:graphicData uri="http://schemas.microsoft.com/office/word/2010/wordprocessingGroup">
                    <wpg:wgp>
                      <wpg:cNvGrpSpPr/>
                      <wpg:grpSpPr>
                        <a:xfrm>
                          <a:off x="0" y="0"/>
                          <a:ext cx="6083935" cy="9525"/>
                          <a:chOff x="0" y="0"/>
                          <a:chExt cx="9581" cy="15"/>
                        </a:xfrm>
                      </wpg:grpSpPr>
                      <wps:wsp>
                        <wps:cNvPr id="29" name="直线 30"/>
                        <wps:cNvCnPr/>
                        <wps:spPr>
                          <a:xfrm>
                            <a:off x="0" y="7"/>
                            <a:ext cx="9581" cy="0"/>
                          </a:xfrm>
                          <a:prstGeom prst="line">
                            <a:avLst/>
                          </a:prstGeom>
                          <a:ln w="9144" cap="flat" cmpd="sng">
                            <a:solidFill>
                              <a:srgbClr val="000000"/>
                            </a:solidFill>
                            <a:prstDash val="solid"/>
                            <a:headEnd type="none" w="med" len="med"/>
                            <a:tailEnd type="none" w="med" len="med"/>
                          </a:ln>
                        </wps:spPr>
                        <wps:bodyPr/>
                      </wps:wsp>
                    </wpg:wgp>
                  </a:graphicData>
                </a:graphic>
              </wp:inline>
            </w:drawing>
          </mc:Choice>
          <mc:Fallback>
            <w:pict>
              <v:group id="组合 29" o:spid="_x0000_s1026" o:spt="203" style="height:0.75pt;width:479.05pt;" coordsize="9581,15" o:gfxdata="UEsDBAoAAAAAAIdO4kAAAAAAAAAAAAAAAAAEAAAAZHJzL1BLAwQUAAAACACHTuJAPcx4UtQAAAAD&#10;AQAADwAAAGRycy9kb3ducmV2LnhtbE2PQUvDQBCF74L/YRnBm91EibQxmyJFPRXBVpDeptlpEpqd&#10;Ddlt0v57Ry96eTC8x3vfFMuz69RIQ2g9G0hnCSjiytuWawOf29e7OagQkS12nsnAhQIsy+urAnPr&#10;J/6gcRNrJSUccjTQxNjnWoeqIYdh5nti8Q5+cBjlHGptB5yk3HX6PkketcOWZaHBnlYNVcfNyRl4&#10;m3B6fkhfxvXxsLrsttn71zolY25v0uQJVKRz/AvDD76gQylMe39iG1RnQB6JvyreIpunoPYSykCX&#10;hf7PXn4DUEsDBBQAAAAIAIdO4kC+LhxCSAIAAPYEAAAOAAAAZHJzL2Uyb0RvYy54bWyllMuO0zAU&#10;hvdIvIPlPU0v02EaNZ3FdKYbBCMNPIDHcRJLvsnHbdo9C5bseQ1WsOBp0LwGx07aQkdIFXSROva5&#10;/d/J8fx6qxXZCA/SmoKOBkNKhOG2lKYu6If3d6+uKIHATMmUNaKgOwH0evHyxbx1uRjbxqpSeIJB&#10;DOStK2gTgsuzDHgjNIOBdcLgYWW9ZgFffZ2VnrUYXatsPBxeZq31pfOWCwDcXXaHtI/ozwloq0py&#10;sbR8rYUJXVQvFAsoCRrpgC5StVUleHhXVSACUQVFpSE9MQmuH+MzW8xZXnvmGsn7Etg5JZxo0kwa&#10;THoItWSBkbWXz0Jpyb0FW4UBtzrrhCQiqGI0PGGz8nbtkpY6b2t3gI6NOqH+z2H52829J7Is6ASR&#10;GKax40/fP/78/ImMZ5FO6+ocjVbePbh732/U3VsUvK28jv8ohWwT192Bq9gGwnHzcng1mU2mlHA8&#10;m03H0w47b7A3z5x4c9u7zaZXo85nlDyyfbYsFnWooXX4IcKRDvwfnYeGOZGgQxTe00EYezpfvj59&#10;+0EQV4KRjG5MjwZyQEp/5fK6E77nchSYgh30sdx5CCthNYmLgippYkksZ5s3EDAvmu5N4rYypEWy&#10;o4sL5MVwKCscBlxqh40FUydfsEqWd1Kp6AG+frxRnmxYHIz0i7Vh3D/MYpIlg6azS0edhEaw8taU&#10;JOwcfjEGbwoaS9CipEQJvFjiCgOyPDCpzrHE1MpgBbGdHcS4erTlLrFN+9jmZJHGIVXbj26ct9/f&#10;k9Xxulr8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D3MeFLUAAAAAwEAAA8AAAAAAAAAAQAgAAAA&#10;IgAAAGRycy9kb3ducmV2LnhtbFBLAQIUABQAAAAIAIdO4kC+LhxCSAIAAPYEAAAOAAAAAAAAAAEA&#10;IAAAACMBAABkcnMvZTJvRG9jLnhtbFBLBQYAAAAABgAGAFkBAADdBQAAAAA=&#10;">
                <o:lock v:ext="edit" aspectratio="f"/>
                <v:line id="直线 30" o:spid="_x0000_s1026" o:spt="20" style="position:absolute;left:0;top:7;height:0;width:9581;" filled="f" stroked="t" coordsize="21600,21600" o:gfxdata="UEsDBAoAAAAAAIdO4kAAAAAAAAAAAAAAAAAEAAAAZHJzL1BLAwQUAAAACACHTuJApIkfL70AAADb&#10;AAAADwAAAGRycy9kb3ducmV2LnhtbEWPwW7CMBBE75X6D9Yi9VYcOFCaYjigVKoqDiX0A1bxNraI&#10;11G8JZSvr5GQOI5m5o1mtTmHTp1oSD6ygdm0AEXcROu5NfB9eH9egkqCbLGLTAb+KMFm/fiwwtLG&#10;kfd0qqVVGcKpRANOpC+1To2jgGkae+Ls/cQhoGQ5tNoOOGZ46PS8KBY6oOe84LCnraPmWP8GA/XX&#10;blx8Xi5j9VJ7TCLeVdXWmKfJrHgDJXSWe/jW/rAG5q9w/ZJ/gF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iR8vvQAA&#10;ANsAAAAPAAAAAAAAAAEAIAAAACIAAABkcnMvZG93bnJldi54bWxQSwECFAAUAAAACACHTuJAMy8F&#10;njsAAAA5AAAAEAAAAAAAAAABACAAAAAMAQAAZHJzL3NoYXBleG1sLnhtbFBLBQYAAAAABgAGAFsB&#10;AAC2AwAAAAA=&#10;">
                  <v:fill on="f" focussize="0,0"/>
                  <v:stroke weight="0.72pt" color="#000000" joinstyle="round"/>
                  <v:imagedata o:title=""/>
                  <o:lock v:ext="edit" aspectratio="f"/>
                </v:line>
                <w10:wrap type="none"/>
                <w10:anchorlock/>
              </v:group>
            </w:pict>
          </mc:Fallback>
        </mc:AlternateContent>
      </w:r>
    </w:p>
    <w:p>
      <w:pPr>
        <w:pStyle w:val="3"/>
        <w:spacing w:before="40"/>
        <w:ind w:right="187"/>
      </w:pPr>
      <w:bookmarkStart w:id="100" w:name="第七章_评审方法"/>
      <w:bookmarkEnd w:id="100"/>
      <w:bookmarkStart w:id="101" w:name="_Toc5962"/>
      <w:r>
        <w:t>第</w:t>
      </w:r>
      <w:r>
        <w:rPr>
          <w:rFonts w:hint="eastAsia"/>
        </w:rPr>
        <w:t>六</w:t>
      </w:r>
      <w:r>
        <w:t>章 评审方法</w:t>
      </w:r>
      <w:bookmarkEnd w:id="101"/>
    </w:p>
    <w:p>
      <w:pPr>
        <w:spacing w:before="278"/>
        <w:ind w:firstLine="482" w:firstLineChars="200"/>
        <w:rPr>
          <w:b/>
          <w:sz w:val="24"/>
        </w:rPr>
      </w:pPr>
      <w:r>
        <w:rPr>
          <w:b/>
          <w:sz w:val="24"/>
        </w:rPr>
        <w:t>一、总则</w:t>
      </w:r>
    </w:p>
    <w:p>
      <w:pPr>
        <w:pStyle w:val="24"/>
        <w:numPr>
          <w:ilvl w:val="0"/>
          <w:numId w:val="13"/>
        </w:numPr>
        <w:tabs>
          <w:tab w:val="left" w:pos="633"/>
        </w:tabs>
        <w:spacing w:before="156" w:line="362" w:lineRule="auto"/>
        <w:ind w:right="450" w:firstLine="0"/>
        <w:rPr>
          <w:sz w:val="24"/>
        </w:rPr>
      </w:pPr>
      <w:r>
        <w:rPr>
          <w:spacing w:val="-5"/>
          <w:sz w:val="24"/>
        </w:rPr>
        <w:t>根据《中华人民共和国政府采购法》、《中华人民共和国政府采购法实施条例》等法律规章，结合采购项目特点制定本资格预审审核标准和方法。</w:t>
      </w:r>
    </w:p>
    <w:p>
      <w:pPr>
        <w:pStyle w:val="24"/>
        <w:numPr>
          <w:ilvl w:val="0"/>
          <w:numId w:val="13"/>
        </w:numPr>
        <w:tabs>
          <w:tab w:val="left" w:pos="633"/>
        </w:tabs>
        <w:spacing w:before="2" w:line="362" w:lineRule="auto"/>
        <w:ind w:right="347" w:firstLine="0"/>
        <w:jc w:val="both"/>
        <w:rPr>
          <w:sz w:val="24"/>
        </w:rPr>
      </w:pPr>
      <w:r>
        <w:rPr>
          <w:spacing w:val="-4"/>
          <w:sz w:val="24"/>
        </w:rPr>
        <w:t>根据《中华人民共和国政府采购法》第二十三条规定，本次资格预审，由采购人依据资格</w:t>
      </w:r>
      <w:r>
        <w:rPr>
          <w:spacing w:val="-3"/>
          <w:sz w:val="24"/>
        </w:rPr>
        <w:t>预审文件的审查标准和程序，对申请人的申请文件进行资格预审，资格预审小组</w:t>
      </w:r>
      <w:r>
        <w:rPr>
          <w:spacing w:val="4"/>
          <w:sz w:val="24"/>
        </w:rPr>
        <w:t>（</w:t>
      </w:r>
      <w:r>
        <w:rPr>
          <w:spacing w:val="-3"/>
          <w:sz w:val="24"/>
        </w:rPr>
        <w:t>以下简称</w:t>
      </w:r>
      <w:r>
        <w:rPr>
          <w:sz w:val="24"/>
        </w:rPr>
        <w:t>审核小组）由采购人和采购代理机构人员共同组建；</w:t>
      </w:r>
    </w:p>
    <w:p>
      <w:pPr>
        <w:pStyle w:val="24"/>
        <w:numPr>
          <w:ilvl w:val="0"/>
          <w:numId w:val="13"/>
        </w:numPr>
        <w:tabs>
          <w:tab w:val="left" w:pos="631"/>
        </w:tabs>
        <w:spacing w:before="2"/>
        <w:ind w:left="630"/>
        <w:rPr>
          <w:sz w:val="24"/>
        </w:rPr>
      </w:pPr>
      <w:r>
        <w:rPr>
          <w:sz w:val="24"/>
        </w:rPr>
        <w:t>资格预审小组依法对申请人的资格进行审核。</w:t>
      </w:r>
    </w:p>
    <w:p>
      <w:pPr>
        <w:pStyle w:val="24"/>
        <w:numPr>
          <w:ilvl w:val="0"/>
          <w:numId w:val="13"/>
        </w:numPr>
        <w:tabs>
          <w:tab w:val="left" w:pos="633"/>
        </w:tabs>
        <w:spacing w:before="155" w:line="362" w:lineRule="auto"/>
        <w:ind w:right="450" w:firstLine="0"/>
        <w:rPr>
          <w:sz w:val="24"/>
        </w:rPr>
      </w:pPr>
      <w:r>
        <w:rPr>
          <w:spacing w:val="-5"/>
          <w:sz w:val="24"/>
        </w:rPr>
        <w:t>审核过程独立、保密。申请人非法干预审核过程的行为将导致其资格预审申请文件作为无</w:t>
      </w:r>
      <w:r>
        <w:rPr>
          <w:spacing w:val="-3"/>
          <w:sz w:val="24"/>
        </w:rPr>
        <w:t>效处理。</w:t>
      </w:r>
    </w:p>
    <w:p>
      <w:pPr>
        <w:pStyle w:val="24"/>
        <w:numPr>
          <w:ilvl w:val="0"/>
          <w:numId w:val="13"/>
        </w:numPr>
        <w:tabs>
          <w:tab w:val="left" w:pos="633"/>
        </w:tabs>
        <w:spacing w:before="5" w:line="364" w:lineRule="auto"/>
        <w:ind w:right="215" w:firstLine="0"/>
        <w:jc w:val="both"/>
        <w:rPr>
          <w:sz w:val="24"/>
        </w:rPr>
      </w:pPr>
      <w:r>
        <w:rPr>
          <w:spacing w:val="-10"/>
          <w:sz w:val="24"/>
        </w:rPr>
        <w:t>资格预审小组审核资格预审申请文件的响应性，对于申请人而言，除审核小组要求其澄清、说</w:t>
      </w:r>
      <w:r>
        <w:rPr>
          <w:spacing w:val="-20"/>
          <w:sz w:val="24"/>
        </w:rPr>
        <w:t xml:space="preserve">明或者更正而提供的资料外，仅依据资格预审申请文件本身的内容，而不寻求外部的证据。 </w:t>
      </w:r>
    </w:p>
    <w:p>
      <w:pPr>
        <w:pStyle w:val="24"/>
        <w:numPr>
          <w:ilvl w:val="0"/>
          <w:numId w:val="13"/>
        </w:numPr>
        <w:tabs>
          <w:tab w:val="left" w:pos="633"/>
        </w:tabs>
        <w:spacing w:before="5" w:line="364" w:lineRule="auto"/>
        <w:ind w:right="215" w:firstLine="0"/>
        <w:jc w:val="both"/>
        <w:rPr>
          <w:sz w:val="24"/>
        </w:rPr>
      </w:pPr>
      <w:r>
        <w:rPr>
          <w:spacing w:val="-6"/>
          <w:sz w:val="24"/>
        </w:rPr>
        <w:t>如通</w:t>
      </w:r>
      <w:r>
        <w:rPr>
          <w:spacing w:val="-11"/>
          <w:sz w:val="24"/>
        </w:rPr>
        <w:t xml:space="preserve">过资格预审的申请人不足 </w:t>
      </w:r>
      <w:r>
        <w:rPr>
          <w:sz w:val="24"/>
        </w:rPr>
        <w:t>3</w:t>
      </w:r>
      <w:r>
        <w:rPr>
          <w:spacing w:val="-19"/>
          <w:sz w:val="24"/>
        </w:rPr>
        <w:t xml:space="preserve"> 家的，由项目实施机构调整资格预审公告后重新组织资格预审。</w:t>
      </w:r>
    </w:p>
    <w:p>
      <w:pPr>
        <w:pStyle w:val="6"/>
        <w:spacing w:line="304" w:lineRule="exact"/>
      </w:pPr>
      <w:bookmarkStart w:id="102" w:name="二、审核程序"/>
      <w:bookmarkEnd w:id="102"/>
      <w:r>
        <w:t>二、审核程序</w:t>
      </w:r>
    </w:p>
    <w:p>
      <w:pPr>
        <w:pStyle w:val="24"/>
        <w:numPr>
          <w:ilvl w:val="0"/>
          <w:numId w:val="14"/>
        </w:numPr>
        <w:tabs>
          <w:tab w:val="left" w:pos="633"/>
        </w:tabs>
        <w:spacing w:before="146" w:line="362" w:lineRule="auto"/>
        <w:ind w:right="347" w:firstLine="0"/>
        <w:jc w:val="both"/>
      </w:pPr>
      <w:r>
        <w:rPr>
          <w:spacing w:val="-4"/>
          <w:sz w:val="24"/>
        </w:rPr>
        <w:t>审核小组应依据法律法规和本资格预审文件的规定，对资格预审申请文件是否按照规定要求提供资格证明材料、是否属于禁止参加资格预审的申请人等进行审查，以确定申请人是否</w:t>
      </w:r>
      <w:r>
        <w:rPr>
          <w:sz w:val="24"/>
        </w:rPr>
        <w:t>通过资格预审。</w:t>
      </w:r>
    </w:p>
    <w:p>
      <w:pPr>
        <w:pStyle w:val="24"/>
        <w:numPr>
          <w:ilvl w:val="0"/>
          <w:numId w:val="14"/>
        </w:numPr>
        <w:tabs>
          <w:tab w:val="left" w:pos="633"/>
        </w:tabs>
        <w:spacing w:before="146" w:line="362" w:lineRule="auto"/>
        <w:ind w:right="347" w:firstLine="0"/>
        <w:jc w:val="both"/>
        <w:rPr>
          <w:rFonts w:ascii="宋体" w:hAnsi="宋体" w:eastAsia="宋体" w:cs="宋体"/>
          <w:spacing w:val="-4"/>
          <w:sz w:val="24"/>
        </w:rPr>
      </w:pPr>
      <w:r>
        <w:rPr>
          <w:rFonts w:ascii="宋体" w:hAnsi="宋体" w:eastAsia="宋体" w:cs="宋体"/>
          <w:spacing w:val="-4"/>
          <w:sz w:val="24"/>
        </w:rPr>
        <w:t>审核小组依法对申请人的资格进行审核结束后，出具资格预审报告。</w:t>
      </w:r>
    </w:p>
    <w:p>
      <w:pPr>
        <w:pStyle w:val="24"/>
        <w:numPr>
          <w:ilvl w:val="0"/>
          <w:numId w:val="0"/>
        </w:numPr>
        <w:tabs>
          <w:tab w:val="left" w:pos="633"/>
        </w:tabs>
        <w:spacing w:before="146" w:line="362" w:lineRule="auto"/>
        <w:ind w:left="390" w:leftChars="0" w:right="347" w:rightChars="0"/>
        <w:jc w:val="both"/>
        <w:rPr>
          <w:b/>
          <w:sz w:val="22"/>
        </w:rPr>
      </w:pPr>
      <w:r>
        <w:rPr>
          <w:rFonts w:ascii="宋体" w:hAnsi="宋体" w:eastAsia="宋体" w:cs="宋体"/>
          <w:b/>
          <w:bCs/>
          <w:spacing w:val="-4"/>
          <w:sz w:val="24"/>
        </w:rPr>
        <w:t>三、资格预审审核标准</w:t>
      </w:r>
    </w:p>
    <w:tbl>
      <w:tblPr>
        <w:tblStyle w:val="19"/>
        <w:tblW w:w="9690" w:type="dxa"/>
        <w:tblInd w:w="3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8"/>
        <w:gridCol w:w="3457"/>
        <w:gridCol w:w="4601"/>
        <w:gridCol w:w="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trPr>
        <w:tc>
          <w:tcPr>
            <w:tcW w:w="818" w:type="dxa"/>
            <w:vAlign w:val="center"/>
          </w:tcPr>
          <w:p>
            <w:pPr>
              <w:pStyle w:val="25"/>
              <w:keepNext w:val="0"/>
              <w:keepLines w:val="0"/>
              <w:suppressLineNumbers w:val="0"/>
              <w:spacing w:before="74" w:beforeAutospacing="0" w:after="0" w:afterAutospacing="0"/>
              <w:ind w:left="153" w:right="134"/>
              <w:jc w:val="center"/>
              <w:rPr>
                <w:rFonts w:hint="default"/>
                <w:sz w:val="24"/>
              </w:rPr>
            </w:pPr>
            <w:r>
              <w:rPr>
                <w:rFonts w:hint="default"/>
                <w:sz w:val="24"/>
              </w:rPr>
              <w:t>序号</w:t>
            </w:r>
          </w:p>
        </w:tc>
        <w:tc>
          <w:tcPr>
            <w:tcW w:w="3457" w:type="dxa"/>
          </w:tcPr>
          <w:p>
            <w:pPr>
              <w:pStyle w:val="25"/>
              <w:keepNext w:val="0"/>
              <w:keepLines w:val="0"/>
              <w:suppressLineNumbers w:val="0"/>
              <w:spacing w:before="74" w:beforeAutospacing="0" w:after="0" w:afterAutospacing="0"/>
              <w:ind w:left="203" w:right="185"/>
              <w:jc w:val="center"/>
              <w:rPr>
                <w:rFonts w:hint="default"/>
                <w:sz w:val="24"/>
              </w:rPr>
            </w:pPr>
            <w:r>
              <w:rPr>
                <w:rFonts w:hint="default"/>
                <w:sz w:val="24"/>
              </w:rPr>
              <w:t>项目</w:t>
            </w:r>
          </w:p>
        </w:tc>
        <w:tc>
          <w:tcPr>
            <w:tcW w:w="4601" w:type="dxa"/>
          </w:tcPr>
          <w:p>
            <w:pPr>
              <w:pStyle w:val="25"/>
              <w:keepNext w:val="0"/>
              <w:keepLines w:val="0"/>
              <w:suppressLineNumbers w:val="0"/>
              <w:spacing w:before="74" w:beforeAutospacing="0" w:after="0" w:afterAutospacing="0"/>
              <w:ind w:left="680" w:right="661"/>
              <w:jc w:val="center"/>
              <w:rPr>
                <w:rFonts w:hint="default"/>
                <w:sz w:val="24"/>
              </w:rPr>
            </w:pPr>
            <w:r>
              <w:rPr>
                <w:rFonts w:hint="default"/>
                <w:sz w:val="24"/>
              </w:rPr>
              <w:t>合格条件</w:t>
            </w:r>
          </w:p>
        </w:tc>
        <w:tc>
          <w:tcPr>
            <w:tcW w:w="814" w:type="dxa"/>
          </w:tcPr>
          <w:p>
            <w:pPr>
              <w:pStyle w:val="25"/>
              <w:keepNext w:val="0"/>
              <w:keepLines w:val="0"/>
              <w:suppressLineNumbers w:val="0"/>
              <w:spacing w:before="74" w:beforeAutospacing="0" w:after="0" w:afterAutospacing="0"/>
              <w:ind w:left="170" w:right="0"/>
              <w:rPr>
                <w:rFonts w:hint="default"/>
                <w:sz w:val="24"/>
              </w:rPr>
            </w:pPr>
            <w:r>
              <w:rPr>
                <w:rFonts w:hint="default"/>
                <w:sz w:val="24"/>
              </w:rPr>
              <w:t>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818" w:type="dxa"/>
            <w:vAlign w:val="top"/>
          </w:tcPr>
          <w:p>
            <w:pPr>
              <w:pStyle w:val="25"/>
              <w:keepNext w:val="0"/>
              <w:keepLines w:val="0"/>
              <w:suppressLineNumbers w:val="0"/>
              <w:spacing w:before="0" w:beforeAutospacing="0" w:after="0" w:afterAutospacing="0" w:line="244" w:lineRule="auto"/>
              <w:ind w:left="0" w:right="198" w:rightChars="0"/>
              <w:jc w:val="center"/>
              <w:rPr>
                <w:rFonts w:hint="default"/>
                <w:sz w:val="24"/>
              </w:rPr>
            </w:pPr>
          </w:p>
          <w:p>
            <w:pPr>
              <w:pStyle w:val="25"/>
              <w:keepNext w:val="0"/>
              <w:keepLines w:val="0"/>
              <w:suppressLineNumbers w:val="0"/>
              <w:spacing w:before="0" w:beforeAutospacing="0" w:after="0" w:afterAutospacing="0" w:line="244" w:lineRule="auto"/>
              <w:ind w:left="0" w:leftChars="0" w:right="198" w:rightChars="0"/>
              <w:jc w:val="center"/>
              <w:rPr>
                <w:rFonts w:hint="default"/>
                <w:sz w:val="24"/>
              </w:rPr>
            </w:pPr>
            <w:r>
              <w:rPr>
                <w:rFonts w:hint="eastAsia"/>
                <w:sz w:val="24"/>
                <w:lang w:val="en-US" w:eastAsia="zh-CN"/>
              </w:rPr>
              <w:t xml:space="preserve"> 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参加本项目资格预审活动的申请人须为按要求报名成功的申请人</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1D41D5"/>
                <w:sz w:val="24"/>
                <w:highlight w:val="none"/>
              </w:rPr>
            </w:pPr>
            <w:r>
              <w:rPr>
                <w:rFonts w:hint="default" w:ascii="宋体" w:hAnsi="宋体" w:eastAsia="宋体" w:cs="宋体"/>
                <w:color w:val="000000" w:themeColor="text1"/>
                <w:sz w:val="22"/>
                <w:szCs w:val="21"/>
                <w:highlight w:val="none"/>
                <w:lang w:val="zh-CN" w:eastAsia="zh-CN"/>
                <w14:textFill>
                  <w14:solidFill>
                    <w14:schemeClr w14:val="tx1"/>
                  </w14:solidFill>
                </w14:textFill>
              </w:rPr>
              <w:t>由代理机构提供申请人获取资格预审文件情况的相关证明材料，申请人不用提供证明材料</w:t>
            </w:r>
            <w:r>
              <w:rPr>
                <w:rFonts w:hint="eastAsia" w:cs="宋体"/>
                <w:color w:val="000000" w:themeColor="text1"/>
                <w:sz w:val="22"/>
                <w:szCs w:val="21"/>
                <w:highlight w:val="none"/>
                <w:lang w:val="zh-CN" w:eastAsia="zh-CN"/>
                <w14:textFill>
                  <w14:solidFill>
                    <w14:schemeClr w14:val="tx1"/>
                  </w14:solidFill>
                </w14:textFill>
              </w:rPr>
              <w:t>。</w:t>
            </w:r>
          </w:p>
        </w:tc>
        <w:tc>
          <w:tcPr>
            <w:tcW w:w="814" w:type="dxa"/>
          </w:tcPr>
          <w:p>
            <w:pPr>
              <w:pStyle w:val="25"/>
              <w:keepNext w:val="0"/>
              <w:keepLines w:val="0"/>
              <w:suppressLineNumbers w:val="0"/>
              <w:spacing w:before="74" w:beforeAutospacing="0" w:after="0" w:afterAutospacing="0"/>
              <w:ind w:left="170" w:right="0"/>
              <w:rPr>
                <w:rFonts w:hint="default"/>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5" w:hRule="atLeast"/>
        </w:trPr>
        <w:tc>
          <w:tcPr>
            <w:tcW w:w="818" w:type="dxa"/>
            <w:vAlign w:val="center"/>
          </w:tcPr>
          <w:p>
            <w:pPr>
              <w:pStyle w:val="25"/>
              <w:keepNext w:val="0"/>
              <w:keepLines w:val="0"/>
              <w:suppressLineNumbers w:val="0"/>
              <w:spacing w:before="0" w:beforeAutospacing="0" w:after="0" w:afterAutospacing="0"/>
              <w:ind w:left="0" w:right="0"/>
              <w:jc w:val="center"/>
              <w:rPr>
                <w:rFonts w:hint="eastAsia" w:eastAsia="宋体"/>
                <w:sz w:val="24"/>
                <w:lang w:eastAsia="zh-CN"/>
              </w:rPr>
            </w:pPr>
            <w:r>
              <w:rPr>
                <w:rFonts w:hint="eastAsia"/>
                <w:sz w:val="24"/>
                <w:lang w:val="en-US" w:eastAsia="zh-CN"/>
              </w:rPr>
              <w:t>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具有独立承担民事责任的能力（按要求提供以下资料之一）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both"/>
              <w:rPr>
                <w:rFonts w:hint="default"/>
                <w:color w:val="0000FF"/>
                <w:lang w:val="en-US" w:eastAsia="zh-CN"/>
              </w:rPr>
            </w:pPr>
            <w:r>
              <w:rPr>
                <w:rFonts w:hint="default"/>
                <w:color w:val="0000FF"/>
                <w:sz w:val="24"/>
                <w:szCs w:val="24"/>
                <w:lang w:val="en-US" w:eastAsia="zh-CN"/>
              </w:rPr>
              <w:t>①供应商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818" w:type="dxa"/>
            <w:vAlign w:val="center"/>
          </w:tcPr>
          <w:p>
            <w:pPr>
              <w:pStyle w:val="25"/>
              <w:keepNext w:val="0"/>
              <w:keepLines w:val="0"/>
              <w:suppressLineNumbers w:val="0"/>
              <w:spacing w:before="148" w:beforeAutospacing="0" w:after="0" w:afterAutospacing="0"/>
              <w:ind w:left="19" w:leftChars="0" w:right="0" w:rightChars="0"/>
              <w:jc w:val="center"/>
              <w:rPr>
                <w:rFonts w:hint="default"/>
                <w:sz w:val="24"/>
              </w:rPr>
            </w:pPr>
            <w:r>
              <w:rPr>
                <w:rFonts w:hint="default"/>
                <w:sz w:val="24"/>
              </w:rPr>
              <w:t>3</w:t>
            </w:r>
          </w:p>
        </w:tc>
        <w:tc>
          <w:tcPr>
            <w:tcW w:w="3457" w:type="dxa"/>
            <w:vAlign w:val="center"/>
          </w:tcPr>
          <w:p>
            <w:pPr>
              <w:pStyle w:val="25"/>
              <w:keepNext w:val="0"/>
              <w:keepLines w:val="0"/>
              <w:suppressLineNumbers w:val="0"/>
              <w:spacing w:before="0" w:beforeAutospacing="0" w:after="0" w:afterAutospacing="0"/>
              <w:ind w:left="0" w:right="0" w:rightChars="0" w:firstLine="240" w:firstLineChars="10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具有良好的商业信誉</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1D41D5"/>
                <w:kern w:val="0"/>
                <w:sz w:val="24"/>
                <w:szCs w:val="22"/>
                <w:highlight w:val="none"/>
                <w:lang w:val="zh-CN" w:eastAsia="zh-CN" w:bidi="zh-CN"/>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right="0"/>
              <w:jc w:val="center"/>
              <w:rPr>
                <w:rFonts w:hint="eastAsia" w:eastAsia="宋体"/>
                <w:sz w:val="24"/>
                <w:lang w:eastAsia="zh-CN"/>
              </w:rPr>
            </w:pPr>
            <w:r>
              <w:rPr>
                <w:rFonts w:hint="eastAsia"/>
                <w:sz w:val="24"/>
                <w:lang w:val="en-US" w:eastAsia="zh-CN"/>
              </w:rPr>
              <w:t>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具有健全的财务会计制度（按要求提供以下资料之一）</w:t>
            </w:r>
          </w:p>
        </w:tc>
        <w:tc>
          <w:tcPr>
            <w:tcW w:w="4601" w:type="dxa"/>
            <w:vAlign w:val="center"/>
          </w:tcPr>
          <w:p>
            <w:pPr>
              <w:pStyle w:val="25"/>
              <w:keepNext w:val="0"/>
              <w:keepLines w:val="0"/>
              <w:suppressLineNumbers w:val="0"/>
              <w:spacing w:before="0" w:beforeAutospacing="0" w:after="0" w:afterAutospacing="0"/>
              <w:ind w:left="0" w:right="0" w:rightChars="0"/>
              <w:jc w:val="left"/>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①可提供近三年来经审计的任意一年的财务报告复印件②也可提供近三年来任意一年的供应商内部的财务报表复印件，③也可提供截至响应文件递交截止日一年内银行出具的资信证明（复印件），④供应商注册时间截至响应文件递交截止日不足一年的，也可提供在工商备案的公司章程（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具有履行合同所必需的设备和专业技术能力</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eastAsia" w:eastAsia="宋体"/>
                <w:sz w:val="24"/>
                <w:lang w:eastAsia="zh-CN"/>
              </w:rPr>
            </w:pPr>
            <w:r>
              <w:rPr>
                <w:rFonts w:hint="eastAsia"/>
                <w:sz w:val="24"/>
                <w:lang w:val="en-US" w:eastAsia="zh-CN"/>
              </w:rPr>
              <w:t>6</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具有依法缴纳税收和社会保障资金的良好记录</w:t>
            </w:r>
          </w:p>
        </w:tc>
        <w:tc>
          <w:tcPr>
            <w:tcW w:w="4601" w:type="dxa"/>
            <w:vAlign w:val="center"/>
          </w:tcPr>
          <w:p>
            <w:pPr>
              <w:pStyle w:val="25"/>
              <w:keepNext w:val="0"/>
              <w:keepLines w:val="0"/>
              <w:numPr>
                <w:ilvl w:val="0"/>
                <w:numId w:val="0"/>
              </w:numPr>
              <w:suppressLineNumbers w:val="0"/>
              <w:spacing w:before="0" w:beforeAutospacing="0" w:after="0" w:afterAutospacing="0"/>
              <w:ind w:left="0" w:right="0" w:rightChars="0"/>
              <w:jc w:val="both"/>
              <w:rPr>
                <w:rFonts w:hint="default" w:ascii="宋体" w:hAnsi="宋体" w:eastAsia="宋体" w:cs="宋体"/>
                <w:bCs/>
                <w:color w:val="auto"/>
                <w:sz w:val="24"/>
                <w:szCs w:val="24"/>
              </w:rPr>
            </w:pPr>
            <w:r>
              <w:rPr>
                <w:rFonts w:hint="default" w:ascii="宋体" w:hAnsi="宋体" w:eastAsia="宋体" w:cs="宋体"/>
                <w:bCs/>
                <w:color w:val="0000FF"/>
                <w:sz w:val="24"/>
                <w:szCs w:val="24"/>
              </w:rPr>
              <w:t>①可提供2021年以来任意3个月缴纳税收和社保的凭证，②也可提供具有依法缴纳税收和社会保障资金的良好记录承诺函）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19" w:beforeAutospacing="0" w:after="0" w:afterAutospacing="0"/>
              <w:ind w:left="0" w:right="0" w:rightChars="0"/>
              <w:jc w:val="center"/>
              <w:rPr>
                <w:rFonts w:hint="default"/>
                <w:sz w:val="24"/>
              </w:rPr>
            </w:pPr>
            <w:r>
              <w:rPr>
                <w:rFonts w:hint="eastAsia"/>
                <w:sz w:val="24"/>
                <w:lang w:val="en-US" w:eastAsia="zh-CN"/>
              </w:rPr>
              <w:t>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法定代表人/单位负责人身份证明原件、法定代表人/单位负责人身份证复印件（法定代表人/单位负责人投标适用）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1" w:beforeAutospacing="0" w:after="0" w:afterAutospacing="0"/>
              <w:ind w:left="0" w:leftChars="0" w:right="269" w:rightChars="0"/>
              <w:jc w:val="center"/>
              <w:rPr>
                <w:rFonts w:hint="default"/>
                <w:sz w:val="24"/>
              </w:rPr>
            </w:pPr>
            <w:r>
              <w:rPr>
                <w:rFonts w:hint="eastAsia"/>
                <w:sz w:val="24"/>
                <w:lang w:val="en-US" w:eastAsia="zh-CN"/>
              </w:rPr>
              <w:t xml:space="preserve">  8</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eastAsia" w:ascii="宋体" w:hAnsi="宋体" w:eastAsia="宋体" w:cs="宋体"/>
                <w:color w:val="000000" w:themeColor="text1"/>
                <w:sz w:val="24"/>
                <w:highlight w:val="none"/>
                <w:lang w:val="zh-CN" w:eastAsia="zh-CN"/>
                <w14:textFill>
                  <w14:solidFill>
                    <w14:schemeClr w14:val="tx1"/>
                  </w14:solidFill>
                </w14:textFill>
              </w:rPr>
              <w:t>法定代表人/单位负责人授权书原件、法定代表人/单位负责人身份证明原件、法定代表人/单位负责人身份证复印件及授权代表身份证复印件（非法定代表人/单位负责人投标适用）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符合资格预审文件要求</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9</w:t>
            </w:r>
          </w:p>
        </w:tc>
        <w:tc>
          <w:tcPr>
            <w:tcW w:w="3457" w:type="dxa"/>
            <w:vAlign w:val="center"/>
          </w:tcPr>
          <w:p>
            <w:pPr>
              <w:pStyle w:val="26"/>
              <w:keepNext w:val="0"/>
              <w:keepLines w:val="0"/>
              <w:suppressLineNumbers w:val="0"/>
              <w:spacing w:before="0" w:beforeAutospacing="0" w:after="0" w:afterAutospacing="0" w:line="360" w:lineRule="auto"/>
              <w:ind w:left="0" w:leftChars="0" w:right="0" w:firstLine="0" w:firstLineChars="0"/>
              <w:outlineLvl w:val="1"/>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szCs w:val="22"/>
                <w:highlight w:val="none"/>
                <w:lang w:val="zh-CN" w:eastAsia="zh-CN" w:bidi="zh-CN"/>
                <w14:textFill>
                  <w14:solidFill>
                    <w14:schemeClr w14:val="tx1"/>
                  </w14:solidFill>
                </w14:textFill>
              </w:rPr>
              <w:t>参加政府采购活动前三年内， 在经营活动中没有重大违法记录</w:t>
            </w:r>
          </w:p>
        </w:tc>
        <w:tc>
          <w:tcPr>
            <w:tcW w:w="4601" w:type="dxa"/>
            <w:vAlign w:val="center"/>
          </w:tcPr>
          <w:p>
            <w:pPr>
              <w:pStyle w:val="25"/>
              <w:keepNext w:val="0"/>
              <w:keepLines w:val="0"/>
              <w:suppressLineNumbers w:val="0"/>
              <w:spacing w:before="0" w:beforeAutospacing="0" w:after="0" w:afterAutospacing="0"/>
              <w:ind w:left="0" w:right="0" w:rightChars="0" w:firstLine="1440" w:firstLineChars="600"/>
              <w:jc w:val="both"/>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10</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不属于禁止参加政府采购活动的申请人承诺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rPr>
            </w:pPr>
            <w:r>
              <w:rPr>
                <w:rFonts w:hint="eastAsia"/>
                <w:sz w:val="24"/>
                <w:lang w:val="en-US" w:eastAsia="zh-CN"/>
              </w:rPr>
              <w:t xml:space="preserve">  11</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申请人诚信情况承诺</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zh-CN" w:eastAsia="zh-CN"/>
                <w14:textFill>
                  <w14:solidFill>
                    <w14:schemeClr w14:val="tx1"/>
                  </w14:solidFill>
                </w14:textFill>
              </w:rPr>
            </w:pPr>
            <w:r>
              <w:rPr>
                <w:rFonts w:hint="default" w:ascii="宋体" w:hAnsi="宋体" w:eastAsia="宋体" w:cs="宋体"/>
                <w:color w:val="000000" w:themeColor="text1"/>
                <w:sz w:val="24"/>
                <w:highlight w:val="none"/>
                <w:lang w:val="zh-CN" w:eastAsia="zh-CN"/>
                <w14:textFill>
                  <w14:solidFill>
                    <w14:schemeClr w14:val="tx1"/>
                  </w14:solidFill>
                </w14:textFill>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line="244" w:lineRule="auto"/>
              <w:ind w:left="0" w:leftChars="0" w:right="198" w:rightChars="0"/>
              <w:jc w:val="center"/>
              <w:rPr>
                <w:rFonts w:hint="default"/>
                <w:sz w:val="24"/>
                <w:lang w:val="en-US" w:eastAsia="zh-CN"/>
              </w:rPr>
            </w:pPr>
            <w:r>
              <w:rPr>
                <w:rFonts w:hint="eastAsia"/>
                <w:sz w:val="24"/>
                <w:lang w:val="en-US" w:eastAsia="zh-CN"/>
              </w:rPr>
              <w:t xml:space="preserve">  12</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宋体"/>
                <w:color w:val="auto"/>
                <w:sz w:val="24"/>
                <w:highlight w:val="none"/>
                <w:lang w:eastAsia="zh-CN"/>
              </w:rPr>
              <w:t>参加本次采购活动</w:t>
            </w:r>
            <w:r>
              <w:rPr>
                <w:rFonts w:hint="eastAsia" w:ascii="宋体" w:hAnsi="宋体" w:cs="宋体"/>
                <w:color w:val="auto"/>
                <w:sz w:val="24"/>
                <w:highlight w:val="none"/>
                <w:lang w:val="en-US" w:eastAsia="zh-CN"/>
              </w:rPr>
              <w:t>供应商及其现任法定代表人/主要负责人不得具有行贿犯罪记录</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lang w:val="en-US" w:eastAsia="zh-CN"/>
                <w14:textFill>
                  <w14:solidFill>
                    <w14:schemeClr w14:val="tx1"/>
                  </w14:solidFill>
                </w14:textFill>
              </w:rPr>
            </w:pPr>
            <w:r>
              <w:rPr>
                <w:rFonts w:hint="eastAsia" w:cs="宋体"/>
                <w:color w:val="auto"/>
                <w:sz w:val="24"/>
                <w:highlight w:val="none"/>
                <w:lang w:val="en-US" w:eastAsia="zh-CN"/>
              </w:rPr>
              <w:t>提供承诺函原件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13</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rPr>
              <w:t>具有建设行政主管部门核发的水利水电施工总承包叁级及以上资质</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eastAsia" w:ascii="宋体" w:hAnsi="宋体" w:cs="仿宋"/>
                <w:color w:val="0000FF"/>
                <w:sz w:val="24"/>
                <w:lang w:eastAsia="zh-CN"/>
              </w:rPr>
              <w:t>提供证书复印件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14</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default" w:ascii="宋体" w:hAnsi="宋体" w:eastAsia="宋体" w:cs="宋体"/>
                <w:color w:val="0000FF"/>
                <w:sz w:val="24"/>
                <w:highlight w:val="none"/>
              </w:rPr>
              <w:t>具备有效的《安全生产许可证》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00" w:themeColor="text1"/>
                <w:sz w:val="24"/>
                <w:highlight w:val="none"/>
                <w14:textFill>
                  <w14:solidFill>
                    <w14:schemeClr w14:val="tx1"/>
                  </w14:solidFill>
                </w14:textFill>
              </w:rPr>
            </w:pPr>
            <w:r>
              <w:rPr>
                <w:rFonts w:hint="default" w:ascii="宋体" w:hAnsi="宋体" w:eastAsia="宋体" w:cs="宋体"/>
                <w:color w:val="0000FF"/>
                <w:sz w:val="24"/>
                <w:highlight w:val="none"/>
              </w:rPr>
              <w:t>提供证书复印件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15</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default" w:ascii="宋体" w:hAnsi="宋体" w:eastAsia="宋体" w:cs="宋体"/>
                <w:color w:val="0000FF"/>
                <w:sz w:val="24"/>
                <w:highlight w:val="none"/>
              </w:rPr>
            </w:pPr>
            <w:r>
              <w:rPr>
                <w:rFonts w:hint="eastAsia" w:ascii="宋体" w:hAnsi="宋体" w:cs="宋体"/>
                <w:color w:val="0000FF"/>
                <w:kern w:val="0"/>
                <w:sz w:val="24"/>
                <w:lang w:val="zh-CN" w:eastAsia="zh-CN"/>
              </w:rPr>
              <w:t>供应商企业注册地不在四川省行政区域内的，须提供四川省省外企业具备有效期内的《四川省省外建筑企业入川承揽业务验证登记证》或《四川省省外建筑企业入川承揽业务信息录入证》或《四川省省外建筑企业入川信息电子登记表》或《四川省省外建筑企业入川从事建筑活动备案证》</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default" w:ascii="宋体" w:hAnsi="宋体" w:eastAsia="宋体" w:cs="宋体"/>
                <w:color w:val="0000FF"/>
                <w:sz w:val="24"/>
                <w:highlight w:val="none"/>
                <w:lang w:val="en-US" w:eastAsia="zh-CN"/>
              </w:rPr>
            </w:pPr>
            <w:r>
              <w:rPr>
                <w:rFonts w:hint="eastAsia" w:ascii="宋体" w:hAnsi="宋体" w:eastAsia="宋体" w:cs="宋体"/>
                <w:bCs/>
                <w:color w:val="0000FF"/>
                <w:sz w:val="24"/>
                <w:szCs w:val="24"/>
              </w:rPr>
              <w:t>提供</w:t>
            </w:r>
            <w:r>
              <w:rPr>
                <w:rFonts w:hint="eastAsia" w:cs="宋体"/>
                <w:bCs/>
                <w:color w:val="0000FF"/>
                <w:sz w:val="24"/>
                <w:szCs w:val="24"/>
                <w:lang w:val="en-US" w:eastAsia="zh-CN"/>
              </w:rPr>
              <w:t>证书</w:t>
            </w:r>
            <w:r>
              <w:rPr>
                <w:rFonts w:hint="eastAsia" w:ascii="宋体" w:hAnsi="宋体" w:eastAsia="宋体" w:cs="宋体"/>
                <w:bCs/>
                <w:color w:val="0000FF"/>
                <w:sz w:val="24"/>
                <w:szCs w:val="24"/>
              </w:rPr>
              <w:t>复印件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sz w:val="24"/>
                <w:szCs w:val="22"/>
                <w:lang w:val="en-US" w:eastAsia="zh-CN" w:bidi="zh-CN"/>
              </w:rPr>
            </w:pPr>
            <w:r>
              <w:rPr>
                <w:rFonts w:hint="eastAsia"/>
                <w:sz w:val="24"/>
                <w:lang w:val="en-US" w:eastAsia="zh-CN"/>
              </w:rPr>
              <w:t>16</w:t>
            </w:r>
          </w:p>
        </w:tc>
        <w:tc>
          <w:tcPr>
            <w:tcW w:w="3457" w:type="dxa"/>
            <w:vAlign w:val="center"/>
          </w:tcPr>
          <w:p>
            <w:pPr>
              <w:pStyle w:val="25"/>
              <w:keepNext w:val="0"/>
              <w:keepLines w:val="0"/>
              <w:suppressLineNumbers w:val="0"/>
              <w:spacing w:before="0" w:beforeAutospacing="0" w:after="0" w:afterAutospacing="0"/>
              <w:ind w:left="0" w:leftChars="0" w:right="0" w:rightChars="0"/>
              <w:jc w:val="both"/>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专门面向中小企业采购</w:t>
            </w:r>
          </w:p>
        </w:tc>
        <w:tc>
          <w:tcPr>
            <w:tcW w:w="4601" w:type="dxa"/>
            <w:vAlign w:val="center"/>
          </w:tcPr>
          <w:p>
            <w:pPr>
              <w:pStyle w:val="25"/>
              <w:keepNext w:val="0"/>
              <w:keepLines w:val="0"/>
              <w:suppressLineNumbers w:val="0"/>
              <w:spacing w:before="0" w:beforeAutospacing="0" w:after="0" w:afterAutospacing="0"/>
              <w:ind w:left="0" w:leftChars="0" w:right="0" w:rightChars="0"/>
              <w:jc w:val="center"/>
              <w:rPr>
                <w:rFonts w:hint="default" w:ascii="宋体" w:hAnsi="宋体" w:eastAsia="宋体" w:cs="宋体"/>
                <w:color w:val="auto"/>
                <w:sz w:val="24"/>
                <w:szCs w:val="22"/>
                <w:highlight w:val="none"/>
                <w:lang w:val="zh-CN" w:eastAsia="zh-CN" w:bidi="zh-CN"/>
              </w:rPr>
            </w:pPr>
            <w:r>
              <w:rPr>
                <w:rFonts w:hint="eastAsia" w:ascii="宋体" w:hAnsi="宋体" w:eastAsia="宋体" w:cs="宋体"/>
                <w:color w:val="auto"/>
                <w:sz w:val="24"/>
                <w:szCs w:val="24"/>
                <w:lang w:val="en-US" w:eastAsia="zh-CN"/>
              </w:rPr>
              <w:t>提供中小企业声明函</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818" w:type="dxa"/>
            <w:vAlign w:val="center"/>
          </w:tcPr>
          <w:p>
            <w:pPr>
              <w:pStyle w:val="25"/>
              <w:keepNext w:val="0"/>
              <w:keepLines w:val="0"/>
              <w:suppressLineNumbers w:val="0"/>
              <w:spacing w:before="0" w:beforeAutospacing="0" w:after="0" w:afterAutospacing="0"/>
              <w:ind w:left="0" w:right="0" w:rightChars="0"/>
              <w:jc w:val="center"/>
              <w:rPr>
                <w:rFonts w:hint="default"/>
                <w:sz w:val="24"/>
                <w:lang w:val="en-US" w:eastAsia="zh-CN"/>
              </w:rPr>
            </w:pPr>
            <w:r>
              <w:rPr>
                <w:rFonts w:hint="eastAsia"/>
                <w:sz w:val="24"/>
                <w:lang w:val="en-US" w:eastAsia="zh-CN"/>
              </w:rPr>
              <w:t>17</w:t>
            </w:r>
          </w:p>
        </w:tc>
        <w:tc>
          <w:tcPr>
            <w:tcW w:w="3457" w:type="dxa"/>
            <w:vAlign w:val="center"/>
          </w:tcPr>
          <w:p>
            <w:pPr>
              <w:pStyle w:val="25"/>
              <w:keepNext w:val="0"/>
              <w:keepLines w:val="0"/>
              <w:suppressLineNumbers w:val="0"/>
              <w:spacing w:before="0" w:beforeAutospacing="0" w:after="0" w:afterAutospacing="0"/>
              <w:ind w:left="0" w:right="0" w:rightChars="0"/>
              <w:jc w:val="both"/>
              <w:rPr>
                <w:rFonts w:hint="eastAsia" w:ascii="宋体" w:hAnsi="宋体" w:eastAsia="宋体" w:cs="宋体"/>
                <w:color w:val="000000" w:themeColor="text1"/>
                <w:sz w:val="24"/>
                <w:highlight w:val="none"/>
                <w:lang w:val="en-US"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法律、行政法规规定的其他条件</w:t>
            </w:r>
          </w:p>
        </w:tc>
        <w:tc>
          <w:tcPr>
            <w:tcW w:w="4601" w:type="dxa"/>
            <w:vAlign w:val="center"/>
          </w:tcPr>
          <w:p>
            <w:pPr>
              <w:pStyle w:val="25"/>
              <w:keepNext w:val="0"/>
              <w:keepLines w:val="0"/>
              <w:suppressLineNumbers w:val="0"/>
              <w:spacing w:before="0" w:beforeAutospacing="0" w:after="0" w:afterAutospacing="0"/>
              <w:ind w:left="0" w:right="0" w:rightChars="0"/>
              <w:jc w:val="center"/>
              <w:rPr>
                <w:rFonts w:hint="eastAsia" w:ascii="宋体" w:hAnsi="宋体" w:eastAsia="宋体" w:cs="宋体"/>
                <w:color w:val="000000" w:themeColor="text1"/>
                <w:sz w:val="24"/>
                <w:highlight w:val="none"/>
                <w:lang w:eastAsia="zh-CN"/>
                <w14:textFill>
                  <w14:solidFill>
                    <w14:schemeClr w14:val="tx1"/>
                  </w14:solidFill>
                </w14:textFill>
              </w:rPr>
            </w:pPr>
            <w:r>
              <w:rPr>
                <w:rFonts w:hint="default" w:ascii="宋体" w:hAnsi="宋体" w:eastAsia="宋体" w:cs="宋体"/>
                <w:color w:val="000000" w:themeColor="text1"/>
                <w:sz w:val="24"/>
                <w:highlight w:val="none"/>
                <w14:textFill>
                  <w14:solidFill>
                    <w14:schemeClr w14:val="tx1"/>
                  </w14:solidFill>
                </w14:textFill>
              </w:rPr>
              <w:t>提供申请人承诺函原件</w:t>
            </w:r>
          </w:p>
        </w:tc>
        <w:tc>
          <w:tcPr>
            <w:tcW w:w="814" w:type="dxa"/>
          </w:tcPr>
          <w:p>
            <w:pPr>
              <w:pStyle w:val="25"/>
              <w:keepNext w:val="0"/>
              <w:keepLines w:val="0"/>
              <w:suppressLineNumbers w:val="0"/>
              <w:spacing w:before="0" w:beforeAutospacing="0" w:after="0" w:afterAutospacing="0"/>
              <w:ind w:left="0" w:right="0"/>
              <w:rPr>
                <w:rFonts w:hint="default" w:ascii="Times New Roman"/>
              </w:rPr>
            </w:pPr>
          </w:p>
        </w:tc>
      </w:tr>
    </w:tbl>
    <w:p>
      <w:pPr>
        <w:keepNext w:val="0"/>
        <w:keepLines w:val="0"/>
        <w:pageBreakBefore w:val="0"/>
        <w:widowControl w:val="0"/>
        <w:kinsoku/>
        <w:wordWrap/>
        <w:overflowPunct/>
        <w:topLinePunct w:val="0"/>
        <w:autoSpaceDE w:val="0"/>
        <w:autoSpaceDN w:val="0"/>
        <w:bidi w:val="0"/>
        <w:adjustRightInd/>
        <w:snapToGrid/>
        <w:spacing w:line="400" w:lineRule="exact"/>
        <w:ind w:right="-130" w:firstLine="480" w:firstLineChars="200"/>
        <w:textAlignment w:val="auto"/>
        <w:rPr>
          <w:rFonts w:ascii="Times New Roman"/>
        </w:rPr>
      </w:pPr>
      <w:r>
        <w:rPr>
          <w:sz w:val="24"/>
        </w:rPr>
        <w:t>注：以上审核内容均符合资格预审文件要求的，结论为通过资格预审。</w:t>
      </w:r>
    </w:p>
    <w:p>
      <w:pPr>
        <w:keepNext w:val="0"/>
        <w:keepLines w:val="0"/>
        <w:pageBreakBefore w:val="0"/>
        <w:widowControl w:val="0"/>
        <w:kinsoku/>
        <w:wordWrap/>
        <w:overflowPunct/>
        <w:topLinePunct w:val="0"/>
        <w:autoSpaceDE w:val="0"/>
        <w:autoSpaceDN w:val="0"/>
        <w:bidi w:val="0"/>
        <w:adjustRightInd/>
        <w:snapToGrid/>
        <w:spacing w:line="400" w:lineRule="exact"/>
        <w:ind w:left="390" w:right="1777"/>
        <w:textAlignment w:val="auto"/>
        <w:rPr>
          <w:b/>
          <w:sz w:val="24"/>
        </w:rPr>
      </w:pPr>
      <w:r>
        <w:rPr>
          <w:b/>
          <w:sz w:val="24"/>
        </w:rPr>
        <w:t>四、出具资格预审报告</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390" w:right="498" w:firstLine="458"/>
        <w:textAlignment w:val="auto"/>
      </w:pPr>
      <w:r>
        <w:rPr>
          <w:spacing w:val="-12"/>
        </w:rPr>
        <w:t>根据审核小组成员签字的原始审核记录编写资格预审报告。资格预审报告应当包括以下内</w:t>
      </w:r>
      <w:r>
        <w:rPr>
          <w:spacing w:val="-5"/>
        </w:rPr>
        <w:t>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资格预审公告刊登的媒体名称、递交资格预审申请文件的截止日期和地点；</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left="390" w:right="341" w:firstLine="458"/>
        <w:textAlignment w:val="auto"/>
      </w:pPr>
      <w:r>
        <w:rPr>
          <w:spacing w:val="-20"/>
          <w:sz w:val="24"/>
        </w:rPr>
        <w:t>领取资格预审文件的申请人名单、递交资格预审申请文件的申请人名单和资格预审审核小组</w:t>
      </w:r>
      <w:r>
        <w:rPr>
          <w:spacing w:val="-9"/>
          <w:sz w:val="24"/>
        </w:rPr>
        <w:t>成员名单；</w:t>
      </w:r>
    </w:p>
    <w:p>
      <w:pPr>
        <w:pStyle w:val="24"/>
        <w:keepNext w:val="0"/>
        <w:keepLines w:val="0"/>
        <w:pageBreakBefore w:val="0"/>
        <w:widowControl w:val="0"/>
        <w:numPr>
          <w:ilvl w:val="1"/>
          <w:numId w:val="14"/>
        </w:numPr>
        <w:tabs>
          <w:tab w:val="left" w:pos="1089"/>
        </w:tabs>
        <w:kinsoku/>
        <w:wordWrap/>
        <w:overflowPunct/>
        <w:topLinePunct w:val="0"/>
        <w:autoSpaceDE w:val="0"/>
        <w:autoSpaceDN w:val="0"/>
        <w:bidi w:val="0"/>
        <w:adjustRightInd/>
        <w:snapToGrid/>
        <w:spacing w:line="400" w:lineRule="exact"/>
        <w:ind w:hanging="241"/>
        <w:textAlignment w:val="auto"/>
      </w:pPr>
      <w:r>
        <w:rPr>
          <w:spacing w:val="-12"/>
          <w:sz w:val="24"/>
        </w:rPr>
        <w:t>审核结果，未通过资格预审的原因等；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其他需要说明的情况，包括审核过程中申请人根据审核小组要求进行的澄清、说明或者补正，审核小组成员的更换等。</w:t>
      </w:r>
    </w:p>
    <w:p>
      <w:pPr>
        <w:pStyle w:val="24"/>
        <w:keepNext w:val="0"/>
        <w:keepLines w:val="0"/>
        <w:pageBreakBefore w:val="0"/>
        <w:widowControl w:val="0"/>
        <w:numPr>
          <w:ilvl w:val="1"/>
          <w:numId w:val="14"/>
        </w:numPr>
        <w:tabs>
          <w:tab w:val="left" w:pos="1108"/>
        </w:tabs>
        <w:kinsoku/>
        <w:wordWrap/>
        <w:overflowPunct/>
        <w:topLinePunct w:val="0"/>
        <w:autoSpaceDE w:val="0"/>
        <w:autoSpaceDN w:val="0"/>
        <w:bidi w:val="0"/>
        <w:adjustRightInd/>
        <w:snapToGrid/>
        <w:spacing w:line="400" w:lineRule="exact"/>
        <w:ind w:left="390" w:right="448" w:firstLine="477"/>
        <w:textAlignment w:val="auto"/>
      </w:pPr>
      <w:r>
        <w:rPr>
          <w:spacing w:val="-5"/>
          <w:sz w:val="24"/>
        </w:rPr>
        <w:t>审核小组成员应当在资格预审报告中签字确认</w:t>
      </w:r>
      <w:r>
        <w:rPr>
          <w:rFonts w:hint="eastAsia"/>
          <w:spacing w:val="-5"/>
          <w:sz w:val="24"/>
        </w:rPr>
        <w:t>。</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leftChars="0" w:right="4240" w:firstLine="470" w:firstLineChars="200"/>
        <w:textAlignment w:val="auto"/>
        <w:rPr>
          <w:b/>
        </w:rPr>
      </w:pPr>
      <w:r>
        <w:rPr>
          <w:b/>
          <w:spacing w:val="-3"/>
          <w:sz w:val="24"/>
        </w:rPr>
        <w:t>五、资格预审申请文件的澄清</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firstLine="690" w:firstLineChars="300"/>
        <w:textAlignment w:val="auto"/>
        <w:rPr>
          <w:spacing w:val="-13"/>
          <w:sz w:val="24"/>
        </w:rPr>
      </w:pPr>
      <w:r>
        <w:rPr>
          <w:rFonts w:hint="eastAsia"/>
          <w:spacing w:val="-5"/>
          <w:sz w:val="24"/>
          <w:lang w:val="en-US"/>
        </w:rPr>
        <w:t>1、</w:t>
      </w:r>
      <w:r>
        <w:rPr>
          <w:spacing w:val="-5"/>
          <w:sz w:val="24"/>
        </w:rPr>
        <w:t>在审查</w:t>
      </w:r>
      <w:r>
        <w:rPr>
          <w:spacing w:val="-13"/>
          <w:sz w:val="24"/>
        </w:rPr>
        <w:t>过程中，采购人可以书面形式，要求申请人对所提交的资格预审申请文件中不明确的内容进行必要的澄清或说明。采购人不接受申请人主动提出的澄清和说明。</w:t>
      </w:r>
    </w:p>
    <w:p>
      <w:pPr>
        <w:pStyle w:val="24"/>
        <w:keepNext w:val="0"/>
        <w:keepLines w:val="0"/>
        <w:pageBreakBefore w:val="0"/>
        <w:widowControl w:val="0"/>
        <w:tabs>
          <w:tab w:val="left" w:pos="1108"/>
        </w:tabs>
        <w:kinsoku/>
        <w:wordWrap/>
        <w:overflowPunct/>
        <w:topLinePunct w:val="0"/>
        <w:autoSpaceDE w:val="0"/>
        <w:autoSpaceDN w:val="0"/>
        <w:bidi w:val="0"/>
        <w:adjustRightInd/>
        <w:snapToGrid/>
        <w:spacing w:line="400" w:lineRule="exact"/>
        <w:ind w:left="0" w:right="308" w:firstLine="642" w:firstLineChars="300"/>
        <w:jc w:val="both"/>
        <w:textAlignment w:val="auto"/>
        <w:rPr>
          <w:sz w:val="24"/>
        </w:rPr>
      </w:pPr>
      <w:r>
        <w:rPr>
          <w:rFonts w:hint="eastAsia"/>
          <w:spacing w:val="-13"/>
          <w:sz w:val="24"/>
          <w:lang w:val="en-US"/>
        </w:rPr>
        <w:t>2、</w:t>
      </w:r>
      <w:r>
        <w:rPr>
          <w:spacing w:val="-13"/>
          <w:sz w:val="24"/>
        </w:rPr>
        <w:t>申请人的澄清或说明应采用书面形式，不得改变资格预审申请文件的实质性内容，澄清或</w:t>
      </w:r>
      <w:r>
        <w:rPr>
          <w:spacing w:val="-17"/>
          <w:sz w:val="24"/>
        </w:rPr>
        <w:t>说明需加盖公章或由法定代表人或授权代表签字，并作为资格预审申请文件的组成部分。由授权代</w:t>
      </w:r>
      <w:r>
        <w:rPr>
          <w:spacing w:val="-21"/>
          <w:sz w:val="24"/>
        </w:rPr>
        <w:t>表签字的，应当附法定代表人授权书。</w:t>
      </w:r>
    </w:p>
    <w:p>
      <w:pPr>
        <w:pStyle w:val="24"/>
        <w:keepNext w:val="0"/>
        <w:keepLines w:val="0"/>
        <w:pageBreakBefore w:val="0"/>
        <w:widowControl w:val="0"/>
        <w:tabs>
          <w:tab w:val="left" w:pos="988"/>
        </w:tabs>
        <w:kinsoku/>
        <w:wordWrap/>
        <w:overflowPunct/>
        <w:topLinePunct w:val="0"/>
        <w:autoSpaceDE w:val="0"/>
        <w:autoSpaceDN w:val="0"/>
        <w:bidi w:val="0"/>
        <w:adjustRightInd/>
        <w:snapToGrid/>
        <w:spacing w:line="400" w:lineRule="exact"/>
        <w:ind w:left="0" w:right="479" w:firstLine="672" w:firstLineChars="300"/>
        <w:textAlignment w:val="auto"/>
        <w:rPr>
          <w:sz w:val="24"/>
        </w:rPr>
      </w:pPr>
      <w:r>
        <w:rPr>
          <w:rFonts w:hint="eastAsia"/>
          <w:spacing w:val="-8"/>
          <w:sz w:val="24"/>
          <w:lang w:val="en-US"/>
        </w:rPr>
        <w:t>3、</w:t>
      </w:r>
      <w:r>
        <w:rPr>
          <w:spacing w:val="-8"/>
          <w:sz w:val="24"/>
        </w:rPr>
        <w:t>采购人不得暗示或者诱导申请人作出澄清、说明或纠正，对申请人递交的澄清、说明或纠正有疑问的，可以要求申请人进一步澄清或说明。</w:t>
      </w:r>
    </w:p>
    <w:p>
      <w:pPr>
        <w:pStyle w:val="6"/>
        <w:keepNext w:val="0"/>
        <w:keepLines w:val="0"/>
        <w:pageBreakBefore w:val="0"/>
        <w:widowControl w:val="0"/>
        <w:kinsoku/>
        <w:wordWrap/>
        <w:overflowPunct/>
        <w:topLinePunct w:val="0"/>
        <w:autoSpaceDE w:val="0"/>
        <w:autoSpaceDN w:val="0"/>
        <w:bidi w:val="0"/>
        <w:adjustRightInd/>
        <w:snapToGrid/>
        <w:spacing w:line="400" w:lineRule="exact"/>
        <w:textAlignment w:val="auto"/>
      </w:pPr>
      <w:bookmarkStart w:id="103" w:name="六、审查结果"/>
      <w:bookmarkEnd w:id="103"/>
      <w:r>
        <w:t>六、审查结果</w:t>
      </w:r>
    </w:p>
    <w:p>
      <w:pPr>
        <w:pStyle w:val="24"/>
        <w:keepNext w:val="0"/>
        <w:keepLines w:val="0"/>
        <w:pageBreakBefore w:val="0"/>
        <w:widowControl w:val="0"/>
        <w:numPr>
          <w:ilvl w:val="0"/>
          <w:numId w:val="15"/>
        </w:numPr>
        <w:tabs>
          <w:tab w:val="left" w:pos="1051"/>
        </w:tabs>
        <w:kinsoku/>
        <w:wordWrap/>
        <w:overflowPunct/>
        <w:topLinePunct w:val="0"/>
        <w:autoSpaceDE w:val="0"/>
        <w:autoSpaceDN w:val="0"/>
        <w:bidi w:val="0"/>
        <w:adjustRightInd/>
        <w:snapToGrid/>
        <w:spacing w:line="400" w:lineRule="exact"/>
        <w:textAlignment w:val="auto"/>
        <w:rPr>
          <w:sz w:val="24"/>
        </w:rPr>
      </w:pPr>
      <w:r>
        <w:rPr>
          <w:spacing w:val="-4"/>
          <w:sz w:val="24"/>
        </w:rPr>
        <w:t>提交评审报告</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390" w:right="455" w:firstLine="357"/>
        <w:textAlignment w:val="auto"/>
      </w:pPr>
      <w:r>
        <w:rPr>
          <w:spacing w:val="-5"/>
        </w:rPr>
        <w:t>采购人按照规定的程序对资格预审申请文件完成审查后，确定通过资格预审的申请人名单，并出具书面资格预审报告。采购人资格预审人员应当在资格预审报告上签字，对自己的评审意见承担法律责任。审核小组成员对需要共同认定的事项存在争议的，应当按照少数服</w:t>
      </w:r>
      <w:r>
        <w:rPr>
          <w:spacing w:val="-10"/>
        </w:rPr>
        <w:t xml:space="preserve">从多数的原则作出结论。持不同意见的审核小组成员应当在审核报告上签署不同意见及理由， </w:t>
      </w:r>
      <w:r>
        <w:rPr>
          <w:spacing w:val="-5"/>
        </w:rPr>
        <w:t>否则视为同意资格预审报告。</w:t>
      </w:r>
    </w:p>
    <w:p>
      <w:pPr>
        <w:pStyle w:val="24"/>
        <w:keepNext w:val="0"/>
        <w:keepLines w:val="0"/>
        <w:pageBreakBefore w:val="0"/>
        <w:widowControl w:val="0"/>
        <w:numPr>
          <w:ilvl w:val="0"/>
          <w:numId w:val="15"/>
        </w:numPr>
        <w:tabs>
          <w:tab w:val="left" w:pos="988"/>
        </w:tabs>
        <w:kinsoku/>
        <w:wordWrap/>
        <w:overflowPunct/>
        <w:topLinePunct w:val="0"/>
        <w:autoSpaceDE w:val="0"/>
        <w:autoSpaceDN w:val="0"/>
        <w:bidi w:val="0"/>
        <w:adjustRightInd/>
        <w:snapToGrid/>
        <w:spacing w:line="400" w:lineRule="exact"/>
        <w:ind w:left="988" w:hanging="240"/>
        <w:textAlignment w:val="auto"/>
        <w:rPr>
          <w:sz w:val="24"/>
        </w:rPr>
      </w:pPr>
      <w:r>
        <w:rPr>
          <w:spacing w:val="-3"/>
          <w:sz w:val="24"/>
        </w:rPr>
        <w:t>停止评审</w:t>
      </w:r>
    </w:p>
    <w:p>
      <w:pPr>
        <w:pStyle w:val="8"/>
        <w:keepNext w:val="0"/>
        <w:keepLines w:val="0"/>
        <w:pageBreakBefore w:val="0"/>
        <w:widowControl w:val="0"/>
        <w:kinsoku/>
        <w:wordWrap/>
        <w:overflowPunct/>
        <w:topLinePunct w:val="0"/>
        <w:autoSpaceDE w:val="0"/>
        <w:autoSpaceDN w:val="0"/>
        <w:bidi w:val="0"/>
        <w:adjustRightInd/>
        <w:snapToGrid/>
        <w:spacing w:line="400" w:lineRule="exact"/>
        <w:ind w:left="628"/>
        <w:textAlignment w:val="auto"/>
      </w:pPr>
      <w:r>
        <w:t>采购人资格预审人员发现资格预审文件内容违反国家有关强制性规定的，应当停止评审。</w:t>
      </w:r>
    </w:p>
    <w:p/>
    <w:p>
      <w:pPr>
        <w:pStyle w:val="8"/>
      </w:pPr>
    </w:p>
    <w:p>
      <w:pPr>
        <w:pStyle w:val="8"/>
      </w:pPr>
    </w:p>
    <w:p/>
    <w:p/>
    <w:p>
      <w:pPr>
        <w:pStyle w:val="8"/>
      </w:pPr>
    </w:p>
    <w:p>
      <w:pPr>
        <w:pStyle w:val="8"/>
      </w:pPr>
    </w:p>
    <w:p>
      <w:pPr>
        <w:pStyle w:val="13"/>
        <w:numPr>
          <w:ilvl w:val="0"/>
          <w:numId w:val="16"/>
        </w:numPr>
        <w:spacing w:before="0" w:after="0" w:line="240" w:lineRule="auto"/>
        <w:ind w:left="0" w:leftChars="0" w:firstLine="0" w:firstLineChars="0"/>
        <w:jc w:val="center"/>
        <w:outlineLvl w:val="0"/>
        <w:rPr>
          <w:sz w:val="36"/>
          <w:szCs w:val="36"/>
        </w:rPr>
      </w:pPr>
      <w:bookmarkStart w:id="104" w:name="_Toc13916"/>
      <w:r>
        <w:rPr>
          <w:spacing w:val="-5"/>
          <w:sz w:val="36"/>
          <w:szCs w:val="36"/>
        </w:rPr>
        <w:t>采</w:t>
      </w:r>
      <w:r>
        <w:rPr>
          <w:sz w:val="36"/>
          <w:szCs w:val="36"/>
        </w:rPr>
        <w:t>购项目概况及需求</w:t>
      </w:r>
      <w:bookmarkEnd w:id="104"/>
    </w:p>
    <w:p>
      <w:pPr>
        <w:pStyle w:val="14"/>
        <w:rPr>
          <w:sz w:val="22"/>
          <w:szCs w:val="24"/>
        </w:rPr>
      </w:pPr>
    </w:p>
    <w:p>
      <w:pPr>
        <w:keepNext w:val="0"/>
        <w:keepLines w:val="0"/>
        <w:pageBreakBefore w:val="0"/>
        <w:kinsoku/>
        <w:wordWrap/>
        <w:overflowPunct/>
        <w:topLinePunct w:val="0"/>
        <w:autoSpaceDE w:val="0"/>
        <w:autoSpaceDN w:val="0"/>
        <w:bidi w:val="0"/>
        <w:adjustRightInd w:val="0"/>
        <w:snapToGrid/>
        <w:spacing w:line="500" w:lineRule="exact"/>
        <w:ind w:right="0" w:firstLine="240" w:firstLineChars="100"/>
        <w:jc w:val="left"/>
        <w:textAlignment w:val="auto"/>
        <w:rPr>
          <w:rFonts w:hint="eastAsia" w:ascii="宋体" w:hAnsi="宋体" w:cs="宋体"/>
          <w:color w:val="0000FF"/>
          <w:kern w:val="0"/>
          <w:sz w:val="24"/>
          <w:szCs w:val="22"/>
          <w:lang w:val="en-US" w:eastAsia="zh-CN"/>
        </w:rPr>
      </w:pPr>
      <w:bookmarkStart w:id="105" w:name="_Toc18675"/>
      <w:r>
        <w:rPr>
          <w:rFonts w:hint="eastAsia" w:ascii="宋体" w:hAnsi="宋体" w:cs="宋体"/>
          <w:color w:val="0000FF"/>
          <w:kern w:val="0"/>
          <w:sz w:val="24"/>
          <w:szCs w:val="22"/>
          <w:lang w:val="en-US" w:eastAsia="zh-CN"/>
        </w:rPr>
        <w:t>本项目所属行业：建筑业</w:t>
      </w: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ascii="宋体" w:hAnsi="Calibri" w:eastAsiaTheme="minorEastAsia" w:cstheme="minorBidi"/>
          <w:b/>
          <w:bCs/>
          <w:color w:val="0000FF"/>
          <w:kern w:val="2"/>
          <w:sz w:val="24"/>
          <w:szCs w:val="24"/>
          <w:highlight w:val="none"/>
          <w:lang w:val="en-US" w:eastAsia="zh-CN" w:bidi="ar-SA"/>
        </w:rPr>
      </w:pPr>
      <w:r>
        <w:rPr>
          <w:rFonts w:hint="eastAsia" w:ascii="宋体" w:hAnsi="Calibri" w:eastAsiaTheme="minorEastAsia" w:cstheme="minorBidi"/>
          <w:b/>
          <w:bCs/>
          <w:color w:val="0000FF"/>
          <w:kern w:val="2"/>
          <w:sz w:val="24"/>
          <w:szCs w:val="24"/>
          <w:highlight w:val="none"/>
          <w:lang w:val="en-US" w:eastAsia="zh-CN" w:bidi="ar-SA"/>
        </w:rPr>
        <w:t>一、项目概况</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Calibri" w:eastAsiaTheme="minorEastAsia" w:cstheme="minorBidi"/>
          <w:color w:val="0000FF"/>
          <w:kern w:val="2"/>
          <w:sz w:val="24"/>
          <w:szCs w:val="24"/>
          <w:highlight w:val="none"/>
          <w:lang w:val="en-US" w:eastAsia="zh-CN" w:bidi="ar-SA"/>
        </w:rPr>
      </w:pPr>
      <w:r>
        <w:rPr>
          <w:rFonts w:hint="eastAsia" w:ascii="宋体" w:hAnsi="Calibri" w:eastAsiaTheme="minorEastAsia" w:cstheme="minorBidi"/>
          <w:color w:val="0000FF"/>
          <w:kern w:val="2"/>
          <w:sz w:val="24"/>
          <w:szCs w:val="24"/>
          <w:highlight w:val="none"/>
          <w:lang w:val="en-US" w:eastAsia="zh-CN" w:bidi="ar-SA"/>
        </w:rPr>
        <w:t>(一)项目名称:渠县 2022 年农村机电提灌站维修项目。</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Calibri" w:eastAsiaTheme="minorEastAsia" w:cstheme="minorBidi"/>
          <w:color w:val="0000FF"/>
          <w:kern w:val="2"/>
          <w:sz w:val="24"/>
          <w:szCs w:val="24"/>
          <w:highlight w:val="none"/>
          <w:lang w:val="en-US" w:eastAsia="zh-CN" w:bidi="ar-SA"/>
        </w:rPr>
      </w:pPr>
      <w:r>
        <w:rPr>
          <w:rFonts w:hint="eastAsia" w:ascii="宋体" w:hAnsi="Calibri" w:eastAsiaTheme="minorEastAsia" w:cstheme="minorBidi"/>
          <w:color w:val="0000FF"/>
          <w:kern w:val="2"/>
          <w:sz w:val="24"/>
          <w:szCs w:val="24"/>
          <w:highlight w:val="none"/>
          <w:lang w:val="en-US" w:eastAsia="zh-CN" w:bidi="ar-SA"/>
        </w:rPr>
        <w:t>(二)项目地点:渠县清溪场镇、三汇镇、涌兴镇、临巴镇。</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Calibri" w:eastAsiaTheme="minorEastAsia" w:cstheme="minorBidi"/>
          <w:color w:val="0000FF"/>
          <w:kern w:val="2"/>
          <w:sz w:val="24"/>
          <w:szCs w:val="24"/>
          <w:highlight w:val="none"/>
          <w:lang w:val="en-US" w:eastAsia="zh-CN" w:bidi="ar-SA"/>
        </w:rPr>
      </w:pPr>
      <w:r>
        <w:rPr>
          <w:rFonts w:hint="eastAsia" w:ascii="宋体" w:hAnsi="Calibri" w:eastAsiaTheme="minorEastAsia" w:cstheme="minorBidi"/>
          <w:color w:val="0000FF"/>
          <w:kern w:val="2"/>
          <w:sz w:val="24"/>
          <w:szCs w:val="24"/>
          <w:highlight w:val="none"/>
          <w:lang w:val="en-US" w:eastAsia="zh-CN" w:bidi="ar-SA"/>
        </w:rPr>
        <w:t>(</w:t>
      </w:r>
      <w:r>
        <w:rPr>
          <w:rFonts w:hint="eastAsia" w:ascii="宋体" w:hAnsi="Calibri" w:cstheme="minorBidi"/>
          <w:color w:val="0000FF"/>
          <w:kern w:val="2"/>
          <w:sz w:val="24"/>
          <w:szCs w:val="24"/>
          <w:highlight w:val="none"/>
          <w:lang w:val="en-US" w:eastAsia="zh-CN" w:bidi="ar-SA"/>
        </w:rPr>
        <w:t>三</w:t>
      </w:r>
      <w:r>
        <w:rPr>
          <w:rFonts w:hint="eastAsia" w:ascii="宋体" w:hAnsi="Calibri" w:eastAsiaTheme="minorEastAsia" w:cstheme="minorBidi"/>
          <w:color w:val="0000FF"/>
          <w:kern w:val="2"/>
          <w:sz w:val="24"/>
          <w:szCs w:val="24"/>
          <w:highlight w:val="none"/>
          <w:lang w:val="en-US" w:eastAsia="zh-CN" w:bidi="ar-SA"/>
        </w:rPr>
        <w:t>)建设规模及内容:在渠县宝城镇黑尔嘴、有庆镇打鼓山、涌兴镇娅魁扁等 17 处农村电力提灌站对机房。水泵</w:t>
      </w:r>
      <w:r>
        <w:rPr>
          <w:rFonts w:hint="eastAsia" w:ascii="宋体" w:hAnsi="Calibri" w:cstheme="minorBidi"/>
          <w:color w:val="0000FF"/>
          <w:kern w:val="2"/>
          <w:sz w:val="24"/>
          <w:szCs w:val="24"/>
          <w:highlight w:val="none"/>
          <w:lang w:val="en-US" w:eastAsia="zh-CN" w:bidi="ar-SA"/>
        </w:rPr>
        <w:t>电</w:t>
      </w:r>
      <w:r>
        <w:rPr>
          <w:rFonts w:hint="eastAsia" w:ascii="宋体" w:hAnsi="Calibri" w:eastAsiaTheme="minorEastAsia" w:cstheme="minorBidi"/>
          <w:color w:val="0000FF"/>
          <w:kern w:val="2"/>
          <w:sz w:val="24"/>
          <w:szCs w:val="24"/>
          <w:highlight w:val="none"/>
          <w:lang w:val="en-US" w:eastAsia="zh-CN" w:bidi="ar-SA"/>
        </w:rPr>
        <w:t>机、配电柜、管道、进出水池、低压线路等进行维修等。</w:t>
      </w:r>
    </w:p>
    <w:p>
      <w:pPr>
        <w:keepNext w:val="0"/>
        <w:keepLines w:val="0"/>
        <w:pageBreakBefore w:val="0"/>
        <w:widowControl w:val="0"/>
        <w:kinsoku/>
        <w:wordWrap/>
        <w:overflowPunct/>
        <w:topLinePunct w:val="0"/>
        <w:autoSpaceDE/>
        <w:autoSpaceDN/>
        <w:bidi w:val="0"/>
        <w:adjustRightInd/>
        <w:snapToGrid/>
        <w:spacing w:line="336" w:lineRule="auto"/>
        <w:ind w:firstLine="482" w:firstLineChars="200"/>
        <w:textAlignment w:val="auto"/>
        <w:rPr>
          <w:rFonts w:hint="eastAsia" w:ascii="宋体" w:hAnsi="宋体"/>
          <w:b/>
          <w:i w:val="0"/>
          <w:iCs w:val="0"/>
          <w:color w:val="0000FF"/>
          <w:sz w:val="24"/>
          <w:highlight w:val="none"/>
          <w:lang w:eastAsia="zh-CN"/>
        </w:rPr>
      </w:pPr>
      <w:r>
        <w:rPr>
          <w:rFonts w:hint="eastAsia" w:ascii="宋体" w:hAnsi="宋体"/>
          <w:b/>
          <w:i w:val="0"/>
          <w:iCs w:val="0"/>
          <w:color w:val="0000FF"/>
          <w:sz w:val="24"/>
          <w:highlight w:val="none"/>
          <w:lang w:eastAsia="zh-CN"/>
        </w:rPr>
        <w:t>二、技术、服务要求</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i w:val="0"/>
          <w:iCs w:val="0"/>
          <w:color w:val="0000FF"/>
          <w:sz w:val="24"/>
          <w:highlight w:val="none"/>
          <w:lang w:val="en-US" w:eastAsia="zh-CN"/>
        </w:rPr>
      </w:pPr>
      <w:r>
        <w:rPr>
          <w:rFonts w:hint="eastAsia" w:ascii="宋体" w:hAnsi="宋体"/>
          <w:i w:val="0"/>
          <w:iCs w:val="0"/>
          <w:color w:val="0000FF"/>
          <w:sz w:val="24"/>
          <w:highlight w:val="none"/>
          <w:lang w:val="en-US" w:eastAsia="zh-CN"/>
        </w:rPr>
        <w:t>1、工程质量要求：符合并满足国家规范、国家标准、行业标准以及采购人使用要求，达到现行维修质量验收规范中的合格标准。</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175"/>
        <w:textAlignment w:val="auto"/>
        <w:rPr>
          <w:rFonts w:hint="eastAsia" w:ascii="宋体" w:hAnsi="宋体"/>
          <w:i w:val="0"/>
          <w:iCs w:val="0"/>
          <w:color w:val="0000FF"/>
          <w:sz w:val="24"/>
          <w:highlight w:val="none"/>
          <w:lang w:val="en-US" w:eastAsia="zh-CN"/>
        </w:rPr>
      </w:pPr>
      <w:r>
        <w:rPr>
          <w:rFonts w:hint="eastAsia" w:ascii="宋体" w:hAnsi="宋体"/>
          <w:i w:val="0"/>
          <w:iCs w:val="0"/>
          <w:color w:val="0000FF"/>
          <w:sz w:val="24"/>
          <w:highlight w:val="none"/>
          <w:lang w:val="en-US" w:eastAsia="zh-CN"/>
        </w:rPr>
        <w:t>2、材料要求：按要求供应维修材料，所有材料均为符合国家质检部门及行业标准质量要求的全新货物。</w:t>
      </w:r>
    </w:p>
    <w:p>
      <w:pPr>
        <w:pStyle w:val="8"/>
        <w:keepNext w:val="0"/>
        <w:keepLines w:val="0"/>
        <w:pageBreakBefore w:val="0"/>
        <w:widowControl w:val="0"/>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i w:val="0"/>
          <w:iCs w:val="0"/>
          <w:color w:val="0000FF"/>
          <w:sz w:val="24"/>
          <w:highlight w:val="none"/>
          <w:lang w:val="en-US" w:eastAsia="zh-CN"/>
        </w:rPr>
      </w:pPr>
      <w:r>
        <w:rPr>
          <w:rFonts w:hint="eastAsia" w:ascii="宋体" w:hAnsi="宋体"/>
          <w:i w:val="0"/>
          <w:iCs w:val="0"/>
          <w:color w:val="0000FF"/>
          <w:sz w:val="24"/>
          <w:highlight w:val="none"/>
          <w:lang w:val="en-US" w:eastAsia="zh-CN"/>
        </w:rPr>
        <w:t>3、施工要求：严格按照国家颁布的现行工程施工验收规范和工程质量检验评定标准，并满足安全文明施工的规定。</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4、安全责任：在整个维修活动期间，在维修实施地点范围内，所有安全责任均由施工方负责。</w:t>
      </w:r>
    </w:p>
    <w:p>
      <w:pPr>
        <w:pStyle w:val="8"/>
        <w:keepNext w:val="0"/>
        <w:keepLines w:val="0"/>
        <w:pageBreakBefore w:val="0"/>
        <w:widowControl w:val="0"/>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5、资料要求：验收合格后提供完整的《竣工验收资料》给予采购人备案。</w:t>
      </w:r>
    </w:p>
    <w:p>
      <w:pPr>
        <w:pStyle w:val="8"/>
        <w:keepNext w:val="0"/>
        <w:keepLines w:val="0"/>
        <w:pageBreakBefore w:val="0"/>
        <w:widowControl w:val="0"/>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6、报价方式：本项目采用项目单价（工程量清单）报价。</w:t>
      </w:r>
    </w:p>
    <w:p>
      <w:pPr>
        <w:keepNext w:val="0"/>
        <w:keepLines w:val="0"/>
        <w:pageBreakBefore w:val="0"/>
        <w:widowControl w:val="0"/>
        <w:kinsoku/>
        <w:wordWrap/>
        <w:overflowPunct/>
        <w:topLinePunct w:val="0"/>
        <w:autoSpaceDE/>
        <w:autoSpaceDN/>
        <w:bidi w:val="0"/>
        <w:adjustRightInd/>
        <w:snapToGrid/>
        <w:spacing w:line="336" w:lineRule="auto"/>
        <w:ind w:left="0" w:leftChars="0" w:firstLine="422" w:firstLineChars="175"/>
        <w:textAlignment w:val="auto"/>
        <w:rPr>
          <w:rFonts w:hint="eastAsia" w:ascii="宋体" w:hAnsi="宋体"/>
          <w:b/>
          <w:i w:val="0"/>
          <w:iCs w:val="0"/>
          <w:color w:val="0000FF"/>
          <w:sz w:val="24"/>
          <w:highlight w:val="none"/>
          <w:lang w:eastAsia="zh-CN"/>
        </w:rPr>
      </w:pPr>
      <w:r>
        <w:rPr>
          <w:rFonts w:hint="eastAsia" w:ascii="宋体" w:hAnsi="宋体"/>
          <w:b/>
          <w:i w:val="0"/>
          <w:iCs w:val="0"/>
          <w:color w:val="0000FF"/>
          <w:sz w:val="24"/>
          <w:highlight w:val="none"/>
          <w:lang w:val="en-US" w:eastAsia="zh-CN"/>
        </w:rPr>
        <w:t>三</w:t>
      </w:r>
      <w:r>
        <w:rPr>
          <w:rFonts w:hint="eastAsia" w:ascii="宋体" w:hAnsi="宋体"/>
          <w:b/>
          <w:i w:val="0"/>
          <w:iCs w:val="0"/>
          <w:color w:val="0000FF"/>
          <w:sz w:val="24"/>
          <w:highlight w:val="none"/>
          <w:lang w:eastAsia="zh-CN"/>
        </w:rPr>
        <w:t>、商务要求</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1、工期要求：50日历天（具体以签订合同为准）。</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2、施工地点：</w:t>
      </w:r>
      <w:r>
        <w:rPr>
          <w:rFonts w:hint="eastAsia" w:ascii="宋体" w:hAnsi="Calibri" w:eastAsiaTheme="minorEastAsia" w:cstheme="minorBidi"/>
          <w:color w:val="0000FF"/>
          <w:kern w:val="2"/>
          <w:sz w:val="24"/>
          <w:szCs w:val="24"/>
          <w:highlight w:val="none"/>
          <w:lang w:val="en-US" w:eastAsia="zh-CN" w:bidi="ar-SA"/>
        </w:rPr>
        <w:t>渠县清溪场镇、三汇镇、涌兴镇、临巴镇</w:t>
      </w:r>
      <w:r>
        <w:rPr>
          <w:rFonts w:hint="eastAsia" w:ascii="宋体" w:hAnsi="宋体" w:eastAsia="宋体" w:cs="宋体"/>
          <w:bCs/>
          <w:i w:val="0"/>
          <w:iCs w:val="0"/>
          <w:color w:val="0000FF"/>
          <w:sz w:val="24"/>
          <w:szCs w:val="24"/>
          <w:highlight w:val="none"/>
          <w:lang w:val="en-US" w:eastAsia="zh-CN" w:bidi="ar-SA"/>
        </w:rPr>
        <w:t>。</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3、缺陷责任期：24个月。</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sz w:val="24"/>
          <w:szCs w:val="24"/>
          <w:highlight w:val="none"/>
          <w:lang w:val="en-US" w:eastAsia="zh-CN" w:bidi="ar-SA"/>
        </w:rPr>
      </w:pPr>
      <w:r>
        <w:rPr>
          <w:rFonts w:hint="eastAsia" w:ascii="宋体" w:hAnsi="宋体" w:eastAsia="宋体" w:cs="宋体"/>
          <w:bCs/>
          <w:i w:val="0"/>
          <w:iCs w:val="0"/>
          <w:color w:val="0000FF"/>
          <w:sz w:val="24"/>
          <w:szCs w:val="24"/>
          <w:highlight w:val="none"/>
          <w:lang w:val="en-US" w:eastAsia="zh-CN" w:bidi="ar-SA"/>
        </w:rPr>
        <w:t>4、付款方式：按照工程进度，进场后采购人支付合同金额的30%；工程完工完成采购验收后，支付合同金额的65%；剩余5%为质保金，缺陷责任期满后7日内无息退还。</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bCs/>
          <w:i w:val="0"/>
          <w:iCs w:val="0"/>
          <w:color w:val="0000FF"/>
          <w:kern w:val="2"/>
          <w:sz w:val="24"/>
          <w:szCs w:val="24"/>
          <w:highlight w:val="none"/>
          <w:lang w:val="en-US" w:eastAsia="zh-CN" w:bidi="ar-SA"/>
        </w:rPr>
      </w:pPr>
      <w:r>
        <w:rPr>
          <w:rFonts w:hint="eastAsia" w:ascii="宋体" w:hAnsi="宋体"/>
          <w:b w:val="0"/>
          <w:bCs/>
          <w:color w:val="0000FF"/>
          <w:sz w:val="24"/>
          <w:highlight w:val="none"/>
          <w:lang w:val="en-US" w:eastAsia="zh-CN"/>
        </w:rPr>
        <w:t>5、</w:t>
      </w:r>
      <w:r>
        <w:rPr>
          <w:rFonts w:hint="eastAsia" w:ascii="宋体" w:hAnsi="宋体" w:eastAsia="宋体" w:cs="宋体"/>
          <w:bCs/>
          <w:i w:val="0"/>
          <w:iCs w:val="0"/>
          <w:color w:val="0000FF"/>
          <w:kern w:val="2"/>
          <w:sz w:val="24"/>
          <w:szCs w:val="24"/>
          <w:highlight w:val="none"/>
          <w:lang w:val="en-US" w:eastAsia="zh-CN" w:bidi="ar-SA"/>
        </w:rPr>
        <w:t>报价要求：供应商的报价，应包含材料、运输、土建、安装、调试、保险、税费等完成本项目验收的一切费用。</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336" w:lineRule="auto"/>
        <w:ind w:left="0" w:leftChars="0" w:firstLine="420" w:firstLineChars="175"/>
        <w:textAlignment w:val="auto"/>
        <w:rPr>
          <w:rFonts w:hint="eastAsia" w:ascii="宋体" w:hAnsi="宋体" w:eastAsia="宋体" w:cs="宋体"/>
          <w:bCs/>
          <w:i w:val="0"/>
          <w:iCs w:val="0"/>
          <w:color w:val="0000FF"/>
          <w:kern w:val="2"/>
          <w:sz w:val="24"/>
          <w:szCs w:val="24"/>
          <w:highlight w:val="none"/>
          <w:lang w:val="en-US" w:eastAsia="zh-CN" w:bidi="ar-SA"/>
        </w:rPr>
      </w:pPr>
      <w:r>
        <w:rPr>
          <w:rFonts w:hint="eastAsia" w:ascii="宋体" w:hAnsi="宋体" w:eastAsia="宋体" w:cs="宋体"/>
          <w:bCs/>
          <w:i w:val="0"/>
          <w:iCs w:val="0"/>
          <w:color w:val="0000FF"/>
          <w:kern w:val="2"/>
          <w:sz w:val="24"/>
          <w:szCs w:val="24"/>
          <w:highlight w:val="none"/>
          <w:lang w:val="en-US" w:eastAsia="zh-CN" w:bidi="ar-SA"/>
        </w:rPr>
        <w:t>6、履约验收：按国家有关规定、采购文件的技术要求、供应商的响应文件及承诺以及合同约定标准及《财政部关于进一步加强政府采购需求和履约验收管理的指导意见》(财库〔2016〕205 号)、《政府采购需求管理办法》（财库〔2021〕22号）的要求进行验收。</w:t>
      </w:r>
    </w:p>
    <w:p>
      <w:pPr>
        <w:keepNext w:val="0"/>
        <w:keepLines w:val="0"/>
        <w:pageBreakBefore w:val="0"/>
        <w:widowControl w:val="0"/>
        <w:kinsoku/>
        <w:wordWrap/>
        <w:overflowPunct/>
        <w:topLinePunct w:val="0"/>
        <w:autoSpaceDE/>
        <w:autoSpaceDN/>
        <w:bidi w:val="0"/>
        <w:adjustRightInd/>
        <w:snapToGrid/>
        <w:spacing w:line="336" w:lineRule="auto"/>
        <w:ind w:firstLine="480" w:firstLineChars="200"/>
        <w:textAlignment w:val="auto"/>
        <w:rPr>
          <w:rFonts w:hint="eastAsia" w:ascii="宋体" w:hAnsi="宋体"/>
          <w:b w:val="0"/>
          <w:bCs/>
          <w:color w:val="0000FF"/>
          <w:sz w:val="24"/>
          <w:highlight w:val="none"/>
          <w:lang w:val="en-US" w:eastAsia="zh-CN"/>
        </w:rPr>
      </w:pPr>
      <w:r>
        <w:rPr>
          <w:rFonts w:hint="eastAsia" w:ascii="宋体" w:hAnsi="宋体"/>
          <w:b w:val="0"/>
          <w:bCs/>
          <w:color w:val="0000FF"/>
          <w:sz w:val="24"/>
          <w:highlight w:val="none"/>
          <w:lang w:val="en-US" w:eastAsia="zh-CN"/>
        </w:rPr>
        <w:t>7、其他未尽事宜由供需双方在合同中详细约定。</w:t>
      </w:r>
    </w:p>
    <w:p>
      <w:pPr>
        <w:pStyle w:val="2"/>
        <w:rPr>
          <w:rFonts w:hint="default"/>
          <w:lang w:val="en-US" w:eastAsia="zh-CN"/>
        </w:rPr>
      </w:pPr>
    </w:p>
    <w:p>
      <w:pPr>
        <w:pStyle w:val="8"/>
        <w:rPr>
          <w:rFonts w:hint="eastAsia"/>
          <w:color w:val="0000FF"/>
          <w:sz w:val="24"/>
          <w:szCs w:val="24"/>
        </w:rPr>
      </w:pPr>
    </w:p>
    <w:p>
      <w:pPr>
        <w:pStyle w:val="8"/>
        <w:rPr>
          <w:rFonts w:hint="eastAsia" w:ascii="宋体" w:hAnsi="Calibri" w:eastAsiaTheme="minorEastAsia" w:cstheme="minorBidi"/>
          <w:color w:val="0000FF"/>
          <w:kern w:val="2"/>
          <w:sz w:val="24"/>
          <w:szCs w:val="24"/>
          <w:lang w:val="en-US" w:eastAsia="zh-CN" w:bidi="ar-SA"/>
        </w:rPr>
      </w:pPr>
    </w:p>
    <w:p>
      <w:pPr>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pStyle w:val="2"/>
        <w:rPr>
          <w:rFonts w:hint="eastAsia" w:ascii="宋体" w:hAnsi="Calibri" w:eastAsiaTheme="minorEastAsia" w:cstheme="minorBidi"/>
          <w:color w:val="0000FF"/>
          <w:kern w:val="2"/>
          <w:sz w:val="24"/>
          <w:szCs w:val="24"/>
          <w:lang w:val="en-US" w:eastAsia="zh-CN" w:bidi="ar-SA"/>
        </w:rPr>
      </w:pPr>
    </w:p>
    <w:p>
      <w:pPr>
        <w:rPr>
          <w:rFonts w:hint="eastAsia"/>
          <w:lang w:val="en-US" w:eastAsia="zh-CN"/>
        </w:rPr>
      </w:pPr>
    </w:p>
    <w:p>
      <w:pPr>
        <w:pStyle w:val="8"/>
        <w:rPr>
          <w:rFonts w:hint="eastAsia"/>
          <w:lang w:val="zh-CN" w:eastAsia="zh-CN"/>
        </w:rPr>
      </w:pPr>
    </w:p>
    <w:p>
      <w:pPr>
        <w:pStyle w:val="3"/>
        <w:tabs>
          <w:tab w:val="left" w:pos="1597"/>
        </w:tabs>
        <w:spacing w:before="16"/>
        <w:ind w:left="0"/>
        <w:jc w:val="both"/>
        <w:rPr>
          <w:rFonts w:hint="eastAsia" w:ascii="仿宋" w:hAnsi="仿宋" w:eastAsia="仿宋" w:cs="仿宋"/>
          <w:b w:val="0"/>
          <w:bCs w:val="0"/>
          <w:color w:val="auto"/>
          <w:sz w:val="30"/>
          <w:szCs w:val="30"/>
          <w:highlight w:val="none"/>
          <w:lang w:val="zh-CN" w:eastAsia="zh-CN" w:bidi="zh-CN"/>
        </w:rPr>
      </w:pPr>
      <w:bookmarkStart w:id="106" w:name="_Toc29059"/>
      <w:r>
        <w:rPr>
          <w:rFonts w:hint="eastAsia" w:ascii="仿宋" w:hAnsi="仿宋" w:eastAsia="仿宋" w:cs="仿宋"/>
          <w:b w:val="0"/>
          <w:bCs w:val="0"/>
          <w:color w:val="auto"/>
          <w:sz w:val="30"/>
          <w:szCs w:val="30"/>
          <w:highlight w:val="none"/>
          <w:lang w:val="zh-CN" w:eastAsia="zh-CN" w:bidi="zh-CN"/>
        </w:rPr>
        <w:t>附件一：各行政监管领域“较大数额罚款"标准一览表</w:t>
      </w:r>
      <w:bookmarkEnd w:id="105"/>
      <w:bookmarkEnd w:id="106"/>
    </w:p>
    <w:p>
      <w:pPr>
        <w:pStyle w:val="4"/>
        <w:spacing w:before="356"/>
        <w:ind w:left="447" w:right="282"/>
      </w:pPr>
      <w:bookmarkStart w:id="107" w:name="各行政监管领域“较大数额罚款&quot;标准一览表"/>
      <w:bookmarkEnd w:id="107"/>
      <w:r>
        <w:t>各行政监管领域“较大数额罚款"标准一览表</w:t>
      </w:r>
    </w:p>
    <w:p>
      <w:pPr>
        <w:pStyle w:val="8"/>
        <w:spacing w:before="11"/>
        <w:rPr>
          <w:rFonts w:ascii="微软雅黑"/>
          <w:b/>
          <w:sz w:val="15"/>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487" w:type="dxa"/>
          </w:tcPr>
          <w:p>
            <w:pPr>
              <w:pStyle w:val="25"/>
              <w:keepNext w:val="0"/>
              <w:keepLines w:val="0"/>
              <w:suppressLineNumbers w:val="0"/>
              <w:spacing w:before="1" w:beforeAutospacing="0" w:after="0" w:afterAutospacing="0"/>
              <w:ind w:left="138" w:right="0"/>
              <w:rPr>
                <w:rFonts w:hint="default"/>
                <w:b/>
                <w:sz w:val="21"/>
              </w:rPr>
            </w:pPr>
            <w:r>
              <w:rPr>
                <w:rFonts w:hint="default"/>
                <w:b/>
                <w:w w:val="99"/>
                <w:sz w:val="21"/>
              </w:rPr>
              <w:t>序</w:t>
            </w:r>
          </w:p>
          <w:p>
            <w:pPr>
              <w:pStyle w:val="25"/>
              <w:keepNext w:val="0"/>
              <w:keepLines w:val="0"/>
              <w:suppressLineNumbers w:val="0"/>
              <w:spacing w:before="139" w:beforeAutospacing="0" w:after="0" w:afterAutospacing="0"/>
              <w:ind w:left="138" w:right="0"/>
              <w:rPr>
                <w:rFonts w:hint="default"/>
                <w:b/>
                <w:sz w:val="21"/>
              </w:rPr>
            </w:pPr>
            <w:r>
              <w:rPr>
                <w:rFonts w:hint="default"/>
                <w:b/>
                <w:w w:val="99"/>
                <w:sz w:val="21"/>
              </w:rPr>
              <w:t>号</w:t>
            </w:r>
          </w:p>
        </w:tc>
        <w:tc>
          <w:tcPr>
            <w:tcW w:w="950" w:type="dxa"/>
          </w:tcPr>
          <w:p>
            <w:pPr>
              <w:pStyle w:val="25"/>
              <w:keepNext w:val="0"/>
              <w:keepLines w:val="0"/>
              <w:suppressLineNumbers w:val="0"/>
              <w:spacing w:before="1" w:beforeAutospacing="0" w:after="0" w:afterAutospacing="0"/>
              <w:ind w:left="265" w:right="0"/>
              <w:rPr>
                <w:rFonts w:hint="default"/>
                <w:b/>
                <w:sz w:val="21"/>
              </w:rPr>
            </w:pPr>
            <w:r>
              <w:rPr>
                <w:rFonts w:hint="default"/>
                <w:b/>
                <w:w w:val="95"/>
                <w:sz w:val="21"/>
              </w:rPr>
              <w:t>部委</w:t>
            </w:r>
          </w:p>
          <w:p>
            <w:pPr>
              <w:pStyle w:val="25"/>
              <w:keepNext w:val="0"/>
              <w:keepLines w:val="0"/>
              <w:suppressLineNumbers w:val="0"/>
              <w:spacing w:before="139" w:beforeAutospacing="0" w:after="0" w:afterAutospacing="0"/>
              <w:ind w:left="265" w:right="0"/>
              <w:rPr>
                <w:rFonts w:hint="default"/>
                <w:b/>
                <w:sz w:val="21"/>
              </w:rPr>
            </w:pPr>
            <w:r>
              <w:rPr>
                <w:rFonts w:hint="default"/>
                <w:b/>
                <w:w w:val="95"/>
                <w:sz w:val="21"/>
              </w:rPr>
              <w:t>名称</w:t>
            </w:r>
          </w:p>
        </w:tc>
        <w:tc>
          <w:tcPr>
            <w:tcW w:w="12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10" w:right="96"/>
              <w:jc w:val="center"/>
              <w:rPr>
                <w:rFonts w:hint="default"/>
                <w:b/>
                <w:sz w:val="21"/>
              </w:rPr>
            </w:pPr>
            <w:r>
              <w:rPr>
                <w:rFonts w:hint="default"/>
                <w:b/>
                <w:sz w:val="21"/>
              </w:rPr>
              <w:t>规章名称</w:t>
            </w:r>
          </w:p>
        </w:tc>
        <w:tc>
          <w:tcPr>
            <w:tcW w:w="117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规章条文</w:t>
            </w:r>
          </w:p>
        </w:tc>
        <w:tc>
          <w:tcPr>
            <w:tcW w:w="5420" w:type="dxa"/>
          </w:tcPr>
          <w:p>
            <w:pPr>
              <w:pStyle w:val="25"/>
              <w:keepNext w:val="0"/>
              <w:keepLines w:val="0"/>
              <w:suppressLineNumbers w:val="0"/>
              <w:spacing w:before="2" w:beforeAutospacing="0" w:after="0" w:afterAutospacing="0"/>
              <w:ind w:left="0" w:right="0"/>
              <w:rPr>
                <w:rFonts w:hint="default" w:ascii="微软雅黑"/>
                <w:b/>
                <w:sz w:val="11"/>
              </w:rPr>
            </w:pPr>
          </w:p>
          <w:p>
            <w:pPr>
              <w:pStyle w:val="25"/>
              <w:keepNext w:val="0"/>
              <w:keepLines w:val="0"/>
              <w:suppressLineNumbers w:val="0"/>
              <w:spacing w:before="0" w:beforeAutospacing="0" w:after="0" w:afterAutospacing="0"/>
              <w:ind w:left="1450" w:right="0"/>
              <w:rPr>
                <w:rFonts w:hint="default"/>
                <w:b/>
                <w:sz w:val="21"/>
              </w:rPr>
            </w:pPr>
            <w:r>
              <w:rPr>
                <w:rFonts w:hint="default"/>
                <w:b/>
                <w:sz w:val="21"/>
              </w:rPr>
              <w:t>「较大数额罚款」简易标准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7" w:type="dxa"/>
            <w:gridSpan w:val="5"/>
          </w:tcPr>
          <w:p>
            <w:pPr>
              <w:pStyle w:val="25"/>
              <w:keepNext w:val="0"/>
              <w:keepLines w:val="0"/>
              <w:suppressLineNumbers w:val="0"/>
              <w:spacing w:before="2" w:beforeAutospacing="0" w:after="0" w:afterAutospacing="0"/>
              <w:ind w:left="3892" w:right="3879"/>
              <w:jc w:val="center"/>
              <w:rPr>
                <w:rFonts w:hint="default"/>
                <w:b/>
                <w:sz w:val="21"/>
              </w:rPr>
            </w:pPr>
            <w:r>
              <w:rPr>
                <w:rFonts w:hint="default"/>
                <w:b/>
                <w:sz w:val="21"/>
              </w:rPr>
              <w:t>国务院组成部门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公安部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《公安机关办理行政案</w:t>
            </w:r>
            <w:r>
              <w:rPr>
                <w:rFonts w:hint="default"/>
                <w:b/>
                <w:sz w:val="21"/>
              </w:rPr>
              <w:t>件程序规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373" w:right="47" w:hanging="315"/>
              <w:rPr>
                <w:rFonts w:hint="default"/>
                <w:b/>
                <w:sz w:val="21"/>
              </w:rPr>
            </w:pPr>
            <w:r>
              <w:rPr>
                <w:rFonts w:hint="default"/>
                <w:b/>
                <w:sz w:val="21"/>
              </w:rPr>
              <w:t>第一百二十三条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在作出下列行政处罚决定之前，应当告知违法嫌疑人 有要求举行听证的权利：（一）责令停产停业；（二） 吊销许可证或者执照；（三） 较大数额罚款；（四）法律、法规和规章规定违法嫌疑人可以要求举行听证的其他 情形。 前款第三项所称“较大数额罚款”，是指对个人处以二千元以上罚款，对单位处以一万元以上罚款，对违 反边防出境入境管理法律、法规和规章的个人处以六千元 以上罚款。对依据地方性法规或者地方政府规章作出的罚款处罚，适用听证的罚款数额按照地方规定执行。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1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财政部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《财政机关行政处罚听</w:t>
            </w:r>
            <w:r>
              <w:rPr>
                <w:rFonts w:hint="default"/>
                <w:b/>
                <w:sz w:val="21"/>
              </w:rPr>
              <w:t>证实施办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第六条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财政机关在行政处罚案件调查终结后，对公民、法人或 者其他组织依法作出下列行政处罚决定之前，应当告知当事人有要求举行听证的权利：</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（一）暂停会计师事务所经营业务；（二）暂停注册会计师执行业务；（三）吊销注册会计师证书； （四）吊销会计从业资格证书；（五） 撤销会计师事务所；（六） 取消政府采购业务代理资格；（七）较大数额罚款（八） 法律、法规和规章规定的其他应当告知听证权利的事项。财政部以及专员办作出罚款行政处罚的， 其“较大数额罚款”的标准为对公民作出 5000元以上罚款，对法人或者其他组织作出 5 万元以上罚款。地方财政机关作出罚款行政处罚的， 其“较大数额罚款”的标准按照各省、自治区、直辖市人大常委会或者人民政府的规定执行。</w:t>
            </w:r>
          </w:p>
        </w:tc>
      </w:tr>
    </w:tbl>
    <w:p>
      <w:pPr>
        <w:pStyle w:val="8"/>
        <w:rPr>
          <w:rFonts w:hint="eastAsia"/>
          <w:lang w:eastAsia="zh-CN"/>
        </w:rPr>
        <w:sectPr>
          <w:footerReference r:id="rId15" w:type="default"/>
          <w:type w:val="continuous"/>
          <w:pgSz w:w="11910" w:h="16840"/>
          <w:pgMar w:top="116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教育部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86" w:right="75"/>
              <w:jc w:val="center"/>
              <w:rPr>
                <w:rFonts w:hint="default"/>
                <w:b/>
                <w:sz w:val="21"/>
              </w:rPr>
            </w:pPr>
            <w:r>
              <w:rPr>
                <w:rFonts w:hint="default"/>
                <w:b/>
                <w:sz w:val="21"/>
              </w:rPr>
              <w:t>《教育行政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第二十七条</w:t>
            </w:r>
          </w:p>
        </w:tc>
        <w:tc>
          <w:tcPr>
            <w:tcW w:w="5420"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教育行政部门在作出本办法第九条第（三）（四）、</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（五）、（六）、（七）、（八）、（九）项之一以及较大数额罚款的处罚决定前， 除应当告知作出处罚决定的事实、理由和依据外，还应当书面告知当事人有要求举行听证的权利。前款所指的较大数额的罚款，标准为： 由国</w:t>
            </w:r>
            <w:r>
              <w:rPr>
                <w:rFonts w:hint="default"/>
                <w:spacing w:val="-6"/>
                <w:sz w:val="21"/>
              </w:rPr>
              <w:t>务</w:t>
            </w:r>
          </w:p>
        </w:tc>
      </w:tr>
    </w:tbl>
    <w:p>
      <w:pPr>
        <w:spacing w:line="269" w:lineRule="exact"/>
        <w:rPr>
          <w:sz w:val="21"/>
        </w:r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9"/>
        <w:gridCol w:w="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60" w:right="96" w:hanging="51"/>
              <w:rPr>
                <w:rFonts w:hint="default"/>
                <w:b/>
                <w:sz w:val="21"/>
              </w:rPr>
            </w:pPr>
            <w:r>
              <w:rPr>
                <w:rFonts w:hint="default"/>
                <w:b/>
                <w:sz w:val="21"/>
              </w:rPr>
              <w:t>处罚暂行实施 办法》</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院教育行政部门作出罚款决定的，为五千元以上；由地方人民政府教育行政部门作出罚款决定的，具体标准由省一级 人民政府决定。当事人在教育行政部门告知后三日内提出举行听证要求的，教育行政部门应当按照《中华人民共和国行政处罚法》第四十二条的规定，组织听证。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60" w:right="0"/>
              <w:rPr>
                <w:rFonts w:hint="default"/>
                <w:b/>
                <w:sz w:val="21"/>
              </w:rPr>
            </w:pPr>
            <w:r>
              <w:rPr>
                <w:rFonts w:hint="default"/>
                <w:b/>
                <w:sz w:val="21"/>
              </w:rPr>
              <w:t>司法部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《司法行政机关行政处罚听证程序</w:t>
            </w:r>
          </w:p>
          <w:p>
            <w:pPr>
              <w:pStyle w:val="25"/>
              <w:keepNext w:val="0"/>
              <w:keepLines w:val="0"/>
              <w:suppressLineNumbers w:val="0"/>
              <w:spacing w:before="0" w:beforeAutospacing="0" w:after="0" w:afterAutospacing="0" w:line="269" w:lineRule="exact"/>
              <w:ind w:left="318" w:right="0"/>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第二十条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司法行政机关在作出下列行政处罚之前，案件调查部 门应当告知当事人在三日内有要求举行听证的权利（一） 责令停业；（二）吊销许可证或者执业证书；（三）对个 人处以三千元以上罚款，对法人或者其他组织处以二万元 以上罚款；（四）法律法规以及规章规定的其他行政处罚。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应急管理部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《安全生产违法行为行</w:t>
            </w:r>
            <w:r>
              <w:rPr>
                <w:rFonts w:hint="default"/>
                <w:b/>
                <w:sz w:val="21"/>
              </w:rPr>
              <w:t>政处罚办</w:t>
            </w:r>
          </w:p>
          <w:p>
            <w:pPr>
              <w:pStyle w:val="25"/>
              <w:keepNext w:val="0"/>
              <w:keepLines w:val="0"/>
              <w:suppressLineNumbers w:val="0"/>
              <w:spacing w:before="0" w:beforeAutospacing="0" w:after="0" w:afterAutospacing="0" w:line="269" w:lineRule="exact"/>
              <w:ind w:left="424" w:right="0"/>
              <w:rPr>
                <w:rFonts w:hint="default"/>
                <w:b/>
                <w:sz w:val="21"/>
              </w:rPr>
            </w:pPr>
            <w:r>
              <w:rPr>
                <w:rFonts w:hint="default"/>
                <w:b/>
                <w:sz w:val="21"/>
              </w:rPr>
              <w:t>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第三十二条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安全监管监察部门作出责令停产停业整顿、责令停产 停业、吊销有关许可证、撤销有关执业资格、岗位证书或 者较大数额罚款的行政处罚决定之前，应当告知当事人有 要求举行听证的权利；当事人要求听证的，安全监管监察 部门应当组织听证，不得向当事人收取听证费用。前款所 称较大数额罚款，为省、自治区、直辖市人大常委会或者 人民政府规定的数额；没有规定数额的，其数额对个人罚款为 1 万元以上，对生产经营单位罚款为 3 万元以上。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生态环境部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《环境行政处罚听证程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6" w:beforeAutospacing="0" w:after="0" w:afterAutospacing="0"/>
              <w:ind w:left="0" w:right="0"/>
              <w:rPr>
                <w:rFonts w:hint="default" w:ascii="微软雅黑"/>
                <w:b/>
                <w:sz w:val="12"/>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第五条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环境保护主管部门在作出以下行政处罚决定之前，应 当告知当事人有申请听证的权利；当事人申请听证的，环 境保护主管部门应当组织听证：（一）拟对法人、其他组 织处以人民币 50000元以上或者对公民处以人民币 5000 元以上罚款的；（二）拟对法人、其他组织处以人民币（或者等值物品价值）50000 元以上或者对公民处以人民币（或者等值物品价值）5000 元以上的没收违法所得或者没收非法财物的；（三） 拟处以暂扣、吊销许可证或者其他具有许可性质的证件的；（四）拟责令停产、停业、关闭的。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9"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9" w:right="0"/>
              <w:jc w:val="center"/>
              <w:rPr>
                <w:rFonts w:hint="default"/>
                <w:b/>
                <w:sz w:val="21"/>
              </w:rPr>
            </w:pPr>
            <w:r>
              <w:rPr>
                <w:rFonts w:hint="default"/>
                <w:b/>
                <w:w w:val="98"/>
                <w:sz w:val="21"/>
              </w:rPr>
              <w:t>7</w:t>
            </w:r>
          </w:p>
        </w:tc>
        <w:tc>
          <w:tcPr>
            <w:tcW w:w="950" w:type="dxa"/>
          </w:tcPr>
          <w:p>
            <w:pPr>
              <w:pStyle w:val="25"/>
              <w:keepNext w:val="0"/>
              <w:keepLines w:val="0"/>
              <w:suppressLineNumbers w:val="0"/>
              <w:spacing w:before="1"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人力资源与社会保障部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《劳动行政处罚听证程</w:t>
            </w:r>
            <w:r>
              <w:rPr>
                <w:rFonts w:hint="default"/>
                <w:b/>
                <w:spacing w:val="-1"/>
                <w:sz w:val="21"/>
              </w:rPr>
              <w:t>序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劳动行政部门作出责令停产停业、吊销许可证、较大 数额罚款等行政处罚决定之前，应当告知当事人有要求听 证的权利；当事人要求听的， 劳动行政部门应当组织听证。当事人不承担组织听证的费用。 根据国务院的规定，较大数额罚款的听证范围，由省、自治区、直辖市人大常委会或人民政府确定。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6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8</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160" w:right="40" w:hanging="106"/>
              <w:rPr>
                <w:rFonts w:hint="default"/>
                <w:b/>
                <w:sz w:val="21"/>
              </w:rPr>
            </w:pPr>
            <w:r>
              <w:rPr>
                <w:rFonts w:hint="default"/>
                <w:b/>
                <w:sz w:val="21"/>
              </w:rPr>
              <w:t>工业和信息化部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《通信行政处罚程序规定》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1" w:beforeAutospacing="0" w:after="0" w:afterAutospacing="0" w:line="364" w:lineRule="auto"/>
              <w:ind w:left="115" w:right="-15" w:firstLine="410"/>
              <w:rPr>
                <w:rFonts w:hint="default"/>
                <w:sz w:val="21"/>
              </w:rPr>
            </w:pPr>
            <w:r>
              <w:rPr>
                <w:rFonts w:hint="default"/>
                <w:spacing w:val="-3"/>
                <w:sz w:val="21"/>
              </w:rPr>
              <w:t>通信主管部门拟作出责令停产停业</w:t>
            </w:r>
            <w:r>
              <w:rPr>
                <w:rFonts w:hint="default"/>
                <w:sz w:val="21"/>
              </w:rPr>
              <w:t>（</w:t>
            </w:r>
            <w:r>
              <w:rPr>
                <w:rFonts w:hint="default"/>
                <w:spacing w:val="-8"/>
                <w:sz w:val="21"/>
              </w:rPr>
              <w:t>关闭网 站</w:t>
            </w:r>
            <w:r>
              <w:rPr>
                <w:rFonts w:hint="default"/>
                <w:spacing w:val="-3"/>
                <w:sz w:val="21"/>
              </w:rPr>
              <w:t>）</w:t>
            </w:r>
            <w:r>
              <w:rPr>
                <w:rFonts w:hint="default"/>
                <w:sz w:val="21"/>
              </w:rPr>
              <w:t>、吊</w:t>
            </w:r>
            <w:r>
              <w:rPr>
                <w:rFonts w:hint="default"/>
                <w:spacing w:val="-3"/>
                <w:sz w:val="21"/>
              </w:rPr>
              <w:t>销许可证或者执照、较大数额罚款等行政处罚决定之前， 应当告知当事人有要求举行听证的权利。当事人要求听证</w:t>
            </w:r>
            <w:r>
              <w:rPr>
                <w:rFonts w:hint="default"/>
                <w:spacing w:val="-5"/>
                <w:sz w:val="21"/>
              </w:rPr>
              <w:t>的，应当组织听证。 本条前款所称较大数额，是指对公</w:t>
            </w:r>
            <w:r>
              <w:rPr>
                <w:rFonts w:hint="default"/>
                <w:spacing w:val="-3"/>
                <w:sz w:val="21"/>
              </w:rPr>
              <w:t>民罚款１万元以上、对法人或其他组织罚款１０万元以 上；地方通信主管部门也可以按照省、自治区、直辖市人</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大常委会或者人民政府规定的标准执行。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8" w:hRule="atLeast"/>
        </w:trPr>
        <w:tc>
          <w:tcPr>
            <w:tcW w:w="487"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ind w:left="9" w:right="0"/>
              <w:jc w:val="center"/>
              <w:rPr>
                <w:rFonts w:hint="default"/>
                <w:b/>
                <w:sz w:val="21"/>
              </w:rPr>
            </w:pPr>
            <w:r>
              <w:rPr>
                <w:rFonts w:hint="default"/>
                <w:b/>
                <w:w w:val="98"/>
                <w:sz w:val="21"/>
              </w:rPr>
              <w:t>9</w:t>
            </w:r>
          </w:p>
        </w:tc>
        <w:tc>
          <w:tcPr>
            <w:tcW w:w="950" w:type="dxa"/>
            <w:vMerge w:val="restart"/>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1"/>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自然资源部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《测绘行政处罚程序规定》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第二十六条</w:t>
            </w:r>
          </w:p>
        </w:tc>
        <w:tc>
          <w:tcPr>
            <w:tcW w:w="5420" w:type="dxa"/>
            <w:gridSpan w:val="2"/>
          </w:tcPr>
          <w:p>
            <w:pPr>
              <w:pStyle w:val="25"/>
              <w:keepNext w:val="0"/>
              <w:keepLines w:val="0"/>
              <w:suppressLineNumbers w:val="0"/>
              <w:spacing w:before="0" w:beforeAutospacing="0" w:after="0" w:afterAutospacing="0" w:line="364" w:lineRule="auto"/>
              <w:ind w:left="115" w:right="-15" w:firstLine="410"/>
              <w:rPr>
                <w:rFonts w:hint="default"/>
                <w:sz w:val="21"/>
              </w:rPr>
            </w:pPr>
            <w:r>
              <w:rPr>
                <w:rFonts w:hint="default"/>
                <w:spacing w:val="-5"/>
                <w:sz w:val="21"/>
              </w:rPr>
              <w:t>测绘主管部门在作出下列行政处罚决定之前， 应当告</w:t>
            </w:r>
            <w:r>
              <w:rPr>
                <w:rFonts w:hint="default"/>
                <w:spacing w:val="-3"/>
                <w:sz w:val="21"/>
              </w:rPr>
              <w:t>知当事人有要求举行听证的权利，当事人要求听证的，作出行政处罚决定的测绘主管部门应当依照法律法规的规定</w:t>
            </w:r>
            <w:r>
              <w:rPr>
                <w:rFonts w:hint="default"/>
                <w:spacing w:val="-7"/>
                <w:sz w:val="21"/>
              </w:rPr>
              <w:t>组织听证：(一) 取消测绘资格；(二)停止测绘活动、停止</w:t>
            </w:r>
            <w:r>
              <w:rPr>
                <w:rFonts w:hint="default"/>
                <w:spacing w:val="-5"/>
                <w:sz w:val="21"/>
              </w:rPr>
              <w:t xml:space="preserve">地图编制活动；(三)没收违法所得、没收测绘成果； (四) </w:t>
            </w:r>
            <w:r>
              <w:rPr>
                <w:rFonts w:hint="default"/>
                <w:spacing w:val="-3"/>
                <w:sz w:val="21"/>
              </w:rPr>
              <w:t>对公民处以一千元以上罚款、对法人处以一万元以上罚 款，省级人民政府或者省级人民政府法制部门对罚款数额</w:t>
            </w:r>
          </w:p>
          <w:p>
            <w:pPr>
              <w:pStyle w:val="25"/>
              <w:keepNext w:val="0"/>
              <w:keepLines w:val="0"/>
              <w:suppressLineNumbers w:val="0"/>
              <w:spacing w:before="0" w:beforeAutospacing="0" w:after="0" w:afterAutospacing="0" w:line="267" w:lineRule="exact"/>
              <w:ind w:left="115" w:right="0"/>
              <w:rPr>
                <w:rFonts w:hint="default"/>
                <w:sz w:val="21"/>
              </w:rPr>
            </w:pPr>
            <w:r>
              <w:rPr>
                <w:rFonts w:hint="default"/>
                <w:sz w:val="21"/>
              </w:rPr>
              <w:t>另有规定的，也可以依规定进行。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9" w:hRule="atLeast"/>
        </w:trPr>
        <w:tc>
          <w:tcPr>
            <w:tcW w:w="487"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950" w:type="dxa"/>
            <w:vMerge w:val="continue"/>
            <w:tcBorders>
              <w:top w:val="nil"/>
            </w:tcBorders>
          </w:tcPr>
          <w:p>
            <w:pPr>
              <w:keepNext w:val="0"/>
              <w:keepLines w:val="0"/>
              <w:suppressLineNumbers w:val="0"/>
              <w:spacing w:before="0" w:beforeAutospacing="0" w:after="0" w:afterAutospacing="0"/>
              <w:ind w:left="0" w:right="0"/>
              <w:rPr>
                <w:rFonts w:hint="default"/>
                <w:sz w:val="2"/>
                <w:szCs w:val="2"/>
              </w:rPr>
            </w:pP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《海洋行政处罚实施办法》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第四十一条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重大海洋违法案件，是指拟作出下列海洋行政处罚的案件：（一）责令停止经批准的海底电缆管道海上作业、责令停止经批准的涉外海洋科学研究活动、责令停止经批准的海洋工程建设项目施工或者生产、使用的以及其他责令停止经批准的作业活动的；（二）吊销废弃物海洋倾倒许可证的；（三）注销海域使用权证书， 收回海域使用权的；（四）对个人处以超过五千元罚款、对单位处以超过</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五万元罚款等海洋行政处罚的。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8" w:beforeAutospacing="0" w:after="0" w:afterAutospacing="0"/>
              <w:ind w:left="0" w:right="0"/>
              <w:rPr>
                <w:rFonts w:hint="default" w:ascii="微软雅黑"/>
                <w:b/>
                <w:sz w:val="26"/>
              </w:rPr>
            </w:pPr>
          </w:p>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国家卫生健康委员会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《卫生行政处罚程序》</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第三十条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卫生行政机关在作出的责令停产停业、吊销许可证 或者较大数额罚款等行政处罚决定前，应当告知当事人 有要求举行听证的权利。当事人要求听证的，卫生行政 机关应当组织听证。听证由卫生机关内部法制机构或主 管法制工作的综合机构负责。对较大数额罚款的听证范 围依照省、自治区、直辖市人大常委会或人民政府的具 体规定执行。国境卫生检疫机关对二万元以上数额的罚</w:t>
            </w:r>
          </w:p>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款实行听证。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2"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0" w:beforeAutospacing="0" w:after="0" w:afterAutospacing="0"/>
              <w:ind w:left="0" w:right="0"/>
              <w:rPr>
                <w:rFonts w:hint="default" w:ascii="Times New Roman"/>
                <w:sz w:val="20"/>
              </w:rPr>
            </w:pP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20" w:type="dxa"/>
            <w:gridSpan w:val="2"/>
          </w:tcPr>
          <w:p>
            <w:pPr>
              <w:pStyle w:val="25"/>
              <w:keepNext w:val="0"/>
              <w:keepLines w:val="0"/>
              <w:suppressLineNumbers w:val="0"/>
              <w:spacing w:before="0" w:beforeAutospacing="0" w:after="0" w:afterAutospacing="0" w:line="268" w:lineRule="exact"/>
              <w:ind w:left="526" w:right="0"/>
              <w:rPr>
                <w:rFonts w:hint="default"/>
                <w:sz w:val="21"/>
              </w:rPr>
            </w:pPr>
            <w:r>
              <w:rPr>
                <w:rFonts w:hint="default"/>
                <w:sz w:val="21"/>
              </w:rPr>
              <w:t>执法部门作出下列行政处罚决定之前，应当在送达</w:t>
            </w:r>
          </w:p>
          <w:p>
            <w:pPr>
              <w:pStyle w:val="25"/>
              <w:keepNext w:val="0"/>
              <w:keepLines w:val="0"/>
              <w:suppressLineNumbers w:val="0"/>
              <w:spacing w:before="139" w:beforeAutospacing="0" w:after="0" w:afterAutospacing="0" w:line="367" w:lineRule="auto"/>
              <w:ind w:left="115" w:right="55"/>
              <w:rPr>
                <w:rFonts w:hint="default"/>
                <w:sz w:val="21"/>
              </w:rPr>
            </w:pPr>
            <w:r>
              <w:rPr>
                <w:rFonts w:hint="default"/>
                <w:spacing w:val="-5"/>
                <w:sz w:val="21"/>
              </w:rPr>
              <w:t xml:space="preserve">《违法行为通知书》时告知当事人有要求举行听证的权 </w:t>
            </w:r>
            <w:r>
              <w:rPr>
                <w:rFonts w:hint="default"/>
                <w:spacing w:val="-8"/>
                <w:sz w:val="21"/>
              </w:rPr>
              <w:t>利：</w:t>
            </w:r>
            <w:r>
              <w:rPr>
                <w:rFonts w:hint="default"/>
                <w:spacing w:val="-10"/>
                <w:sz w:val="21"/>
              </w:rPr>
              <w:t>（</w:t>
            </w:r>
            <w:r>
              <w:rPr>
                <w:rFonts w:hint="default"/>
                <w:sz w:val="21"/>
              </w:rPr>
              <w:t>一</w:t>
            </w:r>
            <w:r>
              <w:rPr>
                <w:rFonts w:hint="default"/>
                <w:spacing w:val="-13"/>
                <w:sz w:val="21"/>
              </w:rPr>
              <w:t>）</w:t>
            </w:r>
            <w:r>
              <w:rPr>
                <w:rFonts w:hint="default"/>
                <w:spacing w:val="-4"/>
                <w:sz w:val="21"/>
              </w:rPr>
              <w:t>责令停产停业；</w:t>
            </w:r>
            <w:r>
              <w:rPr>
                <w:rFonts w:hint="default"/>
                <w:spacing w:val="-8"/>
                <w:sz w:val="21"/>
              </w:rPr>
              <w:t>（</w:t>
            </w:r>
            <w:r>
              <w:rPr>
                <w:rFonts w:hint="default"/>
                <w:sz w:val="21"/>
              </w:rPr>
              <w:t>二）</w:t>
            </w:r>
            <w:r>
              <w:rPr>
                <w:rFonts w:hint="default"/>
                <w:spacing w:val="-8"/>
                <w:sz w:val="21"/>
              </w:rPr>
              <w:t xml:space="preserve"> 吊销许可证或者执照；</w:t>
            </w:r>
          </w:p>
          <w:p>
            <w:pPr>
              <w:pStyle w:val="25"/>
              <w:keepNext w:val="0"/>
              <w:keepLines w:val="0"/>
              <w:suppressLineNumbers w:val="0"/>
              <w:spacing w:before="0" w:beforeAutospacing="0" w:after="0" w:afterAutospacing="0" w:line="264" w:lineRule="exact"/>
              <w:ind w:left="115" w:right="0"/>
              <w:rPr>
                <w:rFonts w:hint="default"/>
                <w:sz w:val="21"/>
              </w:rPr>
            </w:pPr>
            <w:r>
              <w:rPr>
                <w:rFonts w:hint="default"/>
                <w:sz w:val="21"/>
              </w:rPr>
              <w:t>（三）较大数额罚款；（四）法律、法规和规章规定的当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3"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11</w:t>
            </w:r>
          </w:p>
        </w:tc>
        <w:tc>
          <w:tcPr>
            <w:tcW w:w="950" w:type="dxa"/>
          </w:tcPr>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交通运输部</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《交通远输行政执法程</w:t>
            </w:r>
            <w:r>
              <w:rPr>
                <w:rFonts w:hint="default"/>
                <w:b/>
                <w:sz w:val="21"/>
              </w:rPr>
              <w:t>序规定》</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第七十六条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事人可以要求举行听证的其他情形。前款第（三）项规定 的较大数额，地方执法部门按照省级人大常委会或者人民 政府规定或者其授权部门规定的标准执行。海事执法部门按照对自然人处 1 万元以上、对法人或者其他组织 10万元以上执行。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12</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水利部</w:t>
            </w:r>
          </w:p>
        </w:tc>
        <w:tc>
          <w:tcPr>
            <w:tcW w:w="1270" w:type="dxa"/>
          </w:tcPr>
          <w:p>
            <w:pPr>
              <w:pStyle w:val="25"/>
              <w:keepNext w:val="0"/>
              <w:keepLines w:val="0"/>
              <w:suppressLineNumbers w:val="0"/>
              <w:spacing w:before="9"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410" w:lineRule="atLeast"/>
              <w:ind w:left="110" w:right="96"/>
              <w:jc w:val="center"/>
              <w:rPr>
                <w:rFonts w:hint="default"/>
                <w:b/>
                <w:sz w:val="21"/>
              </w:rPr>
            </w:pPr>
            <w:r>
              <w:rPr>
                <w:rFonts w:hint="default"/>
                <w:b/>
                <w:spacing w:val="-4"/>
                <w:sz w:val="21"/>
              </w:rPr>
              <w:t>《水行政处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第三十四条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水行政处罚机关作出对公民处以超过五千元、对法人或者其他组织处以超过五万元罚款以及吊销许可证等水行政处罚之前，应当告知当事人有要求举行听证的权利；当事人要求听证的，水行政处罚机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3"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3"/>
              </w:rPr>
            </w:pPr>
          </w:p>
          <w:p>
            <w:pPr>
              <w:pStyle w:val="25"/>
              <w:keepNext w:val="0"/>
              <w:keepLines w:val="0"/>
              <w:suppressLineNumbers w:val="0"/>
              <w:spacing w:before="1" w:beforeAutospacing="0" w:after="0" w:afterAutospacing="0" w:line="364" w:lineRule="auto"/>
              <w:ind w:left="368" w:right="40" w:hanging="315"/>
              <w:rPr>
                <w:rFonts w:hint="default"/>
                <w:b/>
                <w:sz w:val="21"/>
              </w:rPr>
            </w:pPr>
            <w:r>
              <w:rPr>
                <w:rFonts w:hint="default"/>
                <w:b/>
                <w:sz w:val="21"/>
              </w:rPr>
              <w:t>农业农村部</w:t>
            </w:r>
          </w:p>
        </w:tc>
        <w:tc>
          <w:tcPr>
            <w:tcW w:w="1270" w:type="dxa"/>
          </w:tcPr>
          <w:p>
            <w:pPr>
              <w:pStyle w:val="25"/>
              <w:keepNext w:val="0"/>
              <w:keepLines w:val="0"/>
              <w:suppressLineNumbers w:val="0"/>
              <w:spacing w:before="0"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400" w:lineRule="atLeast"/>
              <w:ind w:left="89" w:right="75"/>
              <w:jc w:val="center"/>
              <w:rPr>
                <w:rFonts w:hint="default"/>
                <w:b/>
                <w:sz w:val="21"/>
              </w:rPr>
            </w:pPr>
            <w:r>
              <w:rPr>
                <w:rFonts w:hint="default"/>
                <w:b/>
                <w:sz w:val="21"/>
              </w:rPr>
              <w:t>《农业行政处罚程序规定》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5"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第五十九条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对需要继续行驶的农业机械、渔业船舶实施暂扣或者 吊销证照的行政处罚，农业行政处罚机关在实施行政处罚 的同时，应当发给当事人相应的证明，允许农业机械、渔</w:t>
            </w:r>
          </w:p>
          <w:p>
            <w:pPr>
              <w:pStyle w:val="25"/>
              <w:keepNext w:val="0"/>
              <w:keepLines w:val="0"/>
              <w:suppressLineNumbers w:val="0"/>
              <w:spacing w:before="0" w:beforeAutospacing="0" w:after="0" w:afterAutospacing="0" w:line="266" w:lineRule="exact"/>
              <w:ind w:left="115" w:right="0"/>
              <w:rPr>
                <w:rFonts w:hint="default"/>
                <w:sz w:val="21"/>
              </w:rPr>
            </w:pPr>
            <w:r>
              <w:rPr>
                <w:rFonts w:hint="default"/>
                <w:sz w:val="21"/>
              </w:rPr>
              <w:t>业船舶驶往预定或指定的地点。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6"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14</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51" w:right="40"/>
              <w:jc w:val="center"/>
              <w:rPr>
                <w:rFonts w:hint="default"/>
                <w:b/>
                <w:sz w:val="21"/>
              </w:rPr>
            </w:pPr>
            <w:r>
              <w:rPr>
                <w:rFonts w:hint="default"/>
                <w:b/>
                <w:sz w:val="21"/>
              </w:rPr>
              <w:t>商务部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《商务部行政</w:t>
            </w:r>
          </w:p>
          <w:p>
            <w:pPr>
              <w:pStyle w:val="25"/>
              <w:keepNext w:val="0"/>
              <w:keepLines w:val="0"/>
              <w:suppressLineNumbers w:val="0"/>
              <w:spacing w:before="0" w:beforeAutospacing="0" w:after="0" w:afterAutospacing="0" w:line="364" w:lineRule="auto"/>
              <w:ind w:left="215" w:right="199"/>
              <w:jc w:val="center"/>
              <w:rPr>
                <w:rFonts w:hint="default"/>
                <w:b/>
                <w:sz w:val="21"/>
              </w:rPr>
            </w:pPr>
            <w:r>
              <w:rPr>
                <w:rFonts w:hint="default"/>
                <w:b/>
                <w:sz w:val="21"/>
              </w:rPr>
              <w:t>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第十九条</w:t>
            </w:r>
          </w:p>
        </w:tc>
        <w:tc>
          <w:tcPr>
            <w:tcW w:w="5420" w:type="dxa"/>
            <w:gridSpan w:val="2"/>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法制机构应当按照行政处罚委员会审理会的处理意见制 作行政处罚告知书，书面告知当事人拟作出行政处罚的事实、理由及依据，并告知当事人依法享有陈述、申辩的权利。 拟作出 3万元以上（不含 3 万元）罚款或责令停产停业、吊销许可证或执照的行政处罚的，应当在行政处罚告知 书中告知当事人有要求举行听证的权利。 当事人要求陈述、申辩或者举行听证的，应当在收到行政处罚告知书后 3 日内向法制机构提出。 法制机构应当充分听取当事人意见，并对有关情况进行复核。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15</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1"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z w:val="21"/>
              </w:rPr>
              <w:t>国家文化与 旅游部</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4" w:beforeAutospacing="0" w:after="0" w:afterAutospacing="0"/>
              <w:ind w:left="0" w:right="0"/>
              <w:rPr>
                <w:rFonts w:hint="default" w:ascii="微软雅黑"/>
                <w:b/>
                <w:sz w:val="19"/>
              </w:rPr>
            </w:pPr>
          </w:p>
          <w:p>
            <w:pPr>
              <w:pStyle w:val="25"/>
              <w:keepNext w:val="0"/>
              <w:keepLines w:val="0"/>
              <w:suppressLineNumbers w:val="0"/>
              <w:spacing w:before="0" w:beforeAutospacing="0" w:after="0" w:afterAutospacing="0" w:line="364" w:lineRule="auto"/>
              <w:ind w:left="110" w:right="55"/>
              <w:rPr>
                <w:rFonts w:hint="default"/>
                <w:b/>
                <w:sz w:val="21"/>
              </w:rPr>
            </w:pPr>
            <w:r>
              <w:rPr>
                <w:rFonts w:hint="default"/>
                <w:b/>
                <w:sz w:val="21"/>
              </w:rPr>
              <w:t>《旅游行政处罚办法》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20" w:type="dxa"/>
            <w:gridSpan w:val="2"/>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旅游主管部门作出较大数额罚款、没收较大数额违法所 得、取消出国（境）旅游业务经营资格、责令停业整顿、吊 销旅行社业务经营许可证、导游证或者领队证等行政处罚决 定前，应当以书面形式告知当事人有申请听证的权利。听证 告知的内容应当包括，提出听证申请的期限，未如期提出申 请的法律后果，以及受理听证申请的旅游主管部门名称、地 址等内容。第一款所称较大数额，对公民为 1 万元人民币以上、对法人或者其他组织为 5 万元人民币以上；地方人民代表大会及其常务委员会或者地方人民政府另有规定的， 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16</w:t>
            </w:r>
          </w:p>
        </w:tc>
        <w:tc>
          <w:tcPr>
            <w:tcW w:w="950" w:type="dxa"/>
          </w:tcPr>
          <w:p>
            <w:pPr>
              <w:pStyle w:val="25"/>
              <w:keepNext w:val="0"/>
              <w:keepLines w:val="0"/>
              <w:suppressLineNumbers w:val="0"/>
              <w:spacing w:before="1" w:beforeAutospacing="0" w:after="0" w:afterAutospacing="0" w:line="364" w:lineRule="auto"/>
              <w:ind w:left="265" w:right="40" w:hanging="212"/>
              <w:rPr>
                <w:rFonts w:hint="default"/>
                <w:b/>
                <w:sz w:val="21"/>
              </w:rPr>
            </w:pPr>
            <w:r>
              <w:rPr>
                <w:rFonts w:hint="default"/>
                <w:b/>
                <w:sz w:val="21"/>
              </w:rPr>
              <w:t>中国人民银行</w:t>
            </w:r>
          </w:p>
        </w:tc>
        <w:tc>
          <w:tcPr>
            <w:tcW w:w="1270" w:type="dxa"/>
          </w:tcPr>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《关于确定中国人民银行举行听证的较大数额</w:t>
            </w:r>
            <w:r>
              <w:rPr>
                <w:rFonts w:hint="default"/>
                <w:b/>
                <w:sz w:val="21"/>
              </w:rPr>
              <w:t>罚款幅度</w:t>
            </w:r>
          </w:p>
          <w:p>
            <w:pPr>
              <w:pStyle w:val="25"/>
              <w:keepNext w:val="0"/>
              <w:keepLines w:val="0"/>
              <w:suppressLineNumbers w:val="0"/>
              <w:spacing w:before="0" w:beforeAutospacing="0" w:after="0" w:afterAutospacing="0" w:line="267" w:lineRule="exact"/>
              <w:ind w:left="215" w:right="0"/>
              <w:rPr>
                <w:rFonts w:hint="default"/>
                <w:b/>
                <w:sz w:val="21"/>
              </w:rPr>
            </w:pPr>
            <w:r>
              <w:rPr>
                <w:rFonts w:hint="default"/>
                <w:b/>
                <w:sz w:val="21"/>
              </w:rPr>
              <w:t>的通知》</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8" w:right="0"/>
              <w:jc w:val="center"/>
              <w:rPr>
                <w:rFonts w:hint="default"/>
                <w:b/>
                <w:sz w:val="21"/>
              </w:rPr>
            </w:pPr>
            <w:r>
              <w:rPr>
                <w:rFonts w:hint="default"/>
                <w:b/>
                <w:w w:val="98"/>
                <w:sz w:val="21"/>
              </w:rPr>
              <w:t>/</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4"/>
                <w:sz w:val="21"/>
              </w:rPr>
              <w:t>为保障中国人民银行听证工作的顺利进行，现规定中国 人民银行举行听证的“较大数额的罚款”为：县级支行五万 元以上，地（市）级分行二十万元以上，省级分行五十万元 以上，总行三百万元以上（均不含本数）。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540" w:hRule="atLeast"/>
        </w:trPr>
        <w:tc>
          <w:tcPr>
            <w:tcW w:w="9296" w:type="dxa"/>
            <w:gridSpan w:val="5"/>
          </w:tcPr>
          <w:p>
            <w:pPr>
              <w:pStyle w:val="25"/>
              <w:keepNext w:val="0"/>
              <w:keepLines w:val="0"/>
              <w:suppressLineNumbers w:val="0"/>
              <w:spacing w:before="0" w:beforeAutospacing="0" w:after="0" w:afterAutospacing="0" w:line="373" w:lineRule="exact"/>
              <w:ind w:left="4101" w:right="3674"/>
              <w:jc w:val="center"/>
              <w:rPr>
                <w:rFonts w:hint="default" w:ascii="微软雅黑" w:eastAsia="微软雅黑"/>
                <w:b/>
                <w:sz w:val="21"/>
              </w:rPr>
            </w:pPr>
            <w:r>
              <w:rPr>
                <w:rFonts w:hint="eastAsia" w:ascii="微软雅黑" w:eastAsia="微软雅黑"/>
                <w:b/>
                <w:sz w:val="21"/>
              </w:rPr>
              <w:t>国务院直属机构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042" w:hRule="atLeast"/>
        </w:trPr>
        <w:tc>
          <w:tcPr>
            <w:tcW w:w="487" w:type="dxa"/>
          </w:tcPr>
          <w:p>
            <w:pPr>
              <w:pStyle w:val="25"/>
              <w:keepNext w:val="0"/>
              <w:keepLines w:val="0"/>
              <w:suppressLineNumbers w:val="0"/>
              <w:spacing w:before="2" w:beforeAutospacing="0" w:after="0" w:afterAutospacing="0"/>
              <w:ind w:left="117" w:right="108"/>
              <w:jc w:val="center"/>
              <w:rPr>
                <w:rFonts w:hint="default"/>
                <w:b/>
                <w:sz w:val="21"/>
              </w:rPr>
            </w:pPr>
            <w:r>
              <w:rPr>
                <w:rFonts w:hint="default"/>
                <w:b/>
                <w:sz w:val="21"/>
              </w:rPr>
              <w:t>17</w:t>
            </w:r>
          </w:p>
        </w:tc>
        <w:tc>
          <w:tcPr>
            <w:tcW w:w="950" w:type="dxa"/>
          </w:tcPr>
          <w:p>
            <w:pPr>
              <w:pStyle w:val="25"/>
              <w:keepNext w:val="0"/>
              <w:keepLines w:val="0"/>
              <w:suppressLineNumbers w:val="0"/>
              <w:spacing w:before="2" w:beforeAutospacing="0" w:after="0" w:afterAutospacing="0" w:line="364" w:lineRule="auto"/>
              <w:ind w:left="265" w:right="252"/>
              <w:rPr>
                <w:rFonts w:hint="default"/>
                <w:b/>
                <w:sz w:val="21"/>
              </w:rPr>
            </w:pPr>
            <w:r>
              <w:rPr>
                <w:rFonts w:hint="default"/>
                <w:b/>
                <w:sz w:val="21"/>
              </w:rPr>
              <w:t>海关总署</w:t>
            </w:r>
          </w:p>
        </w:tc>
        <w:tc>
          <w:tcPr>
            <w:tcW w:w="1270" w:type="dxa"/>
          </w:tcPr>
          <w:p>
            <w:pPr>
              <w:pStyle w:val="25"/>
              <w:keepNext w:val="0"/>
              <w:keepLines w:val="0"/>
              <w:suppressLineNumbers w:val="0"/>
              <w:spacing w:before="2" w:beforeAutospacing="0" w:after="0" w:afterAutospacing="0" w:line="364" w:lineRule="auto"/>
              <w:ind w:left="89" w:right="75"/>
              <w:jc w:val="center"/>
              <w:rPr>
                <w:rFonts w:hint="default"/>
                <w:b/>
                <w:sz w:val="21"/>
              </w:rPr>
            </w:pPr>
            <w:r>
              <w:rPr>
                <w:rFonts w:hint="default"/>
                <w:b/>
                <w:sz w:val="21"/>
              </w:rPr>
              <w:t>《中华人民共和国海关行政处罚听办法》</w:t>
            </w:r>
          </w:p>
        </w:tc>
        <w:tc>
          <w:tcPr>
            <w:tcW w:w="1170" w:type="dxa"/>
          </w:tcPr>
          <w:p>
            <w:pPr>
              <w:pStyle w:val="25"/>
              <w:keepNext w:val="0"/>
              <w:keepLines w:val="0"/>
              <w:suppressLineNumbers w:val="0"/>
              <w:spacing w:before="2"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0" w:beforeAutospacing="0" w:after="0" w:afterAutospacing="0" w:line="265" w:lineRule="exact"/>
              <w:ind w:left="5" w:right="0"/>
              <w:rPr>
                <w:rFonts w:hint="default"/>
                <w:sz w:val="21"/>
              </w:rPr>
            </w:pPr>
            <w:r>
              <w:rPr>
                <w:rFonts w:hint="default"/>
                <w:spacing w:val="-4"/>
                <w:sz w:val="21"/>
              </w:rPr>
              <w:t>海关作出暂停从事有关业务、撤销海关注册登记、对公 民处 1 万元以上罚款、对法人或者其他组织处 10 万元以上罚款、没收有关货物、物品、走私运输工具等行政处罚决 定之前，应当告知当事人有要求举行听证的权利；当事人要求听证的，海关应当组织听证。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18</w:t>
            </w:r>
          </w:p>
        </w:tc>
        <w:tc>
          <w:tcPr>
            <w:tcW w:w="950" w:type="dxa"/>
          </w:tcPr>
          <w:p>
            <w:pPr>
              <w:pStyle w:val="25"/>
              <w:keepNext w:val="0"/>
              <w:keepLines w:val="0"/>
              <w:suppressLineNumbers w:val="0"/>
              <w:spacing w:before="1" w:beforeAutospacing="0" w:after="0" w:afterAutospacing="0" w:line="364" w:lineRule="auto"/>
              <w:ind w:left="54" w:right="40"/>
              <w:jc w:val="center"/>
              <w:rPr>
                <w:rFonts w:hint="default"/>
                <w:b/>
                <w:sz w:val="21"/>
              </w:rPr>
            </w:pPr>
            <w:r>
              <w:rPr>
                <w:rFonts w:hint="default"/>
                <w:b/>
                <w:sz w:val="21"/>
              </w:rPr>
              <w:t>国家市场监督管理总局</w:t>
            </w:r>
          </w:p>
        </w:tc>
        <w:tc>
          <w:tcPr>
            <w:tcW w:w="1270" w:type="dxa"/>
          </w:tcPr>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《市场监督管理行政处罚听证暂行办法》</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9"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市场监督管理部门作出下列行政处罚决定之前，应当告 知当事人有要求举行听证的权利：（一）责令停产停业；（二）吊销许可证或者执照；（三）对自然人处以一万元以 上、对法人或者其他组织处以十万元以上罚款；（四） 对自然人、法人或者其他组织作出没收违法所得和非法财物价 值达到第三项所列数额的行政处罚。各省、自治区、直辖市 人大常委会或者人民政府对前款第三项、第四项所列罚没数额有具体规定的，可以从其规定。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117" w:right="108"/>
              <w:jc w:val="center"/>
              <w:rPr>
                <w:rFonts w:hint="default"/>
                <w:b/>
                <w:sz w:val="21"/>
              </w:rPr>
            </w:pPr>
            <w:r>
              <w:rPr>
                <w:rFonts w:hint="default"/>
                <w:b/>
                <w:sz w:val="21"/>
              </w:rPr>
              <w:t>19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9"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7" w:lineRule="auto"/>
              <w:ind w:left="265" w:right="40" w:hanging="212"/>
              <w:rPr>
                <w:rFonts w:hint="default"/>
                <w:b/>
                <w:sz w:val="21"/>
              </w:rPr>
            </w:pPr>
            <w:r>
              <w:rPr>
                <w:rFonts w:hint="default"/>
                <w:b/>
                <w:sz w:val="21"/>
              </w:rPr>
              <w:t>国家税务总局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《税务行政处罚听证程</w:t>
            </w:r>
            <w:r>
              <w:rPr>
                <w:rFonts w:hint="default"/>
                <w:b/>
                <w:spacing w:val="-4"/>
                <w:w w:val="95"/>
                <w:sz w:val="21"/>
              </w:rPr>
              <w:t>序实施办法</w:t>
            </w:r>
          </w:p>
          <w:p>
            <w:pPr>
              <w:pStyle w:val="25"/>
              <w:keepNext w:val="0"/>
              <w:keepLines w:val="0"/>
              <w:suppressLineNumbers w:val="0"/>
              <w:spacing w:before="0" w:beforeAutospacing="0" w:after="0" w:afterAutospacing="0" w:line="269" w:lineRule="exact"/>
              <w:ind w:left="110" w:right="0"/>
              <w:rPr>
                <w:rFonts w:hint="default"/>
                <w:b/>
                <w:sz w:val="21"/>
              </w:rPr>
            </w:pPr>
            <w:r>
              <w:rPr>
                <w:rFonts w:hint="default"/>
                <w:b/>
                <w:w w:val="95"/>
                <w:sz w:val="21"/>
              </w:rPr>
              <w:t>（试行）》</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1" w:beforeAutospacing="0" w:after="0" w:afterAutospacing="0"/>
              <w:ind w:left="37" w:right="25"/>
              <w:jc w:val="center"/>
              <w:rPr>
                <w:rFonts w:hint="default"/>
                <w:b/>
                <w:sz w:val="21"/>
              </w:rPr>
            </w:pPr>
            <w:r>
              <w:rPr>
                <w:rFonts w:hint="default"/>
                <w:b/>
                <w:sz w:val="21"/>
              </w:rPr>
              <w:t>第三条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税务机关对公民作出 2000 元以上（含本数）罚款或者对法人或者其他组织作出１万元以上（含本数）罚款或者对 法人或者其他组织作出１万元以上（含本数）罚款的行政处 罚之前， 告知当事人送达《税务行政处罚事项告知书》， 告知当事人已经查明的违法事实、证据、行政处罚的法律依据和拟将给予的行政处罚，并告知有要求举行听证的权利。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2450"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国家版权局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1" w:beforeAutospacing="0" w:after="0" w:afterAutospacing="0" w:line="364" w:lineRule="auto"/>
              <w:ind w:left="89" w:right="75"/>
              <w:jc w:val="center"/>
              <w:rPr>
                <w:rFonts w:hint="default"/>
                <w:b/>
                <w:sz w:val="21"/>
              </w:rPr>
            </w:pPr>
            <w:r>
              <w:rPr>
                <w:rFonts w:hint="default"/>
                <w:b/>
                <w:sz w:val="21"/>
              </w:rPr>
              <w:t>《著作权行政处罚实施办法》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第三十三条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著作权行政管理部门作出较大数额罚款决定或者法律、 行政法规规定应当听证的其他行政处罚决定前，应当告知当 事人有要求举行听证的权利。 前款所称“较大数额款”， 是指对个人处以两万元以上、对单位处以十万元以上的罚款。地方性法规、规章对听证要求另有规定的，依照地方性法规、规章办理。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 w:type="dxa"/>
          <w:trHeight w:val="815"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21</w:t>
            </w:r>
          </w:p>
        </w:tc>
        <w:tc>
          <w:tcPr>
            <w:tcW w:w="950" w:type="dxa"/>
          </w:tcPr>
          <w:p>
            <w:pPr>
              <w:pStyle w:val="25"/>
              <w:keepNext w:val="0"/>
              <w:keepLines w:val="0"/>
              <w:suppressLineNumbers w:val="0"/>
              <w:spacing w:before="2" w:beforeAutospacing="0" w:after="0" w:afterAutospacing="0"/>
              <w:ind w:left="54" w:right="0"/>
              <w:rPr>
                <w:rFonts w:hint="default"/>
                <w:b/>
                <w:sz w:val="21"/>
              </w:rPr>
            </w:pPr>
            <w:r>
              <w:rPr>
                <w:rFonts w:hint="default"/>
                <w:b/>
                <w:w w:val="95"/>
                <w:sz w:val="21"/>
              </w:rPr>
              <w:t>国家广播</w:t>
            </w:r>
          </w:p>
          <w:p>
            <w:pPr>
              <w:pStyle w:val="25"/>
              <w:keepNext w:val="0"/>
              <w:keepLines w:val="0"/>
              <w:suppressLineNumbers w:val="0"/>
              <w:spacing w:before="139" w:beforeAutospacing="0" w:after="0" w:afterAutospacing="0"/>
              <w:ind w:left="54" w:right="0"/>
              <w:rPr>
                <w:rFonts w:hint="default"/>
                <w:b/>
                <w:sz w:val="21"/>
              </w:rPr>
            </w:pPr>
            <w:r>
              <w:rPr>
                <w:rFonts w:hint="default"/>
                <w:b/>
                <w:w w:val="95"/>
                <w:sz w:val="21"/>
              </w:rPr>
              <w:t>电视总局</w:t>
            </w:r>
          </w:p>
        </w:tc>
        <w:tc>
          <w:tcPr>
            <w:tcW w:w="1270" w:type="dxa"/>
          </w:tcPr>
          <w:p>
            <w:pPr>
              <w:pStyle w:val="25"/>
              <w:keepNext w:val="0"/>
              <w:keepLines w:val="0"/>
              <w:suppressLineNumbers w:val="0"/>
              <w:spacing w:before="2" w:beforeAutospacing="0" w:after="0" w:afterAutospacing="0"/>
              <w:ind w:left="110" w:right="0"/>
              <w:rPr>
                <w:rFonts w:hint="default"/>
                <w:b/>
                <w:sz w:val="21"/>
              </w:rPr>
            </w:pPr>
            <w:r>
              <w:rPr>
                <w:rFonts w:hint="default"/>
                <w:b/>
                <w:w w:val="95"/>
                <w:sz w:val="21"/>
              </w:rPr>
              <w:t>《广播电影</w:t>
            </w:r>
          </w:p>
          <w:p>
            <w:pPr>
              <w:pStyle w:val="25"/>
              <w:keepNext w:val="0"/>
              <w:keepLines w:val="0"/>
              <w:suppressLineNumbers w:val="0"/>
              <w:spacing w:before="139" w:beforeAutospacing="0" w:after="0" w:afterAutospacing="0"/>
              <w:ind w:left="110" w:right="0"/>
              <w:rPr>
                <w:rFonts w:hint="default"/>
                <w:b/>
                <w:sz w:val="21"/>
              </w:rPr>
            </w:pPr>
            <w:r>
              <w:rPr>
                <w:rFonts w:hint="default"/>
                <w:b/>
                <w:w w:val="95"/>
                <w:sz w:val="21"/>
              </w:rPr>
              <w:t>电视行政处</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第三十八条</w:t>
            </w:r>
          </w:p>
        </w:tc>
        <w:tc>
          <w:tcPr>
            <w:tcW w:w="5419" w:type="dxa"/>
          </w:tcPr>
          <w:p>
            <w:pPr>
              <w:pStyle w:val="25"/>
              <w:keepNext w:val="0"/>
              <w:keepLines w:val="0"/>
              <w:suppressLineNumbers w:val="0"/>
              <w:spacing w:before="6" w:beforeAutospacing="0" w:after="0" w:afterAutospacing="0" w:line="364" w:lineRule="auto"/>
              <w:ind w:left="115" w:right="-15" w:firstLine="420"/>
              <w:rPr>
                <w:rFonts w:hint="default"/>
                <w:spacing w:val="-4"/>
                <w:sz w:val="21"/>
              </w:rPr>
            </w:pPr>
            <w:r>
              <w:rPr>
                <w:rFonts w:hint="default"/>
                <w:spacing w:val="-4"/>
                <w:sz w:val="21"/>
              </w:rPr>
              <w:t>对较大数额罚款的听证标准，按省、自治区、直辖市人大常委会或人民政府制定的标准执 行。 广播电影电视部决</w:t>
            </w:r>
          </w:p>
        </w:tc>
      </w:tr>
    </w:tbl>
    <w:p>
      <w:pPr>
        <w:jc w:val="right"/>
        <w:rPr>
          <w:sz w:val="21"/>
        </w:rPr>
      </w:pPr>
    </w:p>
    <w:p>
      <w:pPr>
        <w:bidi w:val="0"/>
        <w:rPr>
          <w:rFonts w:ascii="宋体" w:hAnsi="宋体" w:eastAsia="宋体" w:cs="宋体"/>
          <w:sz w:val="22"/>
          <w:szCs w:val="22"/>
          <w:lang w:val="zh-CN" w:eastAsia="zh-CN" w:bidi="zh-CN"/>
        </w:rPr>
      </w:pPr>
    </w:p>
    <w:p>
      <w:pPr>
        <w:tabs>
          <w:tab w:val="left" w:pos="461"/>
        </w:tabs>
        <w:bidi w:val="0"/>
        <w:jc w:val="left"/>
        <w:rPr>
          <w:lang w:val="zh-CN" w:eastAsia="zh-CN"/>
        </w:rPr>
      </w:pPr>
      <w:r>
        <w:rPr>
          <w:rFonts w:hint="eastAsia"/>
          <w:lang w:val="zh-CN" w:eastAsia="zh-CN"/>
        </w:rPr>
        <w:tab/>
      </w: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罚程序暂行</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规定》</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1" w:beforeAutospacing="0" w:after="0" w:afterAutospacing="0"/>
              <w:ind w:left="5" w:right="-15"/>
              <w:rPr>
                <w:rFonts w:hint="default"/>
                <w:sz w:val="21"/>
              </w:rPr>
            </w:pPr>
            <w:r>
              <w:rPr>
                <w:rFonts w:hint="default"/>
                <w:spacing w:val="-4"/>
                <w:sz w:val="21"/>
              </w:rPr>
              <w:t>定罚款十万元以上（含十万元）的，当事人可以要求听证。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9295" w:type="dxa"/>
            <w:gridSpan w:val="5"/>
            <w:vAlign w:val="center"/>
          </w:tcPr>
          <w:p>
            <w:pPr>
              <w:pStyle w:val="25"/>
              <w:keepNext w:val="0"/>
              <w:keepLines w:val="0"/>
              <w:suppressLineNumbers w:val="0"/>
              <w:spacing w:before="2" w:beforeAutospacing="0" w:after="0" w:afterAutospacing="0"/>
              <w:ind w:left="3467" w:right="3456"/>
              <w:jc w:val="center"/>
              <w:rPr>
                <w:rFonts w:hint="default"/>
                <w:b/>
                <w:sz w:val="21"/>
              </w:rPr>
            </w:pPr>
            <w:r>
              <w:rPr>
                <w:rFonts w:hint="default"/>
                <w:b/>
                <w:sz w:val="21"/>
              </w:rPr>
              <w:t>国务院直事业单位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22</w:t>
            </w:r>
          </w:p>
        </w:tc>
        <w:tc>
          <w:tcPr>
            <w:tcW w:w="95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368" w:right="40" w:hanging="315"/>
              <w:jc w:val="center"/>
              <w:rPr>
                <w:rFonts w:hint="default"/>
                <w:b/>
                <w:sz w:val="21"/>
              </w:rPr>
            </w:pPr>
            <w:r>
              <w:rPr>
                <w:rFonts w:hint="default"/>
                <w:b/>
                <w:sz w:val="21"/>
              </w:rPr>
              <w:t>中国气象局</w:t>
            </w:r>
          </w:p>
        </w:tc>
        <w:tc>
          <w:tcPr>
            <w:tcW w:w="12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14" w:beforeAutospacing="0" w:after="0" w:afterAutospacing="0"/>
              <w:ind w:left="0" w:right="0"/>
              <w:jc w:val="center"/>
              <w:rPr>
                <w:rFonts w:hint="default" w:ascii="微软雅黑"/>
                <w:b/>
                <w:sz w:val="18"/>
              </w:rPr>
            </w:pPr>
          </w:p>
          <w:p>
            <w:pPr>
              <w:pStyle w:val="25"/>
              <w:keepNext w:val="0"/>
              <w:keepLines w:val="0"/>
              <w:suppressLineNumbers w:val="0"/>
              <w:spacing w:before="0" w:beforeAutospacing="0" w:after="0" w:afterAutospacing="0" w:line="410" w:lineRule="atLeast"/>
              <w:ind w:left="110" w:right="55"/>
              <w:jc w:val="center"/>
              <w:rPr>
                <w:rFonts w:hint="default"/>
                <w:b/>
                <w:sz w:val="21"/>
              </w:rPr>
            </w:pPr>
            <w:r>
              <w:rPr>
                <w:rFonts w:hint="default"/>
                <w:b/>
                <w:sz w:val="21"/>
              </w:rPr>
              <w:t>《气象行政处罚办法》</w:t>
            </w:r>
          </w:p>
        </w:tc>
        <w:tc>
          <w:tcPr>
            <w:tcW w:w="1170" w:type="dxa"/>
            <w:vAlign w:val="center"/>
          </w:tcPr>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0" w:beforeAutospacing="0" w:after="0" w:afterAutospacing="0"/>
              <w:ind w:left="0" w:right="0"/>
              <w:jc w:val="center"/>
              <w:rPr>
                <w:rFonts w:hint="default" w:ascii="微软雅黑"/>
                <w:b/>
                <w:sz w:val="20"/>
              </w:rPr>
            </w:pPr>
          </w:p>
          <w:p>
            <w:pPr>
              <w:pStyle w:val="25"/>
              <w:keepNext w:val="0"/>
              <w:keepLines w:val="0"/>
              <w:suppressLineNumbers w:val="0"/>
              <w:spacing w:before="8" w:beforeAutospacing="0" w:after="0" w:afterAutospacing="0"/>
              <w:ind w:left="0" w:right="0"/>
              <w:jc w:val="center"/>
              <w:rPr>
                <w:rFonts w:hint="default" w:ascii="微软雅黑"/>
                <w:b/>
                <w:sz w:val="26"/>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第四十六条</w:t>
            </w:r>
          </w:p>
        </w:tc>
        <w:tc>
          <w:tcPr>
            <w:tcW w:w="5418" w:type="dxa"/>
            <w:vAlign w:val="center"/>
          </w:tcPr>
          <w:p>
            <w:pPr>
              <w:pStyle w:val="25"/>
              <w:keepNext w:val="0"/>
              <w:keepLines w:val="0"/>
              <w:suppressLineNumbers w:val="0"/>
              <w:spacing w:before="6" w:beforeAutospacing="0" w:after="0" w:afterAutospacing="0" w:line="364" w:lineRule="auto"/>
              <w:ind w:left="115" w:right="-15" w:firstLine="420"/>
              <w:jc w:val="center"/>
              <w:rPr>
                <w:rFonts w:hint="default"/>
                <w:sz w:val="21"/>
              </w:rPr>
            </w:pPr>
            <w:r>
              <w:rPr>
                <w:rFonts w:hint="default"/>
                <w:spacing w:val="-4"/>
                <w:sz w:val="21"/>
              </w:rPr>
              <w:t>本办法第三十四条所称“较大数额罚款”，是指对公民 处以 5000 元（不含 5000 元）以上罚款，对法人或者其他组织处以 3 万元（不含 3 万元）以上罚款。 各省、自治区、直辖市通过的地方性法规或者地方政府规章对“较大数额罚款”的限额另有规定的，可以不受上述数额的限制。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4"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23</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54" w:right="40"/>
              <w:jc w:val="both"/>
              <w:rPr>
                <w:rFonts w:hint="default"/>
                <w:b/>
                <w:sz w:val="21"/>
              </w:rPr>
            </w:pPr>
            <w:r>
              <w:rPr>
                <w:rFonts w:hint="default"/>
                <w:b/>
                <w:sz w:val="21"/>
              </w:rPr>
              <w:t>中国证券监督管理委员会</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《中国证券监督管理委员会行政处</w:t>
            </w:r>
            <w:r>
              <w:rPr>
                <w:rFonts w:hint="default"/>
                <w:b/>
                <w:sz w:val="21"/>
              </w:rPr>
              <w:t>罚听证规</w:t>
            </w:r>
          </w:p>
          <w:p>
            <w:pPr>
              <w:pStyle w:val="25"/>
              <w:keepNext w:val="0"/>
              <w:keepLines w:val="0"/>
              <w:suppressLineNumbers w:val="0"/>
              <w:spacing w:before="0" w:beforeAutospacing="0" w:after="0" w:afterAutospacing="0" w:line="268" w:lineRule="exact"/>
              <w:ind w:left="424" w:right="0"/>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8" w:beforeAutospacing="0" w:after="0" w:afterAutospacing="0"/>
              <w:ind w:left="0" w:right="0"/>
              <w:rPr>
                <w:rFonts w:hint="default" w:ascii="微软雅黑"/>
                <w:b/>
                <w:sz w:val="12"/>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中国证监会或其派出机构拟对当事人作出以下一项或者 一项以上行政处罚的，应当在向当事人送达的《行政处罚事 先告知书》中载明当事人享有要求听证的权利：（一）责令 停止发行证券；（二）责令停业整顿；（三）暂停、撤销或 者吊销证券、期货、基金相关业务许可；（四）暂停或者撤 销任职资格、从业资格；（五）对个人没收业务收入、没收 违法所得、罚款， 单独或者合计 5 万元以上；（六）对单位没收业务收入、没收违法所得、罚款，单独或者合计 30 万元以上；（七）法律、行政法规和规章规定或者中国证监会及其派出机构认为可以听证的其他情形。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35"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24</w:t>
            </w:r>
          </w:p>
        </w:tc>
        <w:tc>
          <w:tcPr>
            <w:tcW w:w="950" w:type="dxa"/>
          </w:tcPr>
          <w:p>
            <w:pPr>
              <w:pStyle w:val="25"/>
              <w:keepNext w:val="0"/>
              <w:keepLines w:val="0"/>
              <w:suppressLineNumbers w:val="0"/>
              <w:spacing w:before="0" w:beforeAutospacing="0" w:after="0" w:afterAutospacing="0" w:line="364" w:lineRule="auto"/>
              <w:ind w:left="54" w:right="40"/>
              <w:jc w:val="center"/>
              <w:rPr>
                <w:rFonts w:hint="default"/>
                <w:b/>
                <w:sz w:val="21"/>
              </w:rPr>
            </w:pPr>
            <w:r>
              <w:rPr>
                <w:rFonts w:hint="default"/>
                <w:b/>
                <w:spacing w:val="-4"/>
                <w:sz w:val="21"/>
              </w:rPr>
              <w:t>中国银行保险监督</w:t>
            </w:r>
            <w:r>
              <w:rPr>
                <w:rFonts w:hint="default"/>
                <w:b/>
                <w:sz w:val="21"/>
              </w:rPr>
              <w:t>管理委 员会</w:t>
            </w:r>
          </w:p>
        </w:tc>
        <w:tc>
          <w:tcPr>
            <w:tcW w:w="1270" w:type="dxa"/>
          </w:tcPr>
          <w:p>
            <w:pPr>
              <w:pStyle w:val="25"/>
              <w:keepNext w:val="0"/>
              <w:keepLines w:val="0"/>
              <w:suppressLineNumbers w:val="0"/>
              <w:spacing w:before="0" w:beforeAutospacing="0" w:after="0" w:afterAutospacing="0" w:line="364" w:lineRule="auto"/>
              <w:ind w:left="57" w:right="43" w:firstLine="52"/>
              <w:jc w:val="both"/>
              <w:rPr>
                <w:rFonts w:hint="default"/>
                <w:b/>
                <w:sz w:val="21"/>
              </w:rPr>
            </w:pPr>
            <w:r>
              <w:rPr>
                <w:rFonts w:hint="default"/>
                <w:b/>
                <w:sz w:val="21"/>
              </w:rPr>
              <w:t>《中国银行业监督管理委员会行政处罚 办法》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第六十七条</w:t>
            </w:r>
          </w:p>
        </w:tc>
        <w:tc>
          <w:tcPr>
            <w:tcW w:w="5418" w:type="dxa"/>
          </w:tcPr>
          <w:p>
            <w:pPr>
              <w:pStyle w:val="25"/>
              <w:keepNext w:val="0"/>
              <w:keepLines w:val="0"/>
              <w:suppressLineNumbers w:val="0"/>
              <w:spacing w:before="1" w:beforeAutospacing="0" w:after="0" w:afterAutospacing="0" w:line="364" w:lineRule="auto"/>
              <w:ind w:left="5" w:right="-15" w:firstLine="410"/>
              <w:jc w:val="both"/>
              <w:rPr>
                <w:rFonts w:hint="default"/>
                <w:sz w:val="21"/>
              </w:rPr>
            </w:pPr>
            <w:r>
              <w:rPr>
                <w:rFonts w:hint="default"/>
                <w:spacing w:val="-3"/>
                <w:sz w:val="21"/>
              </w:rPr>
              <w:t>银监会及其派出机构拟作出以下重大行政处罚决定前， 应当在行政处罚意见告知书中告知当事人有要求举行听证的 权利:（一）对银行业金融机构和其他单位作出较大数额的罚款。包括：银监会作出的 500 万元以上罚款；银监局作出的 100 万元以上罚款；银监分局作出的 50 万元以上罚款；（二）对个人作出较大数额的罚款。包括：银监会作出 的 50 万元以上罚款；银监局作出的 30 万元以上罚款；银监分局作出的 10 万元以上罚款；（三）没收较大数额的违法所得。包括：银监会作出的没收 500 万元以上违法所得；银监局作出的没收 100 万元以上违法所得；银监分局作出的没收 50 万元以上违法所得；（四）责令停业整顿；（五）吊销金融许可证；（六）取消董（理）事、高级管理 人员任职资格；（七）禁止从事银行业工作。未达到听证标 准的行政处罚案件，当事人申请听证的，行政处罚委员会办 公室认为有必要的，经行政处罚委员会主任委员同意，可以举行听证。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10"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line="364" w:lineRule="auto"/>
              <w:ind w:left="110" w:right="96"/>
              <w:jc w:val="center"/>
              <w:rPr>
                <w:rFonts w:hint="default"/>
                <w:b/>
                <w:sz w:val="21"/>
              </w:rPr>
            </w:pPr>
            <w:r>
              <w:rPr>
                <w:rFonts w:hint="default"/>
                <w:b/>
                <w:spacing w:val="-4"/>
                <w:sz w:val="21"/>
              </w:rPr>
              <w:t>《中国保险监督管理委员会行政处</w:t>
            </w:r>
            <w:r>
              <w:rPr>
                <w:rFonts w:hint="default"/>
                <w:b/>
                <w:sz w:val="21"/>
              </w:rPr>
              <w:t>罚程序规 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第四十七条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中国保监会或者派出机构拟依法作出下列行政处罚的， 应当在《行政处罚事先告知书》中一并告知当事人有要求举 行听证的权利： （一）对保险机构及保险资产管理机构法人处以 100万元以上的罚款或者对其分支机构处以 20 万元以上的罚款；对保险中介机构法人处以 30 万元以上的罚款或者对其分支机构处以 10 万元以上的罚款；对其他法人、组织处以 100 万元以上的罚款； （二）对个人处以 5 万元以上的罚款； （三）限制业务范围； （四）责令停止接受新业务； （五）责令停业整顿； （六）吊销业务许可证； （七）撤销外国保险机构驻华代表机构； （八）撤销任职资格； （九）责令撤换外国保险机构驻华代表机构的首席代表； （十）禁止进入保险业； （十一）法律、行政法规和中国保监会规章规定可以要求听证的其他处罚。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 w:hRule="atLeast"/>
        </w:trPr>
        <w:tc>
          <w:tcPr>
            <w:tcW w:w="9295" w:type="dxa"/>
            <w:gridSpan w:val="5"/>
          </w:tcPr>
          <w:p>
            <w:pPr>
              <w:pStyle w:val="25"/>
              <w:keepNext w:val="0"/>
              <w:keepLines w:val="0"/>
              <w:suppressLineNumbers w:val="0"/>
              <w:spacing w:before="1" w:beforeAutospacing="0" w:after="0" w:afterAutospacing="0"/>
              <w:ind w:left="3469" w:right="3456"/>
              <w:jc w:val="center"/>
              <w:rPr>
                <w:rFonts w:hint="default"/>
                <w:b/>
                <w:sz w:val="21"/>
              </w:rPr>
            </w:pPr>
            <w:r>
              <w:rPr>
                <w:rFonts w:hint="default"/>
                <w:b/>
                <w:sz w:val="21"/>
              </w:rPr>
              <w:t>国务院部委管理的国家局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25</w:t>
            </w:r>
          </w:p>
        </w:tc>
        <w:tc>
          <w:tcPr>
            <w:tcW w:w="950" w:type="dxa"/>
          </w:tcPr>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国家外汇管理局</w:t>
            </w:r>
          </w:p>
        </w:tc>
        <w:tc>
          <w:tcPr>
            <w:tcW w:w="1270" w:type="dxa"/>
          </w:tcPr>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《国家外汇管理局行政处罚听证程序》</w:t>
            </w:r>
          </w:p>
        </w:tc>
        <w:tc>
          <w:tcPr>
            <w:tcW w:w="1170" w:type="dxa"/>
          </w:tcPr>
          <w:p>
            <w:pPr>
              <w:pStyle w:val="25"/>
              <w:keepNext w:val="0"/>
              <w:keepLines w:val="0"/>
              <w:suppressLineNumbers w:val="0"/>
              <w:spacing w:before="3"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第三条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外汇局作出下列重大处罚决定前，应当告知当事人有要 求举行听证的权利：（一）责令暂停或者停止经营结售汇业 务；（二）责令暂停经营外汇业务或者吊销经营外汇业务许 可证；（三）较大数额罚没款；（四）其他法律、行政法规 规定应当举行听证的。前款（三）项所称较大数额罚没款， 是指对自然人的违法行为处以 5 万元人民币以上，对法人或者其他经济组织经营活动中的违法行为处以 100 万元人民币以上的罚没款。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7"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26</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国家烟草专卖局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line="364" w:lineRule="auto"/>
              <w:ind w:left="110" w:right="96"/>
              <w:jc w:val="both"/>
              <w:rPr>
                <w:rFonts w:hint="default"/>
                <w:b/>
                <w:sz w:val="21"/>
              </w:rPr>
            </w:pPr>
            <w:r>
              <w:rPr>
                <w:rFonts w:hint="default"/>
                <w:b/>
                <w:spacing w:val="-4"/>
                <w:sz w:val="21"/>
              </w:rPr>
              <w:t>《烟草专卖行政处罚程</w:t>
            </w:r>
            <w:r>
              <w:rPr>
                <w:rFonts w:hint="default"/>
                <w:b/>
                <w:sz w:val="21"/>
              </w:rPr>
              <w:t>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0"/>
              </w:rPr>
            </w:pPr>
          </w:p>
          <w:p>
            <w:pPr>
              <w:pStyle w:val="25"/>
              <w:keepNext w:val="0"/>
              <w:keepLines w:val="0"/>
              <w:suppressLineNumbers w:val="0"/>
              <w:spacing w:before="0" w:beforeAutospacing="0" w:after="0" w:afterAutospacing="0"/>
              <w:ind w:left="37" w:right="27"/>
              <w:jc w:val="center"/>
              <w:rPr>
                <w:rFonts w:hint="default"/>
                <w:b/>
                <w:sz w:val="21"/>
              </w:rPr>
            </w:pPr>
            <w:r>
              <w:rPr>
                <w:rFonts w:hint="default"/>
                <w:b/>
                <w:sz w:val="21"/>
              </w:rPr>
              <w:t>第四十四条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烟草专卖行政主管部门在作出下列行政处罚决定之前， 应当告知当事人有要求举行听证的权利：（一）一万元以上 的罚款；（二）没收较大数额的违法所得或者违法烟草专卖 品；（三） 责令停产、停业，责令关闭；（四）取消从事烟草专卖业务的资格。 省级烟草专卖行政主管部门可以结合本地实际，调整和确定本行政区域内罚款、没收违法所得 或者违法烟草专卖品的听证数额标准，报国务院烟草专卖行政主管部门批准后施行。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27</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5" w:beforeAutospacing="0" w:after="0" w:afterAutospacing="0"/>
              <w:ind w:left="0" w:right="0"/>
              <w:rPr>
                <w:rFonts w:hint="default" w:ascii="微软雅黑"/>
                <w:b/>
                <w:sz w:val="18"/>
              </w:rPr>
            </w:pPr>
          </w:p>
          <w:p>
            <w:pPr>
              <w:pStyle w:val="25"/>
              <w:keepNext w:val="0"/>
              <w:keepLines w:val="0"/>
              <w:suppressLineNumbers w:val="0"/>
              <w:spacing w:before="0" w:beforeAutospacing="0" w:after="0" w:afterAutospacing="0" w:line="410" w:lineRule="atLeast"/>
              <w:ind w:left="54" w:right="40"/>
              <w:rPr>
                <w:rFonts w:hint="default"/>
                <w:b/>
                <w:sz w:val="21"/>
              </w:rPr>
            </w:pPr>
            <w:r>
              <w:rPr>
                <w:rFonts w:hint="default"/>
                <w:b/>
                <w:sz w:val="21"/>
              </w:rPr>
              <w:t>国家林业和草原局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110" w:right="0"/>
              <w:rPr>
                <w:rFonts w:hint="default"/>
                <w:b/>
                <w:sz w:val="21"/>
              </w:rPr>
            </w:pPr>
            <w:r>
              <w:rPr>
                <w:rFonts w:hint="default"/>
                <w:b/>
                <w:sz w:val="21"/>
              </w:rPr>
              <w:t>《林业行政</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3" w:beforeAutospacing="0" w:after="0" w:afterAutospacing="0"/>
              <w:ind w:left="0" w:right="0"/>
              <w:rPr>
                <w:rFonts w:hint="default" w:ascii="微软雅黑"/>
                <w:b/>
                <w:sz w:val="28"/>
              </w:rPr>
            </w:pPr>
          </w:p>
          <w:p>
            <w:pPr>
              <w:pStyle w:val="25"/>
              <w:keepNext w:val="0"/>
              <w:keepLines w:val="0"/>
              <w:suppressLineNumbers w:val="0"/>
              <w:spacing w:before="0" w:beforeAutospacing="0" w:after="0" w:afterAutospacing="0"/>
              <w:ind w:left="37" w:right="25"/>
              <w:jc w:val="center"/>
              <w:rPr>
                <w:rFonts w:hint="default"/>
                <w:b/>
                <w:sz w:val="21"/>
              </w:rPr>
            </w:pPr>
            <w:r>
              <w:rPr>
                <w:rFonts w:hint="default"/>
                <w:b/>
                <w:sz w:val="21"/>
              </w:rPr>
              <w:t>第五条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林业行政主管部门依法作出责令停产停业、吊销许可证 或者执照、较大数额罚款等林业行政处罚决定之前，应当告 知当事人有要求举行听证的权利，并制作林业行政处罚听证 权利告知书。 前款所称较大数额的罚款，按照省、自治区、直辖市人大常委会或者省级人民政府的规定执行。</w:t>
            </w:r>
            <w:r>
              <w:rPr>
                <w:rFonts w:hint="default"/>
                <w:sz w:val="21"/>
              </w:rPr>
              <w:t xml:space="preserve"> 国</w:t>
            </w:r>
          </w:p>
        </w:tc>
      </w:tr>
    </w:tbl>
    <w:p>
      <w:pPr>
        <w:spacing w:line="268" w:lineRule="exact"/>
        <w:jc w:val="both"/>
        <w:rPr>
          <w:sz w:val="21"/>
        </w:rPr>
        <w:sectPr>
          <w:pgSz w:w="11910" w:h="16840"/>
          <w:pgMar w:top="1180" w:right="760" w:bottom="980" w:left="1160" w:header="631" w:footer="798" w:gutter="0"/>
          <w:pgNumType w:fmt="decimal"/>
          <w:cols w:space="720" w:num="1"/>
        </w:sectPr>
      </w:pPr>
    </w:p>
    <w:tbl>
      <w:tblPr>
        <w:tblStyle w:val="19"/>
        <w:tblW w:w="0" w:type="auto"/>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87"/>
        <w:gridCol w:w="950"/>
        <w:gridCol w:w="1270"/>
        <w:gridCol w:w="1170"/>
        <w:gridCol w:w="5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487" w:type="dxa"/>
          </w:tcPr>
          <w:p>
            <w:pPr>
              <w:pStyle w:val="25"/>
              <w:keepNext w:val="0"/>
              <w:keepLines w:val="0"/>
              <w:suppressLineNumbers w:val="0"/>
              <w:spacing w:before="0" w:beforeAutospacing="0" w:after="0" w:afterAutospacing="0"/>
              <w:ind w:left="0" w:right="0"/>
              <w:rPr>
                <w:rFonts w:hint="default" w:ascii="Times New Roman"/>
                <w:sz w:val="20"/>
              </w:rPr>
            </w:pPr>
          </w:p>
        </w:tc>
        <w:tc>
          <w:tcPr>
            <w:tcW w:w="950" w:type="dxa"/>
          </w:tcPr>
          <w:p>
            <w:pPr>
              <w:pStyle w:val="25"/>
              <w:keepNext w:val="0"/>
              <w:keepLines w:val="0"/>
              <w:suppressLineNumbers w:val="0"/>
              <w:spacing w:before="0" w:beforeAutospacing="0" w:after="0" w:afterAutospacing="0"/>
              <w:ind w:left="0" w:right="0"/>
              <w:rPr>
                <w:rFonts w:hint="default" w:ascii="Times New Roman"/>
                <w:sz w:val="20"/>
              </w:rPr>
            </w:pPr>
          </w:p>
        </w:tc>
        <w:tc>
          <w:tcPr>
            <w:tcW w:w="1270" w:type="dxa"/>
          </w:tcPr>
          <w:p>
            <w:pPr>
              <w:pStyle w:val="25"/>
              <w:keepNext w:val="0"/>
              <w:keepLines w:val="0"/>
              <w:suppressLineNumbers w:val="0"/>
              <w:spacing w:before="1" w:beforeAutospacing="0" w:after="0" w:afterAutospacing="0"/>
              <w:ind w:left="86" w:right="75"/>
              <w:jc w:val="center"/>
              <w:rPr>
                <w:rFonts w:hint="default"/>
                <w:b/>
                <w:sz w:val="21"/>
              </w:rPr>
            </w:pPr>
            <w:r>
              <w:rPr>
                <w:rFonts w:hint="default"/>
                <w:b/>
                <w:sz w:val="21"/>
              </w:rPr>
              <w:t>处罚听证规</w:t>
            </w:r>
          </w:p>
          <w:p>
            <w:pPr>
              <w:pStyle w:val="25"/>
              <w:keepNext w:val="0"/>
              <w:keepLines w:val="0"/>
              <w:suppressLineNumbers w:val="0"/>
              <w:spacing w:before="139" w:beforeAutospacing="0" w:after="0" w:afterAutospacing="0"/>
              <w:ind w:left="105" w:right="96"/>
              <w:jc w:val="center"/>
              <w:rPr>
                <w:rFonts w:hint="default"/>
                <w:b/>
                <w:sz w:val="21"/>
              </w:rPr>
            </w:pPr>
            <w:r>
              <w:rPr>
                <w:rFonts w:hint="default"/>
                <w:b/>
                <w:sz w:val="21"/>
              </w:rPr>
              <w:t>则》</w:t>
            </w:r>
          </w:p>
        </w:tc>
        <w:tc>
          <w:tcPr>
            <w:tcW w:w="1170" w:type="dxa"/>
          </w:tcPr>
          <w:p>
            <w:pPr>
              <w:pStyle w:val="25"/>
              <w:keepNext w:val="0"/>
              <w:keepLines w:val="0"/>
              <w:suppressLineNumbers w:val="0"/>
              <w:spacing w:before="0" w:beforeAutospacing="0" w:after="0" w:afterAutospacing="0"/>
              <w:ind w:left="0" w:right="0"/>
              <w:rPr>
                <w:rFonts w:hint="default" w:ascii="Times New Roman"/>
                <w:sz w:val="20"/>
              </w:rPr>
            </w:pPr>
          </w:p>
        </w:tc>
        <w:tc>
          <w:tcPr>
            <w:tcW w:w="5418" w:type="dxa"/>
          </w:tcPr>
          <w:p>
            <w:pPr>
              <w:pStyle w:val="25"/>
              <w:keepNext w:val="0"/>
              <w:keepLines w:val="0"/>
              <w:suppressLineNumbers w:val="0"/>
              <w:spacing w:before="6" w:beforeAutospacing="0" w:after="0" w:afterAutospacing="0" w:line="364" w:lineRule="auto"/>
              <w:ind w:left="0" w:right="-15"/>
              <w:jc w:val="both"/>
              <w:rPr>
                <w:rFonts w:hint="default"/>
                <w:sz w:val="21"/>
              </w:rPr>
            </w:pPr>
            <w:r>
              <w:rPr>
                <w:rFonts w:hint="default"/>
                <w:spacing w:val="-4"/>
                <w:sz w:val="21"/>
              </w:rPr>
              <w:t>家林业局依法作出十万元以上(含十万元)罚款决定的，应当告知当事人有要求举行听证的权利。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4" w:hRule="atLeast"/>
        </w:trPr>
        <w:tc>
          <w:tcPr>
            <w:tcW w:w="487"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28</w:t>
            </w:r>
          </w:p>
        </w:tc>
        <w:tc>
          <w:tcPr>
            <w:tcW w:w="95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国家铁路局</w:t>
            </w:r>
          </w:p>
        </w:tc>
        <w:tc>
          <w:tcPr>
            <w:tcW w:w="1270" w:type="dxa"/>
          </w:tcPr>
          <w:p>
            <w:pPr>
              <w:pStyle w:val="25"/>
              <w:keepNext w:val="0"/>
              <w:keepLines w:val="0"/>
              <w:suppressLineNumbers w:val="0"/>
              <w:spacing w:before="2" w:beforeAutospacing="0" w:after="0" w:afterAutospacing="0" w:line="364" w:lineRule="auto"/>
              <w:ind w:left="57" w:right="43"/>
              <w:jc w:val="both"/>
              <w:rPr>
                <w:rFonts w:hint="default"/>
                <w:b/>
                <w:sz w:val="21"/>
              </w:rPr>
            </w:pPr>
            <w:r>
              <w:rPr>
                <w:rFonts w:hint="default"/>
                <w:b/>
                <w:spacing w:val="-3"/>
                <w:sz w:val="21"/>
              </w:rPr>
              <w:t>《违反&lt;铁路</w:t>
            </w:r>
            <w:r>
              <w:rPr>
                <w:rFonts w:hint="default"/>
                <w:b/>
                <w:sz w:val="21"/>
              </w:rPr>
              <w:t>安全管理条</w:t>
            </w:r>
            <w:r>
              <w:rPr>
                <w:rFonts w:hint="default"/>
                <w:b/>
                <w:spacing w:val="-3"/>
                <w:w w:val="95"/>
                <w:sz w:val="21"/>
              </w:rPr>
              <w:t>例&gt;行政处罚</w:t>
            </w:r>
          </w:p>
          <w:p>
            <w:pPr>
              <w:pStyle w:val="25"/>
              <w:keepNext w:val="0"/>
              <w:keepLines w:val="0"/>
              <w:suppressLineNumbers w:val="0"/>
              <w:spacing w:before="0" w:beforeAutospacing="0" w:after="0" w:afterAutospacing="0" w:line="266" w:lineRule="exact"/>
              <w:ind w:left="110" w:right="0"/>
              <w:rPr>
                <w:rFonts w:hint="default"/>
                <w:b/>
                <w:sz w:val="21"/>
              </w:rPr>
            </w:pPr>
            <w:r>
              <w:rPr>
                <w:rFonts w:hint="default"/>
                <w:b/>
                <w:w w:val="95"/>
                <w:sz w:val="21"/>
              </w:rPr>
              <w:t>实施办法》</w:t>
            </w:r>
          </w:p>
        </w:tc>
        <w:tc>
          <w:tcPr>
            <w:tcW w:w="1170" w:type="dxa"/>
          </w:tcPr>
          <w:p>
            <w:pPr>
              <w:pStyle w:val="25"/>
              <w:keepNext w:val="0"/>
              <w:keepLines w:val="0"/>
              <w:suppressLineNumbers w:val="0"/>
              <w:spacing w:before="4" w:beforeAutospacing="0" w:after="0" w:afterAutospacing="0"/>
              <w:ind w:left="0" w:right="0"/>
              <w:rPr>
                <w:rFonts w:hint="default" w:ascii="微软雅黑"/>
                <w:b/>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第七十六条</w:t>
            </w:r>
          </w:p>
        </w:tc>
        <w:tc>
          <w:tcPr>
            <w:tcW w:w="5418" w:type="dxa"/>
          </w:tcPr>
          <w:p>
            <w:pPr>
              <w:pStyle w:val="25"/>
              <w:keepNext w:val="0"/>
              <w:keepLines w:val="0"/>
              <w:suppressLineNumbers w:val="0"/>
              <w:spacing w:before="2" w:beforeAutospacing="0" w:after="0" w:afterAutospacing="0"/>
              <w:ind w:left="415" w:right="0"/>
              <w:rPr>
                <w:rFonts w:hint="default"/>
                <w:sz w:val="21"/>
              </w:rPr>
            </w:pPr>
          </w:p>
          <w:p>
            <w:pPr>
              <w:pStyle w:val="25"/>
              <w:keepNext w:val="0"/>
              <w:keepLines w:val="0"/>
              <w:suppressLineNumbers w:val="0"/>
              <w:spacing w:before="2" w:beforeAutospacing="0" w:after="0" w:afterAutospacing="0"/>
              <w:ind w:left="415" w:right="0"/>
              <w:rPr>
                <w:rFonts w:hint="default"/>
                <w:sz w:val="21"/>
              </w:rPr>
            </w:pPr>
            <w:r>
              <w:rPr>
                <w:rFonts w:hint="default"/>
                <w:sz w:val="21"/>
              </w:rPr>
              <w:t>本办法所称“较大数额罚款”，是指对个人处以 1 万</w:t>
            </w:r>
          </w:p>
          <w:p>
            <w:pPr>
              <w:pStyle w:val="25"/>
              <w:keepNext w:val="0"/>
              <w:keepLines w:val="0"/>
              <w:suppressLineNumbers w:val="0"/>
              <w:spacing w:before="139" w:beforeAutospacing="0" w:after="0" w:afterAutospacing="0"/>
              <w:ind w:left="5" w:right="0"/>
              <w:rPr>
                <w:rFonts w:hint="default"/>
                <w:sz w:val="21"/>
              </w:rPr>
            </w:pPr>
            <w:r>
              <w:rPr>
                <w:rFonts w:hint="default"/>
                <w:sz w:val="21"/>
              </w:rPr>
              <w:t>元以上的罚款，对单位处以 10 万元以上的罚款。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29</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60" w:right="40" w:hanging="106"/>
              <w:rPr>
                <w:rFonts w:hint="default"/>
                <w:b/>
                <w:sz w:val="21"/>
              </w:rPr>
            </w:pPr>
            <w:r>
              <w:rPr>
                <w:rFonts w:hint="default"/>
                <w:b/>
                <w:sz w:val="21"/>
              </w:rPr>
              <w:t>中国民用航空局</w:t>
            </w:r>
          </w:p>
        </w:tc>
        <w:tc>
          <w:tcPr>
            <w:tcW w:w="12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3" w:beforeAutospacing="0" w:after="0" w:afterAutospacing="0"/>
              <w:ind w:left="0" w:right="0"/>
              <w:rPr>
                <w:rFonts w:hint="default" w:ascii="微软雅黑"/>
                <w:b/>
                <w:sz w:val="15"/>
              </w:rPr>
            </w:pPr>
          </w:p>
          <w:p>
            <w:pPr>
              <w:pStyle w:val="25"/>
              <w:keepNext w:val="0"/>
              <w:keepLines w:val="0"/>
              <w:suppressLineNumbers w:val="0"/>
              <w:spacing w:before="0" w:beforeAutospacing="0" w:after="0" w:afterAutospacing="0" w:line="364" w:lineRule="auto"/>
              <w:ind w:left="110" w:right="96"/>
              <w:jc w:val="center"/>
              <w:rPr>
                <w:rFonts w:hint="default"/>
                <w:b/>
                <w:sz w:val="21"/>
              </w:rPr>
            </w:pPr>
            <w:r>
              <w:rPr>
                <w:rFonts w:hint="default"/>
                <w:b/>
                <w:spacing w:val="-4"/>
                <w:sz w:val="21"/>
              </w:rPr>
              <w:t>《中国民用航空行政处</w:t>
            </w:r>
            <w:r>
              <w:rPr>
                <w:rFonts w:hint="default"/>
                <w:b/>
                <w:sz w:val="21"/>
              </w:rPr>
              <w:t>罚实施办 法》</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6" w:beforeAutospacing="0" w:after="0" w:afterAutospacing="0"/>
              <w:ind w:left="0" w:right="0"/>
              <w:rPr>
                <w:rFonts w:hint="default" w:ascii="微软雅黑"/>
                <w:b/>
                <w:sz w:val="17"/>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第四十一条</w:t>
            </w:r>
          </w:p>
        </w:tc>
        <w:tc>
          <w:tcPr>
            <w:tcW w:w="5418" w:type="dxa"/>
          </w:tcPr>
          <w:p>
            <w:pPr>
              <w:pStyle w:val="25"/>
              <w:keepNext w:val="0"/>
              <w:keepLines w:val="0"/>
              <w:suppressLineNumbers w:val="0"/>
              <w:spacing w:before="6" w:beforeAutospacing="0" w:after="0" w:afterAutospacing="0" w:line="364" w:lineRule="auto"/>
              <w:ind w:left="115" w:right="-15" w:firstLine="420"/>
              <w:rPr>
                <w:rFonts w:hint="default"/>
                <w:sz w:val="21"/>
              </w:rPr>
            </w:pPr>
            <w:r>
              <w:rPr>
                <w:rFonts w:hint="default"/>
                <w:spacing w:val="-4"/>
                <w:sz w:val="21"/>
              </w:rPr>
              <w:t>民航行政机关法制职能部门收到案件承办部门提出的民 用航空行政案件调查报告后，应当进行初步审查。对拟同意 进行下列行政处罚的， 应当在报民航行政机关作出行政处罚决定之 前，按本办法附件七的规定制作《民用航空行政处罚听证告知书》，告知当事人有要求听证的权利；当事人 要求组织听证的，民航行政机关应当组织听证：（一）不少 于人民币 30000 元的罚款；（二）吊销经营许可证或者执照；（三）责令停产停业。民用航空行政处罚听证告知书应 当由当事人或者当事人代表签字或者盖章。该告知书一式两 份，一份送达当事人， 一份归入民航行政机关案卷。 不属于本条第一款规定情形的，不组织听证，由法制职能部门提出行政处罚意见，报民航行政机关作出行政处罚决定。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1"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30</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1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国家邮政局</w:t>
            </w:r>
          </w:p>
        </w:tc>
        <w:tc>
          <w:tcPr>
            <w:tcW w:w="1270" w:type="dxa"/>
          </w:tcPr>
          <w:p>
            <w:pPr>
              <w:pStyle w:val="25"/>
              <w:keepNext w:val="0"/>
              <w:keepLines w:val="0"/>
              <w:suppressLineNumbers w:val="0"/>
              <w:spacing w:before="17" w:beforeAutospacing="0" w:after="0" w:afterAutospacing="0"/>
              <w:ind w:left="0" w:right="0"/>
              <w:rPr>
                <w:rFonts w:hint="default" w:ascii="微软雅黑"/>
                <w:b/>
              </w:rPr>
            </w:pPr>
          </w:p>
          <w:p>
            <w:pPr>
              <w:pStyle w:val="25"/>
              <w:keepNext w:val="0"/>
              <w:keepLines w:val="0"/>
              <w:suppressLineNumbers w:val="0"/>
              <w:spacing w:before="0" w:beforeAutospacing="0" w:after="0" w:afterAutospacing="0" w:line="364" w:lineRule="auto"/>
              <w:ind w:left="89" w:right="75"/>
              <w:jc w:val="center"/>
              <w:rPr>
                <w:rFonts w:hint="default"/>
                <w:b/>
                <w:sz w:val="21"/>
              </w:rPr>
            </w:pPr>
            <w:r>
              <w:rPr>
                <w:rFonts w:hint="default"/>
                <w:b/>
                <w:sz w:val="21"/>
              </w:rPr>
              <w:t>《邮政行政处罚程序规定》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 w:beforeAutospacing="0" w:after="0" w:afterAutospacing="0"/>
              <w:ind w:left="0" w:right="0"/>
              <w:rPr>
                <w:rFonts w:hint="default" w:ascii="微软雅黑"/>
                <w:b/>
                <w:sz w:val="25"/>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第四十二条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邮政管理部门作出下列行政处罚之一的，当事人有要求 举行听证的权利：（一）责令停产停业的；（二）吊销许可 证的；（三）较大数额罚款的；本条第一款所称较大数额， 是指对公民罚款五千元以上，对法人或者其他组织罚款超过 法定最高罚款数额的百分之五十且在三万元以上的。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2" w:hRule="atLeast"/>
        </w:trPr>
        <w:tc>
          <w:tcPr>
            <w:tcW w:w="487"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117" w:right="108"/>
              <w:jc w:val="center"/>
              <w:rPr>
                <w:rFonts w:hint="default"/>
                <w:b/>
                <w:sz w:val="21"/>
              </w:rPr>
            </w:pPr>
            <w:r>
              <w:rPr>
                <w:rFonts w:hint="default"/>
                <w:b/>
                <w:sz w:val="21"/>
              </w:rPr>
              <w:t>31</w:t>
            </w:r>
          </w:p>
        </w:tc>
        <w:tc>
          <w:tcPr>
            <w:tcW w:w="95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7" w:beforeAutospacing="0" w:after="0" w:afterAutospacing="0"/>
              <w:ind w:left="0" w:right="0"/>
              <w:rPr>
                <w:rFonts w:hint="default" w:ascii="微软雅黑"/>
                <w:b/>
                <w:sz w:val="24"/>
              </w:rPr>
            </w:pPr>
          </w:p>
          <w:p>
            <w:pPr>
              <w:pStyle w:val="25"/>
              <w:keepNext w:val="0"/>
              <w:keepLines w:val="0"/>
              <w:suppressLineNumbers w:val="0"/>
              <w:spacing w:before="0" w:beforeAutospacing="0" w:after="0" w:afterAutospacing="0" w:line="364" w:lineRule="auto"/>
              <w:ind w:left="368" w:right="40" w:hanging="315"/>
              <w:rPr>
                <w:rFonts w:hint="default"/>
                <w:b/>
                <w:sz w:val="21"/>
              </w:rPr>
            </w:pPr>
            <w:r>
              <w:rPr>
                <w:rFonts w:hint="default"/>
                <w:b/>
                <w:sz w:val="21"/>
              </w:rPr>
              <w:t>国家档案局</w:t>
            </w:r>
          </w:p>
        </w:tc>
        <w:tc>
          <w:tcPr>
            <w:tcW w:w="1270" w:type="dxa"/>
          </w:tcPr>
          <w:p>
            <w:pPr>
              <w:pStyle w:val="25"/>
              <w:keepNext w:val="0"/>
              <w:keepLines w:val="0"/>
              <w:suppressLineNumbers w:val="0"/>
              <w:spacing w:before="2" w:beforeAutospacing="0" w:after="0" w:afterAutospacing="0"/>
              <w:ind w:left="0" w:right="0"/>
              <w:rPr>
                <w:rFonts w:hint="default" w:ascii="微软雅黑"/>
                <w:b/>
              </w:rPr>
            </w:pPr>
          </w:p>
          <w:p>
            <w:pPr>
              <w:pStyle w:val="25"/>
              <w:keepNext w:val="0"/>
              <w:keepLines w:val="0"/>
              <w:suppressLineNumbers w:val="0"/>
              <w:spacing w:before="1" w:beforeAutospacing="0" w:after="0" w:afterAutospacing="0" w:line="364" w:lineRule="auto"/>
              <w:ind w:left="110" w:right="96"/>
              <w:jc w:val="both"/>
              <w:rPr>
                <w:rFonts w:hint="default"/>
                <w:b/>
                <w:sz w:val="21"/>
              </w:rPr>
            </w:pPr>
            <w:r>
              <w:rPr>
                <w:rFonts w:hint="default"/>
                <w:b/>
                <w:spacing w:val="-4"/>
                <w:sz w:val="21"/>
              </w:rPr>
              <w:t>《档案行政处罚程序暂</w:t>
            </w:r>
            <w:r>
              <w:rPr>
                <w:rFonts w:hint="default"/>
                <w:b/>
                <w:spacing w:val="-1"/>
                <w:sz w:val="21"/>
              </w:rPr>
              <w:t>行 规定》</w:t>
            </w:r>
          </w:p>
        </w:tc>
        <w:tc>
          <w:tcPr>
            <w:tcW w:w="1170" w:type="dxa"/>
          </w:tcPr>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0" w:beforeAutospacing="0" w:after="0" w:afterAutospacing="0"/>
              <w:ind w:left="0" w:right="0"/>
              <w:rPr>
                <w:rFonts w:hint="default" w:ascii="微软雅黑"/>
                <w:b/>
                <w:sz w:val="20"/>
              </w:rPr>
            </w:pPr>
          </w:p>
          <w:p>
            <w:pPr>
              <w:pStyle w:val="25"/>
              <w:keepNext w:val="0"/>
              <w:keepLines w:val="0"/>
              <w:suppressLineNumbers w:val="0"/>
              <w:spacing w:before="10" w:beforeAutospacing="0" w:after="0" w:afterAutospacing="0"/>
              <w:ind w:left="0" w:right="0"/>
              <w:rPr>
                <w:rFonts w:hint="default" w:ascii="微软雅黑"/>
                <w:b/>
                <w:sz w:val="26"/>
              </w:rPr>
            </w:pPr>
          </w:p>
          <w:p>
            <w:pPr>
              <w:pStyle w:val="25"/>
              <w:keepNext w:val="0"/>
              <w:keepLines w:val="0"/>
              <w:suppressLineNumbers w:val="0"/>
              <w:spacing w:before="0" w:beforeAutospacing="0" w:after="0" w:afterAutospacing="0"/>
              <w:ind w:left="0" w:right="47"/>
              <w:jc w:val="right"/>
              <w:rPr>
                <w:rFonts w:hint="default"/>
                <w:b/>
                <w:sz w:val="21"/>
              </w:rPr>
            </w:pPr>
            <w:r>
              <w:rPr>
                <w:rFonts w:hint="default"/>
                <w:b/>
                <w:w w:val="95"/>
                <w:sz w:val="21"/>
              </w:rPr>
              <w:t>第二十三条</w:t>
            </w:r>
          </w:p>
        </w:tc>
        <w:tc>
          <w:tcPr>
            <w:tcW w:w="5418" w:type="dxa"/>
          </w:tcPr>
          <w:p>
            <w:pPr>
              <w:pStyle w:val="25"/>
              <w:keepNext w:val="0"/>
              <w:keepLines w:val="0"/>
              <w:suppressLineNumbers w:val="0"/>
              <w:spacing w:before="0" w:beforeAutospacing="0" w:after="0" w:afterAutospacing="0" w:line="364" w:lineRule="auto"/>
              <w:ind w:left="5" w:right="-15" w:firstLine="410"/>
              <w:jc w:val="both"/>
              <w:rPr>
                <w:rFonts w:hint="default"/>
                <w:sz w:val="21"/>
              </w:rPr>
            </w:pPr>
            <w:r>
              <w:rPr>
                <w:rFonts w:hint="default"/>
                <w:spacing w:val="-4"/>
                <w:sz w:val="21"/>
              </w:rPr>
              <w:t>档案行政管理部门作出对单位处以五万元以上罚款，对 个人处以三千元以上罚款决定之前， 应当告知当事人有要求举行听证的权利；当事人要求听证的，应当在被告知后三 日内提出， 档案行政管理部门应当组织听证。当事人不承担听证的费用。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9295" w:type="dxa"/>
            <w:gridSpan w:val="5"/>
          </w:tcPr>
          <w:p>
            <w:pPr>
              <w:pStyle w:val="25"/>
              <w:keepNext w:val="0"/>
              <w:keepLines w:val="0"/>
              <w:suppressLineNumbers w:val="0"/>
              <w:spacing w:before="0" w:beforeAutospacing="0" w:after="0" w:afterAutospacing="0" w:line="336" w:lineRule="auto"/>
              <w:ind w:left="114" w:right="139" w:firstLine="420"/>
              <w:rPr>
                <w:rFonts w:hint="default" w:ascii="微软雅黑" w:hAnsi="微软雅黑" w:eastAsia="微软雅黑"/>
                <w:b/>
                <w:sz w:val="21"/>
              </w:rPr>
            </w:pPr>
            <w:r>
              <w:rPr>
                <w:rFonts w:hint="eastAsia" w:ascii="仿宋" w:hAnsi="仿宋" w:eastAsia="仿宋" w:cs="仿宋"/>
                <w:b w:val="0"/>
                <w:bCs w:val="0"/>
                <w:spacing w:val="-4"/>
                <w:sz w:val="28"/>
                <w:szCs w:val="28"/>
              </w:rPr>
              <w:t>《四川省行政处罚听证程序暂行规定》：“本规定所称较大数额，是指对非经营活动中公民的违法行为处以罚款或者没收财产 2000 元以上、法人或者其他组织的违法行为处以罚款或者没收财产 2 万元以上；对在经营活动中的违法行为处以罚款或者没收财产 5 万元以上。国务院有关部门规定的较大数额标准低于前款规定的，从其规定。”</w:t>
            </w:r>
          </w:p>
        </w:tc>
      </w:tr>
    </w:tbl>
    <w:p>
      <w:pPr>
        <w:tabs>
          <w:tab w:val="left" w:pos="790"/>
        </w:tabs>
        <w:bidi w:val="0"/>
        <w:jc w:val="left"/>
        <w:rPr>
          <w:rFonts w:hint="eastAsia"/>
          <w:lang w:val="zh-CN" w:eastAsia="zh-CN"/>
        </w:rPr>
      </w:pPr>
      <w:bookmarkStart w:id="108" w:name="_bookmark8"/>
      <w:bookmarkEnd w:id="108"/>
      <w:bookmarkStart w:id="109" w:name="附件二报名登记表"/>
      <w:bookmarkEnd w:id="109"/>
    </w:p>
    <w:sectPr>
      <w:footerReference r:id="rId16" w:type="default"/>
      <w:pgSz w:w="11910" w:h="16840"/>
      <w:pgMar w:top="720" w:right="780" w:bottom="820" w:left="800" w:header="525" w:footer="635"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7"/>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10150475</wp:posOffset>
              </wp:positionV>
              <wp:extent cx="107950" cy="139700"/>
              <wp:effectExtent l="0" t="0" r="0" b="0"/>
              <wp:wrapNone/>
              <wp:docPr id="35" name="文本框 3"/>
              <wp:cNvGraphicFramePr/>
              <a:graphic xmlns:a="http://schemas.openxmlformats.org/drawingml/2006/main">
                <a:graphicData uri="http://schemas.microsoft.com/office/word/2010/wordprocessingShape">
                  <wps:wsp>
                    <wps:cNvSpPr txBox="1"/>
                    <wps:spPr>
                      <a:xfrm>
                        <a:off x="0" y="0"/>
                        <a:ext cx="10795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wps:txbx>
                    <wps:bodyPr lIns="0" tIns="0" rIns="0" bIns="0" upright="1"/>
                  </wps:wsp>
                </a:graphicData>
              </a:graphic>
            </wp:anchor>
          </w:drawing>
        </mc:Choice>
        <mc:Fallback>
          <w:pict>
            <v:shape id="文本框 3" o:spid="_x0000_s1026" o:spt="202" type="#_x0000_t202" style="position:absolute;left:0pt;margin-top:799.25pt;height:11pt;width:8.5pt;mso-position-horizontal:center;mso-position-horizontal-relative:margin;mso-position-vertical-relative:page;z-index:251660288;mso-width-relative:page;mso-height-relative:page;" filled="f" stroked="f" coordsize="21600,21600" o:gfxdata="UEsDBAoAAAAAAIdO4kAAAAAAAAAAAAAAAAAEAAAAZHJzL1BLAwQUAAAACACHTuJAvG0M5dgAAAAJ&#10;AQAADwAAAGRycy9kb3ducmV2LnhtbE2PzU7DMBCE70i8g7WVuFG7lRLaNE6FEJyQEGk4cHTibRI1&#10;XofY/eHt2Z7oabUzq9lv8u3FDeKEU+g9aVjMFQikxtueWg1f1dvjCkSIhqwZPKGGXwywLe7vcpNZ&#10;f6YST7vYCg6hkBkNXYxjJmVoOnQmzP2IxN7eT85EXqdW2smcOdwNcqlUKp3piT90ZsSXDpvD7ug0&#10;PH9T+dr/fNSf5b7sq2qt6D09aP0wW6gNiIiX+H8MV3xGh4KZan8kG8SggYtEVpP1KgFx9Z9YqXmm&#10;S5WALHJ526D4A1BLAwQUAAAACACHTuJAzcJFH7sBAAByAwAADgAAAGRycy9lMm9Eb2MueG1srVPN&#10;bhshEL5X6jsg7jXrWGmaldeRKitRpKqtlOQBMAteJGAQYO/6Bdo36KmX3vtcfo4O2Ov8XXLohR1m&#10;ho/v+4adXw3WkK0MUYNr6HRSUSKdgFa7dUMf7q8/fKIkJu5absDJhu5kpFeL9+/mva/lGXRgWhkI&#10;grhY976hXUq+ZiyKTloeJ+Clw6KCYHnCbVizNvAe0a1hZ1X1kfUQWh9AyBgxuzwU6RExvAUQlNJC&#10;LkFsrHTpgBqk4QklxU77SBeFrVJSpG9KRZmIaSgqTWXFSzBe5ZUt5rxeB+47LY4U+FsovNBkuXZ4&#10;6QlqyRMnm6BfQVktAkRQaSLAsoOQ4giqmFYvvLnruJdFC1od/cn0+P9gxdft90B029DZOSWOW5z4&#10;/tfP/e+/+z8/yCz70/tYY9udx8Y0fIYBX82Yj5jMsgcVbP6iIIJ1dHd3clcOiYh8qLq4PMeKwNJ0&#10;dnlRFffZ42EfYrqRYEkOGhpweMVTvv0SExLB1rEl3+XgWhtTBmjcswQ25gzLzA8Mc5SG1XCUs4J2&#10;h2rMrUMr87MYgzAGqzHY+KDXHdIpmgskjqKQOT6bPOun+3Lx46+y+A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8bQzl2AAAAAkBAAAPAAAAAAAAAAEAIAAAACIAAABkcnMvZG93bnJldi54bWxQSwEC&#10;FAAUAAAACACHTuJAzcJFH7sBAABy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posOffset>10150475</wp:posOffset>
              </wp:positionV>
              <wp:extent cx="166370" cy="139700"/>
              <wp:effectExtent l="0" t="0" r="0" b="0"/>
              <wp:wrapNone/>
              <wp:docPr id="44" name="文本框 12"/>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wps:txbx>
                    <wps:bodyPr lIns="0" tIns="0" rIns="0" bIns="0" upright="1"/>
                  </wps:wsp>
                </a:graphicData>
              </a:graphic>
            </wp:anchor>
          </w:drawing>
        </mc:Choice>
        <mc:Fallback>
          <w:pict>
            <v:shape id="文本框 12" o:spid="_x0000_s1026" o:spt="202" type="#_x0000_t202" style="position:absolute;left:0pt;margin-top:799.25pt;height:11pt;width:13.1pt;mso-position-horizontal:center;mso-position-horizontal-relative:margin;mso-position-vertical-relative:page;z-index:251662336;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9sCV7wBAABzAwAADgAAAGRycy9lMm9Eb2MueG1srVNL&#10;btswEN0XyB0I7mvKTuC0guUAhZGgQNEWSHoAmiItAvyBQ1vyBZIbdNVN9z2Xz9EhbTltusmiG2o4&#10;M3x87w21uBmsITsZQXvX0OmkokQ64VvtNg399nD79h0lkLhrufFONnQvgd4sL94s+lDLme+8aWUk&#10;COKg7kNDu5RCzRiITloOEx+kw6Ly0fKE27hhbeQ9olvDZlU1Z72PbYheSADMro5FekKMrwH0Smkh&#10;V15srXTpiBql4QklQacD0GVhq5QU6YtSIBMxDUWlqax4CcbrvLLlgtebyEOnxYkCfw2FF5os1w4v&#10;PUOteOJkG/U/UFaL6MGrNBHesqOQ4giqmFYvvLnveJBFC1oN4Ww6/D9Y8Xn3NRLdNvTqihLHLU78&#10;8P3p8OPX4ecjmc6yQX2AGvvuA3am4YMf8NmMecBk1j2oaPMXFRGso737s71ySETkQ/P55TVWBJam&#10;l++vq2I/ez4cIqQ76S3JQUMjTq+YynefICERbB1b8l3O32pjygSN+yuBjTnDMvMjwxylYT2c5Kx9&#10;u0c15qNDL/O7GIM4Busx2IaoNx3SKZoLJM6ikDm9mzzsP/fl4ud/Zfk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vbAle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ge">
                <wp:posOffset>10150475</wp:posOffset>
              </wp:positionV>
              <wp:extent cx="166370" cy="139700"/>
              <wp:effectExtent l="0" t="0" r="0" b="0"/>
              <wp:wrapNone/>
              <wp:docPr id="57" name="文本框 25"/>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wps:txbx>
                    <wps:bodyPr lIns="0" tIns="0" rIns="0" bIns="0" upright="1"/>
                  </wps:wsp>
                </a:graphicData>
              </a:graphic>
            </wp:anchor>
          </w:drawing>
        </mc:Choice>
        <mc:Fallback>
          <w:pict>
            <v:shape id="文本框 25" o:spid="_x0000_s1026" o:spt="202" type="#_x0000_t202" style="position:absolute;left:0pt;margin-top:799.25pt;height:11pt;width:13.1pt;mso-position-horizontal:center;mso-position-horizontal-relative:margin;mso-position-vertical-relative:page;z-index:251663360;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fUf+EbwBAABzAwAADgAAAGRycy9lMm9Eb2MueG1srVNL&#10;jhMxEN0jcQfLe+JORpNAK52RUDQICQHSDAdw3Hbakn8qO+nOBeAGrNiw51w5B2UnnYGZzSxm4y5X&#10;lZ/fe+Ve3gzWkL2EqL1r6HRSUSKd8K1224Z+u79985aSmLhrufFONvQgI71ZvX617EMtZ77zppVA&#10;EMTFug8N7VIKNWNRdNLyOPFBOiwqD5Yn3MKWtcB7RLeGzapqznoPbQAvZIyYXZ+K9IwIzwH0Smkh&#10;117srHTphArS8ISSYqdDpKvCVikp0helokzENBSVprLiJRhv8spWS15vgYdOizMF/hwKjzRZrh1e&#10;eoFa88TJDvQTKKsF+OhVmghv2UlIcQRVTKtH3tx1PMiiBa2O4WJ6fDlY8Xn/FYhuG3q9oMRxixM/&#10;/vxx/PXn+Ps7mV1ng/oQa+y7C9iZhvd+wGcz5iMms+5Bgc1fVESwjvYeLvbKIRGRD83nVwusCCxN&#10;r94tqmI/ezgcIKYP0luSg4YCTq+YyvefYkIi2Dq25Lucv9XGlAka918CG3OGZeYnhjlKw2Y4y9n4&#10;9oBqzEeHXuZ3MQYwBpsx2AXQ2w7pFM0FEmdRyJzfTR72v/ty8cO/svo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H1H/hG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19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ge">
                <wp:posOffset>10150475</wp:posOffset>
              </wp:positionV>
              <wp:extent cx="166370" cy="139700"/>
              <wp:effectExtent l="0" t="0" r="0" b="0"/>
              <wp:wrapNone/>
              <wp:docPr id="65"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wps:txbx>
                    <wps:bodyPr lIns="0" tIns="0" rIns="0" bIns="0" upright="1"/>
                  </wps:wsp>
                </a:graphicData>
              </a:graphic>
            </wp:anchor>
          </w:drawing>
        </mc:Choice>
        <mc:Fallback>
          <w:pict>
            <v:shape id="文本框 33" o:spid="_x0000_s1026" o:spt="202" type="#_x0000_t202" style="position:absolute;left:0pt;margin-top:799.25pt;height:11pt;width:13.1pt;mso-position-horizontal:center;mso-position-horizontal-relative:margin;mso-position-vertical-relative:page;z-index:251664384;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bHhg7wBAABzAwAADgAAAGRycy9lMm9Eb2MueG1srVPB&#10;bhshEL1X6j8g7jXrWHH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8khLHLU78&#10;8Ovn4fffw58fZDbLBvU+1th377EzDTcw4LMZ8xGTWfeggs1fVESwjvbuz/bKIRGRD83nsyusCCxN&#10;Zx+uqmI/ezjsQ0x3EizJQUMDTq+YynefYkIi2Dq25Lsc3GpjygSNe5TAxpxhmfmRYY7SsB5OctbQ&#10;7lGN+ejQy/wuxiCMwXoMtj7oTYd0iuYCibMoZE7vJg/7/325+OFfWf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jwVLDNgAAAAJAQAADwAAAAAAAAABACAAAAAiAAAAZHJzL2Rvd25yZXYueG1sUEsB&#10;AhQAFAAAAAgAh07iQFmx4YO8AQAAcwMAAA4AAAAAAAAAAQAgAAAAJw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33</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ge">
                <wp:posOffset>10150475</wp:posOffset>
              </wp:positionV>
              <wp:extent cx="166370" cy="1397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5408;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K4uHrsBAABzAwAADgAAAGRycy9lMm9Eb2MueG1srVPB&#10;bhshEL1X6j8g7jXrOHLaldeRIitRpaqtlPYDMAteJGAQYO/6B9o/6KmX3vtd/o4O2Os0ySWHXNhh&#10;Zni894ZdXA/WkJ0MUYNr6HRSUSKdgFa7TUO/f7t9956SmLhruQEnG7qXkV4v375Z9L6WF9CBaWUg&#10;COJi3fuGdin5mrEoOml5nICXDosKguUJt2HD2sB7RLeGXVTVnPUQWh9AyBgxuzoW6QkxvAQQlNJC&#10;rkBsrXTpiBqk4QklxU77SJeFrVJSpC9KRZmIaSgqTWXFSzBe55UtF7zeBO47LU4U+EsoPNFkuXZ4&#10;6RlqxRMn26CfQVktAkRQaSLAsqOQ4giqmFZPvLnvuJdFC1od/dn0+Hqw4vPuayC6bejskhLHLU78&#10;8Ovn4fffw58fBHNoUO9jjX33HjvTcAMDPpsxHzGZdQ8q2PxFRQTraO/+bK8cEhH50Hw+u8KKwNJ0&#10;9uGqKvazh8M+xHQnwZIcNDTg9IqpfPcpJiSCrWNLvsvBrTamTNC4RwlszBmWmR8Z5igN6+EkZw3t&#10;HtWYjw69zO9iDMIYrMdg64PedEinaC6QOItC5vRu8rD/35eLH/6V5T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K4uHr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38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ge">
                <wp:posOffset>10150475</wp:posOffset>
              </wp:positionV>
              <wp:extent cx="166370" cy="1397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66370" cy="139700"/>
                      </a:xfrm>
                      <a:prstGeom prst="rect">
                        <a:avLst/>
                      </a:prstGeom>
                      <a:noFill/>
                      <a:ln>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wps:txbx>
                    <wps:bodyPr lIns="0" tIns="0" rIns="0" bIns="0" upright="1"/>
                  </wps:wsp>
                </a:graphicData>
              </a:graphic>
            </wp:anchor>
          </w:drawing>
        </mc:Choice>
        <mc:Fallback>
          <w:pict>
            <v:shape id="_x0000_s1026" o:spid="_x0000_s1026" o:spt="202" type="#_x0000_t202" style="position:absolute;left:0pt;margin-top:799.25pt;height:11pt;width:13.1pt;mso-position-horizontal:center;mso-position-horizontal-relative:margin;mso-position-vertical-relative:page;z-index:251666432;mso-width-relative:page;mso-height-relative:page;" filled="f" stroked="f" coordsize="21600,21600" o:gfxdata="UEsDBAoAAAAAAIdO4kAAAAAAAAAAAAAAAAAEAAAAZHJzL1BLAwQUAAAACACHTuJAjwVLDNgAAAAJ&#10;AQAADwAAAGRycy9kb3ducmV2LnhtbE2PzU7DMBCE70i8g7WVuFG7kRK1IU5VITghIdL0wNFJtonV&#10;eB1i94e3ZznBcWdGs98U25sbxQXnYD1pWC0VCKTWd5Z6DYf69XENIkRDnRk9oYZvDLAt7+8Kk3f+&#10;ShVe9rEXXEIhNxqGGKdcytAO6ExY+gmJvaOfnYl8zr3sZnPlcjfKRKlMOmOJPwxmwucB29P+7DTs&#10;Pql6sV/vzUd1rGxdbxS9ZSetHxYr9QQi4i3+heEXn9GhZKbGn6kLYtTAQyKr6WadgmA/yRIQDStZ&#10;olKQZSH/Lyh/AFBLAwQUAAAACACHTuJAwNIGe7sBAABzAwAADgAAAGRycy9lMm9Eb2MueG1srVNL&#10;btswEN0XyB0I7mvKMeC0guUAhZGgQJEWSHMAmiItAvxhSFvyBdIbdNVN9z2Xz9EhbTltsskiG2o4&#10;M3x87w21uB6sITsJUXvX0OmkokQ64VvtNg19+H7z/gMlMXHXcuOdbOheRnq9vHi36EMtL33nTSuB&#10;IIiLdR8a2qUUasai6KTlceKDdFhUHixPuIUNa4H3iG4Nu6yqOes9tAG8kDFidnUs0hMivAbQK6WF&#10;XHmxtdKlIypIwxNKip0OkS4LW6WkSF+VijIR01BUmsqKl2C8zitbLni9AR46LU4U+GsoPNNkuXZ4&#10;6RlqxRMnW9AvoKwW4KNXaSK8ZUchxRFUMa2eeXPf8SCLFrQ6hrPp8e1gxd3uGxDdNnQ2o8RxixM/&#10;/Pxx+PXn8PuRYA4N6kOsse8+YGcaPvkBn82Yj5jMugcFNn9REcE62rs/2yuHREQ+NJ/PrrAisDSd&#10;fbyqiv3s6XCAmG6ltyQHDQWcXjGV777EhESwdWzJdzl/o40pEzTuvwQ25gzLzI8Mc5SG9XCSs/bt&#10;HtWYzw69zO9iDGAM1mOwDaA3HdIpmgskzqKQOb2bPOx/9+Xip3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PBUsM2AAAAAkBAAAPAAAAAAAAAAEAIAAAACIAAABkcnMvZG93bnJldi54bWxQSwEC&#10;FAAUAAAACACHTuJAwNIGe7sBAABzAwAADgAAAAAAAAABACAAAAAn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w:drawing>
        <wp:anchor distT="0" distB="0" distL="0" distR="0" simplePos="0" relativeHeight="251661312" behindDoc="1" locked="0" layoutInCell="1" allowOverlap="1">
          <wp:simplePos x="0" y="0"/>
          <wp:positionH relativeFrom="page">
            <wp:posOffset>0</wp:posOffset>
          </wp:positionH>
          <wp:positionV relativeFrom="page">
            <wp:posOffset>0</wp:posOffset>
          </wp:positionV>
          <wp:extent cx="26035" cy="26035"/>
          <wp:effectExtent l="0" t="0" r="12065"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a:picLocks noChangeAspect="1"/>
                  </pic:cNvPicPr>
                </pic:nvPicPr>
                <pic:blipFill>
                  <a:blip r:embed="rId1" cstate="print"/>
                  <a:stretch>
                    <a:fillRect/>
                  </a:stretch>
                </pic:blipFill>
                <pic:spPr>
                  <a:xfrm>
                    <a:off x="0" y="0"/>
                    <a:ext cx="25908" cy="2590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1"/>
      <w:numFmt w:val="decimal"/>
      <w:lvlText w:val="%1."/>
      <w:lvlJc w:val="left"/>
      <w:pPr>
        <w:ind w:left="39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1">
    <w:nsid w:val="9239341B"/>
    <w:multiLevelType w:val="multilevel"/>
    <w:tmpl w:val="9239341B"/>
    <w:lvl w:ilvl="0" w:tentative="0">
      <w:start w:val="10"/>
      <w:numFmt w:val="decimal"/>
      <w:lvlText w:val="%1"/>
      <w:lvlJc w:val="left"/>
      <w:pPr>
        <w:ind w:left="1232" w:hanging="363"/>
        <w:jc w:val="left"/>
      </w:pPr>
      <w:rPr>
        <w:rFonts w:hint="default" w:ascii="宋体" w:hAnsi="宋体" w:eastAsia="宋体" w:cs="宋体"/>
        <w:b/>
        <w:bCs/>
        <w:spacing w:val="0"/>
        <w:w w:val="99"/>
        <w:sz w:val="24"/>
        <w:szCs w:val="24"/>
        <w:lang w:val="zh-CN" w:eastAsia="zh-CN" w:bidi="zh-CN"/>
      </w:rPr>
    </w:lvl>
    <w:lvl w:ilvl="1" w:tentative="0">
      <w:start w:val="1"/>
      <w:numFmt w:val="decimal"/>
      <w:lvlText w:val="%1.%2"/>
      <w:lvlJc w:val="left"/>
      <w:pPr>
        <w:ind w:left="390" w:hanging="540"/>
        <w:jc w:val="left"/>
      </w:pPr>
      <w:rPr>
        <w:rFonts w:hint="default"/>
        <w:b w:val="0"/>
        <w:bCs w:val="0"/>
        <w:spacing w:val="0"/>
        <w:w w:val="99"/>
        <w:lang w:val="zh-CN" w:eastAsia="zh-CN" w:bidi="zh-CN"/>
      </w:rPr>
    </w:lvl>
    <w:lvl w:ilvl="2" w:tentative="0">
      <w:start w:val="0"/>
      <w:numFmt w:val="bullet"/>
      <w:lvlText w:val="•"/>
      <w:lvlJc w:val="left"/>
      <w:pPr>
        <w:ind w:left="2250" w:hanging="540"/>
      </w:pPr>
      <w:rPr>
        <w:rFonts w:hint="default"/>
        <w:lang w:val="zh-CN" w:eastAsia="zh-CN" w:bidi="zh-CN"/>
      </w:rPr>
    </w:lvl>
    <w:lvl w:ilvl="3" w:tentative="0">
      <w:start w:val="0"/>
      <w:numFmt w:val="bullet"/>
      <w:lvlText w:val="•"/>
      <w:lvlJc w:val="left"/>
      <w:pPr>
        <w:ind w:left="3260" w:hanging="540"/>
      </w:pPr>
      <w:rPr>
        <w:rFonts w:hint="default"/>
        <w:lang w:val="zh-CN" w:eastAsia="zh-CN" w:bidi="zh-CN"/>
      </w:rPr>
    </w:lvl>
    <w:lvl w:ilvl="4" w:tentative="0">
      <w:start w:val="0"/>
      <w:numFmt w:val="bullet"/>
      <w:lvlText w:val="•"/>
      <w:lvlJc w:val="left"/>
      <w:pPr>
        <w:ind w:left="4270" w:hanging="540"/>
      </w:pPr>
      <w:rPr>
        <w:rFonts w:hint="default"/>
        <w:lang w:val="zh-CN" w:eastAsia="zh-CN" w:bidi="zh-CN"/>
      </w:rPr>
    </w:lvl>
    <w:lvl w:ilvl="5" w:tentative="0">
      <w:start w:val="0"/>
      <w:numFmt w:val="bullet"/>
      <w:lvlText w:val="•"/>
      <w:lvlJc w:val="left"/>
      <w:pPr>
        <w:ind w:left="5280" w:hanging="540"/>
      </w:pPr>
      <w:rPr>
        <w:rFonts w:hint="default"/>
        <w:lang w:val="zh-CN" w:eastAsia="zh-CN" w:bidi="zh-CN"/>
      </w:rPr>
    </w:lvl>
    <w:lvl w:ilvl="6" w:tentative="0">
      <w:start w:val="0"/>
      <w:numFmt w:val="bullet"/>
      <w:lvlText w:val="•"/>
      <w:lvlJc w:val="left"/>
      <w:pPr>
        <w:ind w:left="6290" w:hanging="540"/>
      </w:pPr>
      <w:rPr>
        <w:rFonts w:hint="default"/>
        <w:lang w:val="zh-CN" w:eastAsia="zh-CN" w:bidi="zh-CN"/>
      </w:rPr>
    </w:lvl>
    <w:lvl w:ilvl="7" w:tentative="0">
      <w:start w:val="0"/>
      <w:numFmt w:val="bullet"/>
      <w:lvlText w:val="•"/>
      <w:lvlJc w:val="left"/>
      <w:pPr>
        <w:ind w:left="7300" w:hanging="540"/>
      </w:pPr>
      <w:rPr>
        <w:rFonts w:hint="default"/>
        <w:lang w:val="zh-CN" w:eastAsia="zh-CN" w:bidi="zh-CN"/>
      </w:rPr>
    </w:lvl>
    <w:lvl w:ilvl="8" w:tentative="0">
      <w:start w:val="0"/>
      <w:numFmt w:val="bullet"/>
      <w:lvlText w:val="•"/>
      <w:lvlJc w:val="left"/>
      <w:pPr>
        <w:ind w:left="8310" w:hanging="540"/>
      </w:pPr>
      <w:rPr>
        <w:rFonts w:hint="default"/>
        <w:lang w:val="zh-CN" w:eastAsia="zh-CN" w:bidi="zh-CN"/>
      </w:rPr>
    </w:lvl>
  </w:abstractNum>
  <w:abstractNum w:abstractNumId="2">
    <w:nsid w:val="B5E306ED"/>
    <w:multiLevelType w:val="multilevel"/>
    <w:tmpl w:val="B5E306ED"/>
    <w:lvl w:ilvl="0" w:tentative="0">
      <w:start w:val="2"/>
      <w:numFmt w:val="decimal"/>
      <w:lvlText w:val="%1"/>
      <w:lvlJc w:val="left"/>
      <w:pPr>
        <w:ind w:left="1290" w:hanging="423"/>
        <w:jc w:val="left"/>
      </w:pPr>
      <w:rPr>
        <w:rFonts w:hint="default"/>
        <w:lang w:val="zh-CN" w:eastAsia="zh-CN" w:bidi="zh-CN"/>
      </w:rPr>
    </w:lvl>
    <w:lvl w:ilvl="1" w:tentative="0">
      <w:start w:val="1"/>
      <w:numFmt w:val="decimal"/>
      <w:lvlText w:val="%1.%2"/>
      <w:lvlJc w:val="left"/>
      <w:pPr>
        <w:ind w:left="1290"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3">
    <w:nsid w:val="BE923771"/>
    <w:multiLevelType w:val="multilevel"/>
    <w:tmpl w:val="BE923771"/>
    <w:lvl w:ilvl="0" w:tentative="0">
      <w:start w:val="1"/>
      <w:numFmt w:val="decimal"/>
      <w:lvlText w:val="%1."/>
      <w:lvlJc w:val="left"/>
      <w:pPr>
        <w:ind w:left="390" w:hanging="243"/>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3"/>
      </w:pPr>
      <w:rPr>
        <w:rFonts w:hint="default"/>
        <w:lang w:val="zh-CN" w:eastAsia="zh-CN" w:bidi="zh-CN"/>
      </w:rPr>
    </w:lvl>
    <w:lvl w:ilvl="2" w:tentative="0">
      <w:start w:val="0"/>
      <w:numFmt w:val="bullet"/>
      <w:lvlText w:val="•"/>
      <w:lvlJc w:val="left"/>
      <w:pPr>
        <w:ind w:left="2386" w:hanging="243"/>
      </w:pPr>
      <w:rPr>
        <w:rFonts w:hint="default"/>
        <w:lang w:val="zh-CN" w:eastAsia="zh-CN" w:bidi="zh-CN"/>
      </w:rPr>
    </w:lvl>
    <w:lvl w:ilvl="3" w:tentative="0">
      <w:start w:val="0"/>
      <w:numFmt w:val="bullet"/>
      <w:lvlText w:val="•"/>
      <w:lvlJc w:val="left"/>
      <w:pPr>
        <w:ind w:left="3379" w:hanging="243"/>
      </w:pPr>
      <w:rPr>
        <w:rFonts w:hint="default"/>
        <w:lang w:val="zh-CN" w:eastAsia="zh-CN" w:bidi="zh-CN"/>
      </w:rPr>
    </w:lvl>
    <w:lvl w:ilvl="4" w:tentative="0">
      <w:start w:val="0"/>
      <w:numFmt w:val="bullet"/>
      <w:lvlText w:val="•"/>
      <w:lvlJc w:val="left"/>
      <w:pPr>
        <w:ind w:left="4372" w:hanging="243"/>
      </w:pPr>
      <w:rPr>
        <w:rFonts w:hint="default"/>
        <w:lang w:val="zh-CN" w:eastAsia="zh-CN" w:bidi="zh-CN"/>
      </w:rPr>
    </w:lvl>
    <w:lvl w:ilvl="5" w:tentative="0">
      <w:start w:val="0"/>
      <w:numFmt w:val="bullet"/>
      <w:lvlText w:val="•"/>
      <w:lvlJc w:val="left"/>
      <w:pPr>
        <w:ind w:left="5365" w:hanging="243"/>
      </w:pPr>
      <w:rPr>
        <w:rFonts w:hint="default"/>
        <w:lang w:val="zh-CN" w:eastAsia="zh-CN" w:bidi="zh-CN"/>
      </w:rPr>
    </w:lvl>
    <w:lvl w:ilvl="6" w:tentative="0">
      <w:start w:val="0"/>
      <w:numFmt w:val="bullet"/>
      <w:lvlText w:val="•"/>
      <w:lvlJc w:val="left"/>
      <w:pPr>
        <w:ind w:left="6358" w:hanging="243"/>
      </w:pPr>
      <w:rPr>
        <w:rFonts w:hint="default"/>
        <w:lang w:val="zh-CN" w:eastAsia="zh-CN" w:bidi="zh-CN"/>
      </w:rPr>
    </w:lvl>
    <w:lvl w:ilvl="7" w:tentative="0">
      <w:start w:val="0"/>
      <w:numFmt w:val="bullet"/>
      <w:lvlText w:val="•"/>
      <w:lvlJc w:val="left"/>
      <w:pPr>
        <w:ind w:left="7351" w:hanging="243"/>
      </w:pPr>
      <w:rPr>
        <w:rFonts w:hint="default"/>
        <w:lang w:val="zh-CN" w:eastAsia="zh-CN" w:bidi="zh-CN"/>
      </w:rPr>
    </w:lvl>
    <w:lvl w:ilvl="8" w:tentative="0">
      <w:start w:val="0"/>
      <w:numFmt w:val="bullet"/>
      <w:lvlText w:val="•"/>
      <w:lvlJc w:val="left"/>
      <w:pPr>
        <w:ind w:left="8344" w:hanging="243"/>
      </w:pPr>
      <w:rPr>
        <w:rFonts w:hint="default"/>
        <w:lang w:val="zh-CN" w:eastAsia="zh-CN" w:bidi="zh-CN"/>
      </w:rPr>
    </w:lvl>
  </w:abstractNum>
  <w:abstractNum w:abstractNumId="4">
    <w:nsid w:val="BF205925"/>
    <w:multiLevelType w:val="multilevel"/>
    <w:tmpl w:val="BF205925"/>
    <w:lvl w:ilvl="0" w:tentative="0">
      <w:start w:val="1"/>
      <w:numFmt w:val="decimal"/>
      <w:lvlText w:val="%1."/>
      <w:lvlJc w:val="left"/>
      <w:pPr>
        <w:ind w:left="1127" w:hanging="238"/>
        <w:jc w:val="left"/>
      </w:pPr>
      <w:rPr>
        <w:rFonts w:hint="default" w:ascii="宋体" w:hAnsi="宋体" w:eastAsia="宋体" w:cs="宋体"/>
        <w:b/>
        <w:bCs/>
        <w:spacing w:val="-8"/>
        <w:w w:val="97"/>
        <w:sz w:val="22"/>
        <w:szCs w:val="22"/>
        <w:lang w:val="zh-CN" w:eastAsia="zh-CN" w:bidi="zh-CN"/>
      </w:rPr>
    </w:lvl>
    <w:lvl w:ilvl="1" w:tentative="0">
      <w:start w:val="1"/>
      <w:numFmt w:val="decimal"/>
      <w:lvlText w:val="%1.%2"/>
      <w:lvlJc w:val="left"/>
      <w:pPr>
        <w:ind w:left="1290" w:hanging="423"/>
        <w:jc w:val="left"/>
      </w:pPr>
      <w:rPr>
        <w:rFonts w:hint="default"/>
        <w:w w:val="100"/>
        <w:lang w:val="zh-CN" w:eastAsia="zh-CN" w:bidi="zh-CN"/>
      </w:rPr>
    </w:lvl>
    <w:lvl w:ilvl="2" w:tentative="0">
      <w:start w:val="0"/>
      <w:numFmt w:val="bullet"/>
      <w:lvlText w:val="•"/>
      <w:lvlJc w:val="left"/>
      <w:pPr>
        <w:ind w:left="2303" w:hanging="423"/>
      </w:pPr>
      <w:rPr>
        <w:rFonts w:hint="default"/>
        <w:lang w:val="zh-CN" w:eastAsia="zh-CN" w:bidi="zh-CN"/>
      </w:rPr>
    </w:lvl>
    <w:lvl w:ilvl="3" w:tentative="0">
      <w:start w:val="0"/>
      <w:numFmt w:val="bullet"/>
      <w:lvlText w:val="•"/>
      <w:lvlJc w:val="left"/>
      <w:pPr>
        <w:ind w:left="3306" w:hanging="423"/>
      </w:pPr>
      <w:rPr>
        <w:rFonts w:hint="default"/>
        <w:lang w:val="zh-CN" w:eastAsia="zh-CN" w:bidi="zh-CN"/>
      </w:rPr>
    </w:lvl>
    <w:lvl w:ilvl="4" w:tentative="0">
      <w:start w:val="0"/>
      <w:numFmt w:val="bullet"/>
      <w:lvlText w:val="•"/>
      <w:lvlJc w:val="left"/>
      <w:pPr>
        <w:ind w:left="4310" w:hanging="423"/>
      </w:pPr>
      <w:rPr>
        <w:rFonts w:hint="default"/>
        <w:lang w:val="zh-CN" w:eastAsia="zh-CN" w:bidi="zh-CN"/>
      </w:rPr>
    </w:lvl>
    <w:lvl w:ilvl="5" w:tentative="0">
      <w:start w:val="0"/>
      <w:numFmt w:val="bullet"/>
      <w:lvlText w:val="•"/>
      <w:lvlJc w:val="left"/>
      <w:pPr>
        <w:ind w:left="5313" w:hanging="423"/>
      </w:pPr>
      <w:rPr>
        <w:rFonts w:hint="default"/>
        <w:lang w:val="zh-CN" w:eastAsia="zh-CN" w:bidi="zh-CN"/>
      </w:rPr>
    </w:lvl>
    <w:lvl w:ilvl="6" w:tentative="0">
      <w:start w:val="0"/>
      <w:numFmt w:val="bullet"/>
      <w:lvlText w:val="•"/>
      <w:lvlJc w:val="left"/>
      <w:pPr>
        <w:ind w:left="6316" w:hanging="423"/>
      </w:pPr>
      <w:rPr>
        <w:rFonts w:hint="default"/>
        <w:lang w:val="zh-CN" w:eastAsia="zh-CN" w:bidi="zh-CN"/>
      </w:rPr>
    </w:lvl>
    <w:lvl w:ilvl="7" w:tentative="0">
      <w:start w:val="0"/>
      <w:numFmt w:val="bullet"/>
      <w:lvlText w:val="•"/>
      <w:lvlJc w:val="left"/>
      <w:pPr>
        <w:ind w:left="7320" w:hanging="423"/>
      </w:pPr>
      <w:rPr>
        <w:rFonts w:hint="default"/>
        <w:lang w:val="zh-CN" w:eastAsia="zh-CN" w:bidi="zh-CN"/>
      </w:rPr>
    </w:lvl>
    <w:lvl w:ilvl="8" w:tentative="0">
      <w:start w:val="0"/>
      <w:numFmt w:val="bullet"/>
      <w:lvlText w:val="•"/>
      <w:lvlJc w:val="left"/>
      <w:pPr>
        <w:ind w:left="8323" w:hanging="423"/>
      </w:pPr>
      <w:rPr>
        <w:rFonts w:hint="default"/>
        <w:lang w:val="zh-CN" w:eastAsia="zh-CN" w:bidi="zh-CN"/>
      </w:rPr>
    </w:lvl>
  </w:abstractNum>
  <w:abstractNum w:abstractNumId="5">
    <w:nsid w:val="D7F9FE59"/>
    <w:multiLevelType w:val="multilevel"/>
    <w:tmpl w:val="D7F9FE59"/>
    <w:lvl w:ilvl="0" w:tentative="0">
      <w:start w:val="1"/>
      <w:numFmt w:val="decimal"/>
      <w:lvlText w:val="（%1）"/>
      <w:lvlJc w:val="left"/>
      <w:pPr>
        <w:ind w:left="1470" w:hanging="603"/>
        <w:jc w:val="left"/>
      </w:pPr>
      <w:rPr>
        <w:rFonts w:hint="default" w:ascii="宋体" w:hAnsi="宋体" w:eastAsia="宋体" w:cs="宋体"/>
        <w:spacing w:val="-1"/>
        <w:w w:val="100"/>
        <w:sz w:val="22"/>
        <w:szCs w:val="22"/>
        <w:lang w:val="zh-CN" w:eastAsia="zh-CN" w:bidi="zh-CN"/>
      </w:rPr>
    </w:lvl>
    <w:lvl w:ilvl="1" w:tentative="0">
      <w:start w:val="0"/>
      <w:numFmt w:val="bullet"/>
      <w:lvlText w:val="•"/>
      <w:lvlJc w:val="left"/>
      <w:pPr>
        <w:ind w:left="2365" w:hanging="603"/>
      </w:pPr>
      <w:rPr>
        <w:rFonts w:hint="default"/>
        <w:lang w:val="zh-CN" w:eastAsia="zh-CN" w:bidi="zh-CN"/>
      </w:rPr>
    </w:lvl>
    <w:lvl w:ilvl="2" w:tentative="0">
      <w:start w:val="0"/>
      <w:numFmt w:val="bullet"/>
      <w:lvlText w:val="•"/>
      <w:lvlJc w:val="left"/>
      <w:pPr>
        <w:ind w:left="3250" w:hanging="603"/>
      </w:pPr>
      <w:rPr>
        <w:rFonts w:hint="default"/>
        <w:lang w:val="zh-CN" w:eastAsia="zh-CN" w:bidi="zh-CN"/>
      </w:rPr>
    </w:lvl>
    <w:lvl w:ilvl="3" w:tentative="0">
      <w:start w:val="0"/>
      <w:numFmt w:val="bullet"/>
      <w:lvlText w:val="•"/>
      <w:lvlJc w:val="left"/>
      <w:pPr>
        <w:ind w:left="4135" w:hanging="603"/>
      </w:pPr>
      <w:rPr>
        <w:rFonts w:hint="default"/>
        <w:lang w:val="zh-CN" w:eastAsia="zh-CN" w:bidi="zh-CN"/>
      </w:rPr>
    </w:lvl>
    <w:lvl w:ilvl="4" w:tentative="0">
      <w:start w:val="0"/>
      <w:numFmt w:val="bullet"/>
      <w:lvlText w:val="•"/>
      <w:lvlJc w:val="left"/>
      <w:pPr>
        <w:ind w:left="5020" w:hanging="603"/>
      </w:pPr>
      <w:rPr>
        <w:rFonts w:hint="default"/>
        <w:lang w:val="zh-CN" w:eastAsia="zh-CN" w:bidi="zh-CN"/>
      </w:rPr>
    </w:lvl>
    <w:lvl w:ilvl="5" w:tentative="0">
      <w:start w:val="0"/>
      <w:numFmt w:val="bullet"/>
      <w:lvlText w:val="•"/>
      <w:lvlJc w:val="left"/>
      <w:pPr>
        <w:ind w:left="5905" w:hanging="603"/>
      </w:pPr>
      <w:rPr>
        <w:rFonts w:hint="default"/>
        <w:lang w:val="zh-CN" w:eastAsia="zh-CN" w:bidi="zh-CN"/>
      </w:rPr>
    </w:lvl>
    <w:lvl w:ilvl="6" w:tentative="0">
      <w:start w:val="0"/>
      <w:numFmt w:val="bullet"/>
      <w:lvlText w:val="•"/>
      <w:lvlJc w:val="left"/>
      <w:pPr>
        <w:ind w:left="6790" w:hanging="603"/>
      </w:pPr>
      <w:rPr>
        <w:rFonts w:hint="default"/>
        <w:lang w:val="zh-CN" w:eastAsia="zh-CN" w:bidi="zh-CN"/>
      </w:rPr>
    </w:lvl>
    <w:lvl w:ilvl="7" w:tentative="0">
      <w:start w:val="0"/>
      <w:numFmt w:val="bullet"/>
      <w:lvlText w:val="•"/>
      <w:lvlJc w:val="left"/>
      <w:pPr>
        <w:ind w:left="7675" w:hanging="603"/>
      </w:pPr>
      <w:rPr>
        <w:rFonts w:hint="default"/>
        <w:lang w:val="zh-CN" w:eastAsia="zh-CN" w:bidi="zh-CN"/>
      </w:rPr>
    </w:lvl>
    <w:lvl w:ilvl="8" w:tentative="0">
      <w:start w:val="0"/>
      <w:numFmt w:val="bullet"/>
      <w:lvlText w:val="•"/>
      <w:lvlJc w:val="left"/>
      <w:pPr>
        <w:ind w:left="8560" w:hanging="603"/>
      </w:pPr>
      <w:rPr>
        <w:rFonts w:hint="default"/>
        <w:lang w:val="zh-CN" w:eastAsia="zh-CN" w:bidi="zh-CN"/>
      </w:rPr>
    </w:lvl>
  </w:abstractNum>
  <w:abstractNum w:abstractNumId="6">
    <w:nsid w:val="F28C4F73"/>
    <w:multiLevelType w:val="singleLevel"/>
    <w:tmpl w:val="F28C4F73"/>
    <w:lvl w:ilvl="0" w:tentative="0">
      <w:start w:val="7"/>
      <w:numFmt w:val="chineseCounting"/>
      <w:suff w:val="space"/>
      <w:lvlText w:val="第%1章"/>
      <w:lvlJc w:val="left"/>
      <w:pPr>
        <w:ind w:left="2880" w:leftChars="0" w:firstLine="0" w:firstLineChars="0"/>
      </w:pPr>
      <w:rPr>
        <w:rFonts w:hint="eastAsia"/>
      </w:rPr>
    </w:lvl>
  </w:abstractNum>
  <w:abstractNum w:abstractNumId="7">
    <w:nsid w:val="25B654F3"/>
    <w:multiLevelType w:val="multilevel"/>
    <w:tmpl w:val="25B654F3"/>
    <w:lvl w:ilvl="0" w:tentative="0">
      <w:start w:val="5"/>
      <w:numFmt w:val="decimal"/>
      <w:lvlText w:val="%1"/>
      <w:lvlJc w:val="left"/>
      <w:pPr>
        <w:ind w:left="1292" w:hanging="423"/>
        <w:jc w:val="left"/>
      </w:pPr>
      <w:rPr>
        <w:rFonts w:hint="default"/>
        <w:lang w:val="zh-CN" w:eastAsia="zh-CN" w:bidi="zh-CN"/>
      </w:rPr>
    </w:lvl>
    <w:lvl w:ilvl="1" w:tentative="0">
      <w:start w:val="1"/>
      <w:numFmt w:val="decimal"/>
      <w:lvlText w:val="%1.%2"/>
      <w:lvlJc w:val="left"/>
      <w:pPr>
        <w:ind w:left="1292" w:hanging="423"/>
        <w:jc w:val="left"/>
      </w:pPr>
      <w:rPr>
        <w:rFonts w:hint="default" w:ascii="宋体" w:hAnsi="宋体" w:eastAsia="宋体" w:cs="宋体"/>
        <w:w w:val="100"/>
        <w:sz w:val="24"/>
        <w:szCs w:val="24"/>
        <w:lang w:val="zh-CN" w:eastAsia="zh-CN" w:bidi="zh-CN"/>
      </w:rPr>
    </w:lvl>
    <w:lvl w:ilvl="2" w:tentative="0">
      <w:start w:val="0"/>
      <w:numFmt w:val="bullet"/>
      <w:lvlText w:val="•"/>
      <w:lvlJc w:val="left"/>
      <w:pPr>
        <w:ind w:left="3106" w:hanging="423"/>
      </w:pPr>
      <w:rPr>
        <w:rFonts w:hint="default"/>
        <w:lang w:val="zh-CN" w:eastAsia="zh-CN" w:bidi="zh-CN"/>
      </w:rPr>
    </w:lvl>
    <w:lvl w:ilvl="3" w:tentative="0">
      <w:start w:val="0"/>
      <w:numFmt w:val="bullet"/>
      <w:lvlText w:val="•"/>
      <w:lvlJc w:val="left"/>
      <w:pPr>
        <w:ind w:left="4009" w:hanging="423"/>
      </w:pPr>
      <w:rPr>
        <w:rFonts w:hint="default"/>
        <w:lang w:val="zh-CN" w:eastAsia="zh-CN" w:bidi="zh-CN"/>
      </w:rPr>
    </w:lvl>
    <w:lvl w:ilvl="4" w:tentative="0">
      <w:start w:val="0"/>
      <w:numFmt w:val="bullet"/>
      <w:lvlText w:val="•"/>
      <w:lvlJc w:val="left"/>
      <w:pPr>
        <w:ind w:left="4912" w:hanging="423"/>
      </w:pPr>
      <w:rPr>
        <w:rFonts w:hint="default"/>
        <w:lang w:val="zh-CN" w:eastAsia="zh-CN" w:bidi="zh-CN"/>
      </w:rPr>
    </w:lvl>
    <w:lvl w:ilvl="5" w:tentative="0">
      <w:start w:val="0"/>
      <w:numFmt w:val="bullet"/>
      <w:lvlText w:val="•"/>
      <w:lvlJc w:val="left"/>
      <w:pPr>
        <w:ind w:left="5815" w:hanging="423"/>
      </w:pPr>
      <w:rPr>
        <w:rFonts w:hint="default"/>
        <w:lang w:val="zh-CN" w:eastAsia="zh-CN" w:bidi="zh-CN"/>
      </w:rPr>
    </w:lvl>
    <w:lvl w:ilvl="6" w:tentative="0">
      <w:start w:val="0"/>
      <w:numFmt w:val="bullet"/>
      <w:lvlText w:val="•"/>
      <w:lvlJc w:val="left"/>
      <w:pPr>
        <w:ind w:left="6718" w:hanging="423"/>
      </w:pPr>
      <w:rPr>
        <w:rFonts w:hint="default"/>
        <w:lang w:val="zh-CN" w:eastAsia="zh-CN" w:bidi="zh-CN"/>
      </w:rPr>
    </w:lvl>
    <w:lvl w:ilvl="7" w:tentative="0">
      <w:start w:val="0"/>
      <w:numFmt w:val="bullet"/>
      <w:lvlText w:val="•"/>
      <w:lvlJc w:val="left"/>
      <w:pPr>
        <w:ind w:left="7621" w:hanging="423"/>
      </w:pPr>
      <w:rPr>
        <w:rFonts w:hint="default"/>
        <w:lang w:val="zh-CN" w:eastAsia="zh-CN" w:bidi="zh-CN"/>
      </w:rPr>
    </w:lvl>
    <w:lvl w:ilvl="8" w:tentative="0">
      <w:start w:val="0"/>
      <w:numFmt w:val="bullet"/>
      <w:lvlText w:val="•"/>
      <w:lvlJc w:val="left"/>
      <w:pPr>
        <w:ind w:left="8524" w:hanging="423"/>
      </w:pPr>
      <w:rPr>
        <w:rFonts w:hint="default"/>
        <w:lang w:val="zh-CN" w:eastAsia="zh-CN" w:bidi="zh-CN"/>
      </w:rPr>
    </w:lvl>
  </w:abstractNum>
  <w:abstractNum w:abstractNumId="8">
    <w:nsid w:val="39A0D9AC"/>
    <w:multiLevelType w:val="multilevel"/>
    <w:tmpl w:val="39A0D9AC"/>
    <w:lvl w:ilvl="0" w:tentative="0">
      <w:start w:val="1"/>
      <w:numFmt w:val="decimal"/>
      <w:lvlText w:val="%1."/>
      <w:lvlJc w:val="left"/>
      <w:pPr>
        <w:ind w:left="390" w:hanging="240"/>
        <w:jc w:val="left"/>
      </w:pPr>
      <w:rPr>
        <w:rFonts w:hint="default" w:ascii="宋体" w:hAnsi="宋体" w:eastAsia="宋体" w:cs="宋体"/>
        <w:spacing w:val="-15"/>
        <w:w w:val="100"/>
        <w:sz w:val="22"/>
        <w:szCs w:val="22"/>
        <w:lang w:val="zh-CN" w:eastAsia="zh-CN" w:bidi="zh-CN"/>
      </w:rPr>
    </w:lvl>
    <w:lvl w:ilvl="1" w:tentative="0">
      <w:start w:val="1"/>
      <w:numFmt w:val="decimal"/>
      <w:lvlText w:val="%2."/>
      <w:lvlJc w:val="left"/>
      <w:pPr>
        <w:ind w:left="1405" w:hanging="243"/>
        <w:jc w:val="right"/>
      </w:pPr>
      <w:rPr>
        <w:rFonts w:hint="default" w:ascii="宋体" w:hAnsi="宋体" w:eastAsia="宋体" w:cs="宋体"/>
        <w:spacing w:val="-1"/>
        <w:w w:val="100"/>
        <w:sz w:val="22"/>
        <w:szCs w:val="22"/>
        <w:lang w:val="zh-CN" w:eastAsia="zh-CN" w:bidi="zh-CN"/>
      </w:rPr>
    </w:lvl>
    <w:lvl w:ilvl="2" w:tentative="0">
      <w:start w:val="0"/>
      <w:numFmt w:val="bullet"/>
      <w:lvlText w:val="•"/>
      <w:lvlJc w:val="left"/>
      <w:pPr>
        <w:ind w:left="2392" w:hanging="243"/>
      </w:pPr>
      <w:rPr>
        <w:rFonts w:hint="default"/>
        <w:lang w:val="zh-CN" w:eastAsia="zh-CN" w:bidi="zh-CN"/>
      </w:rPr>
    </w:lvl>
    <w:lvl w:ilvl="3" w:tentative="0">
      <w:start w:val="0"/>
      <w:numFmt w:val="bullet"/>
      <w:lvlText w:val="•"/>
      <w:lvlJc w:val="left"/>
      <w:pPr>
        <w:ind w:left="3384" w:hanging="243"/>
      </w:pPr>
      <w:rPr>
        <w:rFonts w:hint="default"/>
        <w:lang w:val="zh-CN" w:eastAsia="zh-CN" w:bidi="zh-CN"/>
      </w:rPr>
    </w:lvl>
    <w:lvl w:ilvl="4" w:tentative="0">
      <w:start w:val="0"/>
      <w:numFmt w:val="bullet"/>
      <w:lvlText w:val="•"/>
      <w:lvlJc w:val="left"/>
      <w:pPr>
        <w:ind w:left="4376" w:hanging="243"/>
      </w:pPr>
      <w:rPr>
        <w:rFonts w:hint="default"/>
        <w:lang w:val="zh-CN" w:eastAsia="zh-CN" w:bidi="zh-CN"/>
      </w:rPr>
    </w:lvl>
    <w:lvl w:ilvl="5" w:tentative="0">
      <w:start w:val="0"/>
      <w:numFmt w:val="bullet"/>
      <w:lvlText w:val="•"/>
      <w:lvlJc w:val="left"/>
      <w:pPr>
        <w:ind w:left="5368" w:hanging="243"/>
      </w:pPr>
      <w:rPr>
        <w:rFonts w:hint="default"/>
        <w:lang w:val="zh-CN" w:eastAsia="zh-CN" w:bidi="zh-CN"/>
      </w:rPr>
    </w:lvl>
    <w:lvl w:ilvl="6" w:tentative="0">
      <w:start w:val="0"/>
      <w:numFmt w:val="bullet"/>
      <w:lvlText w:val="•"/>
      <w:lvlJc w:val="left"/>
      <w:pPr>
        <w:ind w:left="6361" w:hanging="243"/>
      </w:pPr>
      <w:rPr>
        <w:rFonts w:hint="default"/>
        <w:lang w:val="zh-CN" w:eastAsia="zh-CN" w:bidi="zh-CN"/>
      </w:rPr>
    </w:lvl>
    <w:lvl w:ilvl="7" w:tentative="0">
      <w:start w:val="0"/>
      <w:numFmt w:val="bullet"/>
      <w:lvlText w:val="•"/>
      <w:lvlJc w:val="left"/>
      <w:pPr>
        <w:ind w:left="7353" w:hanging="243"/>
      </w:pPr>
      <w:rPr>
        <w:rFonts w:hint="default"/>
        <w:lang w:val="zh-CN" w:eastAsia="zh-CN" w:bidi="zh-CN"/>
      </w:rPr>
    </w:lvl>
    <w:lvl w:ilvl="8" w:tentative="0">
      <w:start w:val="0"/>
      <w:numFmt w:val="bullet"/>
      <w:lvlText w:val="•"/>
      <w:lvlJc w:val="left"/>
      <w:pPr>
        <w:ind w:left="8345" w:hanging="243"/>
      </w:pPr>
      <w:rPr>
        <w:rFonts w:hint="default"/>
        <w:lang w:val="zh-CN" w:eastAsia="zh-CN" w:bidi="zh-CN"/>
      </w:rPr>
    </w:lvl>
  </w:abstractNum>
  <w:abstractNum w:abstractNumId="9">
    <w:nsid w:val="4D94DA66"/>
    <w:multiLevelType w:val="multilevel"/>
    <w:tmpl w:val="4D94DA66"/>
    <w:lvl w:ilvl="0" w:tentative="0">
      <w:start w:val="1"/>
      <w:numFmt w:val="decimal"/>
      <w:lvlText w:val="%1."/>
      <w:lvlJc w:val="left"/>
      <w:pPr>
        <w:ind w:left="1050" w:hanging="243"/>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987" w:hanging="243"/>
      </w:pPr>
      <w:rPr>
        <w:rFonts w:hint="default"/>
        <w:lang w:val="zh-CN" w:eastAsia="zh-CN" w:bidi="zh-CN"/>
      </w:rPr>
    </w:lvl>
    <w:lvl w:ilvl="2" w:tentative="0">
      <w:start w:val="0"/>
      <w:numFmt w:val="bullet"/>
      <w:lvlText w:val="•"/>
      <w:lvlJc w:val="left"/>
      <w:pPr>
        <w:ind w:left="2914" w:hanging="243"/>
      </w:pPr>
      <w:rPr>
        <w:rFonts w:hint="default"/>
        <w:lang w:val="zh-CN" w:eastAsia="zh-CN" w:bidi="zh-CN"/>
      </w:rPr>
    </w:lvl>
    <w:lvl w:ilvl="3" w:tentative="0">
      <w:start w:val="0"/>
      <w:numFmt w:val="bullet"/>
      <w:lvlText w:val="•"/>
      <w:lvlJc w:val="left"/>
      <w:pPr>
        <w:ind w:left="3841" w:hanging="243"/>
      </w:pPr>
      <w:rPr>
        <w:rFonts w:hint="default"/>
        <w:lang w:val="zh-CN" w:eastAsia="zh-CN" w:bidi="zh-CN"/>
      </w:rPr>
    </w:lvl>
    <w:lvl w:ilvl="4" w:tentative="0">
      <w:start w:val="0"/>
      <w:numFmt w:val="bullet"/>
      <w:lvlText w:val="•"/>
      <w:lvlJc w:val="left"/>
      <w:pPr>
        <w:ind w:left="4768" w:hanging="243"/>
      </w:pPr>
      <w:rPr>
        <w:rFonts w:hint="default"/>
        <w:lang w:val="zh-CN" w:eastAsia="zh-CN" w:bidi="zh-CN"/>
      </w:rPr>
    </w:lvl>
    <w:lvl w:ilvl="5" w:tentative="0">
      <w:start w:val="0"/>
      <w:numFmt w:val="bullet"/>
      <w:lvlText w:val="•"/>
      <w:lvlJc w:val="left"/>
      <w:pPr>
        <w:ind w:left="5695" w:hanging="243"/>
      </w:pPr>
      <w:rPr>
        <w:rFonts w:hint="default"/>
        <w:lang w:val="zh-CN" w:eastAsia="zh-CN" w:bidi="zh-CN"/>
      </w:rPr>
    </w:lvl>
    <w:lvl w:ilvl="6" w:tentative="0">
      <w:start w:val="0"/>
      <w:numFmt w:val="bullet"/>
      <w:lvlText w:val="•"/>
      <w:lvlJc w:val="left"/>
      <w:pPr>
        <w:ind w:left="6622" w:hanging="243"/>
      </w:pPr>
      <w:rPr>
        <w:rFonts w:hint="default"/>
        <w:lang w:val="zh-CN" w:eastAsia="zh-CN" w:bidi="zh-CN"/>
      </w:rPr>
    </w:lvl>
    <w:lvl w:ilvl="7" w:tentative="0">
      <w:start w:val="0"/>
      <w:numFmt w:val="bullet"/>
      <w:lvlText w:val="•"/>
      <w:lvlJc w:val="left"/>
      <w:pPr>
        <w:ind w:left="7549" w:hanging="243"/>
      </w:pPr>
      <w:rPr>
        <w:rFonts w:hint="default"/>
        <w:lang w:val="zh-CN" w:eastAsia="zh-CN" w:bidi="zh-CN"/>
      </w:rPr>
    </w:lvl>
    <w:lvl w:ilvl="8" w:tentative="0">
      <w:start w:val="0"/>
      <w:numFmt w:val="bullet"/>
      <w:lvlText w:val="•"/>
      <w:lvlJc w:val="left"/>
      <w:pPr>
        <w:ind w:left="8476" w:hanging="243"/>
      </w:pPr>
      <w:rPr>
        <w:rFonts w:hint="default"/>
        <w:lang w:val="zh-CN" w:eastAsia="zh-CN" w:bidi="zh-CN"/>
      </w:rPr>
    </w:lvl>
  </w:abstractNum>
  <w:abstractNum w:abstractNumId="10">
    <w:nsid w:val="58765686"/>
    <w:multiLevelType w:val="multilevel"/>
    <w:tmpl w:val="58765686"/>
    <w:lvl w:ilvl="0" w:tentative="0">
      <w:start w:val="1"/>
      <w:numFmt w:val="decimal"/>
      <w:lvlText w:val="%1."/>
      <w:lvlJc w:val="left"/>
      <w:pPr>
        <w:ind w:left="390" w:hanging="243"/>
        <w:jc w:val="left"/>
      </w:pPr>
      <w:rPr>
        <w:rFonts w:hint="default"/>
        <w:spacing w:val="-17"/>
        <w:w w:val="100"/>
        <w:lang w:val="zh-CN" w:eastAsia="zh-CN" w:bidi="zh-CN"/>
      </w:rPr>
    </w:lvl>
    <w:lvl w:ilvl="1" w:tentative="0">
      <w:start w:val="1"/>
      <w:numFmt w:val="decimal"/>
      <w:lvlText w:val="%2."/>
      <w:lvlJc w:val="left"/>
      <w:pPr>
        <w:ind w:left="1088" w:hanging="240"/>
        <w:jc w:val="left"/>
      </w:pPr>
      <w:rPr>
        <w:rFonts w:hint="default"/>
        <w:spacing w:val="-5"/>
        <w:w w:val="100"/>
        <w:lang w:val="zh-CN" w:eastAsia="zh-CN" w:bidi="zh-CN"/>
      </w:rPr>
    </w:lvl>
    <w:lvl w:ilvl="2" w:tentative="0">
      <w:start w:val="0"/>
      <w:numFmt w:val="bullet"/>
      <w:lvlText w:val="•"/>
      <w:lvlJc w:val="left"/>
      <w:pPr>
        <w:ind w:left="2107" w:hanging="240"/>
      </w:pPr>
      <w:rPr>
        <w:rFonts w:hint="default"/>
        <w:lang w:val="zh-CN" w:eastAsia="zh-CN" w:bidi="zh-CN"/>
      </w:rPr>
    </w:lvl>
    <w:lvl w:ilvl="3" w:tentative="0">
      <w:start w:val="0"/>
      <w:numFmt w:val="bullet"/>
      <w:lvlText w:val="•"/>
      <w:lvlJc w:val="left"/>
      <w:pPr>
        <w:ind w:left="3135" w:hanging="240"/>
      </w:pPr>
      <w:rPr>
        <w:rFonts w:hint="default"/>
        <w:lang w:val="zh-CN" w:eastAsia="zh-CN" w:bidi="zh-CN"/>
      </w:rPr>
    </w:lvl>
    <w:lvl w:ilvl="4" w:tentative="0">
      <w:start w:val="0"/>
      <w:numFmt w:val="bullet"/>
      <w:lvlText w:val="•"/>
      <w:lvlJc w:val="left"/>
      <w:pPr>
        <w:ind w:left="4163" w:hanging="240"/>
      </w:pPr>
      <w:rPr>
        <w:rFonts w:hint="default"/>
        <w:lang w:val="zh-CN" w:eastAsia="zh-CN" w:bidi="zh-CN"/>
      </w:rPr>
    </w:lvl>
    <w:lvl w:ilvl="5" w:tentative="0">
      <w:start w:val="0"/>
      <w:numFmt w:val="bullet"/>
      <w:lvlText w:val="•"/>
      <w:lvlJc w:val="left"/>
      <w:pPr>
        <w:ind w:left="5191" w:hanging="240"/>
      </w:pPr>
      <w:rPr>
        <w:rFonts w:hint="default"/>
        <w:lang w:val="zh-CN" w:eastAsia="zh-CN" w:bidi="zh-CN"/>
      </w:rPr>
    </w:lvl>
    <w:lvl w:ilvl="6" w:tentative="0">
      <w:start w:val="0"/>
      <w:numFmt w:val="bullet"/>
      <w:lvlText w:val="•"/>
      <w:lvlJc w:val="left"/>
      <w:pPr>
        <w:ind w:left="6218" w:hanging="240"/>
      </w:pPr>
      <w:rPr>
        <w:rFonts w:hint="default"/>
        <w:lang w:val="zh-CN" w:eastAsia="zh-CN" w:bidi="zh-CN"/>
      </w:rPr>
    </w:lvl>
    <w:lvl w:ilvl="7" w:tentative="0">
      <w:start w:val="0"/>
      <w:numFmt w:val="bullet"/>
      <w:lvlText w:val="•"/>
      <w:lvlJc w:val="left"/>
      <w:pPr>
        <w:ind w:left="7246" w:hanging="240"/>
      </w:pPr>
      <w:rPr>
        <w:rFonts w:hint="default"/>
        <w:lang w:val="zh-CN" w:eastAsia="zh-CN" w:bidi="zh-CN"/>
      </w:rPr>
    </w:lvl>
    <w:lvl w:ilvl="8" w:tentative="0">
      <w:start w:val="0"/>
      <w:numFmt w:val="bullet"/>
      <w:lvlText w:val="•"/>
      <w:lvlJc w:val="left"/>
      <w:pPr>
        <w:ind w:left="8274" w:hanging="240"/>
      </w:pPr>
      <w:rPr>
        <w:rFonts w:hint="default"/>
        <w:lang w:val="zh-CN" w:eastAsia="zh-CN" w:bidi="zh-CN"/>
      </w:rPr>
    </w:lvl>
  </w:abstractNum>
  <w:abstractNum w:abstractNumId="11">
    <w:nsid w:val="59C3D209"/>
    <w:multiLevelType w:val="singleLevel"/>
    <w:tmpl w:val="59C3D209"/>
    <w:lvl w:ilvl="0" w:tentative="0">
      <w:start w:val="2"/>
      <w:numFmt w:val="decimal"/>
      <w:suff w:val="nothing"/>
      <w:lvlText w:val="%1）"/>
      <w:lvlJc w:val="left"/>
    </w:lvl>
  </w:abstractNum>
  <w:abstractNum w:abstractNumId="12">
    <w:nsid w:val="5A241D34"/>
    <w:multiLevelType w:val="multilevel"/>
    <w:tmpl w:val="5A241D34"/>
    <w:lvl w:ilvl="0" w:tentative="0">
      <w:start w:val="12"/>
      <w:numFmt w:val="decimal"/>
      <w:lvlText w:val="%1"/>
      <w:lvlJc w:val="left"/>
      <w:pPr>
        <w:ind w:left="390" w:hanging="524"/>
        <w:jc w:val="left"/>
      </w:pPr>
      <w:rPr>
        <w:rFonts w:hint="default"/>
        <w:lang w:val="zh-CN" w:eastAsia="zh-CN" w:bidi="zh-CN"/>
      </w:rPr>
    </w:lvl>
    <w:lvl w:ilvl="1" w:tentative="0">
      <w:start w:val="1"/>
      <w:numFmt w:val="decimal"/>
      <w:lvlText w:val="%1.%2"/>
      <w:lvlJc w:val="left"/>
      <w:pPr>
        <w:ind w:left="390" w:hanging="524"/>
        <w:jc w:val="left"/>
      </w:pPr>
      <w:rPr>
        <w:rFonts w:hint="default" w:ascii="宋体" w:hAnsi="宋体" w:eastAsia="宋体" w:cs="宋体"/>
        <w:b w:val="0"/>
        <w:bCs w:val="0"/>
        <w:spacing w:val="0"/>
        <w:w w:val="97"/>
        <w:sz w:val="24"/>
        <w:szCs w:val="24"/>
        <w:lang w:val="zh-CN" w:eastAsia="zh-CN" w:bidi="zh-CN"/>
      </w:rPr>
    </w:lvl>
    <w:lvl w:ilvl="2" w:tentative="0">
      <w:start w:val="0"/>
      <w:numFmt w:val="bullet"/>
      <w:lvlText w:val="•"/>
      <w:lvlJc w:val="left"/>
      <w:pPr>
        <w:ind w:left="2386" w:hanging="524"/>
      </w:pPr>
      <w:rPr>
        <w:rFonts w:hint="default"/>
        <w:lang w:val="zh-CN" w:eastAsia="zh-CN" w:bidi="zh-CN"/>
      </w:rPr>
    </w:lvl>
    <w:lvl w:ilvl="3" w:tentative="0">
      <w:start w:val="0"/>
      <w:numFmt w:val="bullet"/>
      <w:lvlText w:val="•"/>
      <w:lvlJc w:val="left"/>
      <w:pPr>
        <w:ind w:left="3379" w:hanging="524"/>
      </w:pPr>
      <w:rPr>
        <w:rFonts w:hint="default"/>
        <w:lang w:val="zh-CN" w:eastAsia="zh-CN" w:bidi="zh-CN"/>
      </w:rPr>
    </w:lvl>
    <w:lvl w:ilvl="4" w:tentative="0">
      <w:start w:val="0"/>
      <w:numFmt w:val="bullet"/>
      <w:lvlText w:val="•"/>
      <w:lvlJc w:val="left"/>
      <w:pPr>
        <w:ind w:left="4372" w:hanging="524"/>
      </w:pPr>
      <w:rPr>
        <w:rFonts w:hint="default"/>
        <w:lang w:val="zh-CN" w:eastAsia="zh-CN" w:bidi="zh-CN"/>
      </w:rPr>
    </w:lvl>
    <w:lvl w:ilvl="5" w:tentative="0">
      <w:start w:val="0"/>
      <w:numFmt w:val="bullet"/>
      <w:lvlText w:val="•"/>
      <w:lvlJc w:val="left"/>
      <w:pPr>
        <w:ind w:left="5365" w:hanging="524"/>
      </w:pPr>
      <w:rPr>
        <w:rFonts w:hint="default"/>
        <w:lang w:val="zh-CN" w:eastAsia="zh-CN" w:bidi="zh-CN"/>
      </w:rPr>
    </w:lvl>
    <w:lvl w:ilvl="6" w:tentative="0">
      <w:start w:val="0"/>
      <w:numFmt w:val="bullet"/>
      <w:lvlText w:val="•"/>
      <w:lvlJc w:val="left"/>
      <w:pPr>
        <w:ind w:left="6358" w:hanging="524"/>
      </w:pPr>
      <w:rPr>
        <w:rFonts w:hint="default"/>
        <w:lang w:val="zh-CN" w:eastAsia="zh-CN" w:bidi="zh-CN"/>
      </w:rPr>
    </w:lvl>
    <w:lvl w:ilvl="7" w:tentative="0">
      <w:start w:val="0"/>
      <w:numFmt w:val="bullet"/>
      <w:lvlText w:val="•"/>
      <w:lvlJc w:val="left"/>
      <w:pPr>
        <w:ind w:left="7351" w:hanging="524"/>
      </w:pPr>
      <w:rPr>
        <w:rFonts w:hint="default"/>
        <w:lang w:val="zh-CN" w:eastAsia="zh-CN" w:bidi="zh-CN"/>
      </w:rPr>
    </w:lvl>
    <w:lvl w:ilvl="8" w:tentative="0">
      <w:start w:val="0"/>
      <w:numFmt w:val="bullet"/>
      <w:lvlText w:val="•"/>
      <w:lvlJc w:val="left"/>
      <w:pPr>
        <w:ind w:left="8344" w:hanging="524"/>
      </w:pPr>
      <w:rPr>
        <w:rFonts w:hint="default"/>
        <w:lang w:val="zh-CN" w:eastAsia="zh-CN" w:bidi="zh-CN"/>
      </w:rPr>
    </w:lvl>
  </w:abstractNum>
  <w:abstractNum w:abstractNumId="13">
    <w:nsid w:val="629F7852"/>
    <w:multiLevelType w:val="multilevel"/>
    <w:tmpl w:val="629F7852"/>
    <w:lvl w:ilvl="0" w:tentative="0">
      <w:start w:val="1"/>
      <w:numFmt w:val="decimal"/>
      <w:lvlText w:val="%1."/>
      <w:lvlJc w:val="left"/>
      <w:pPr>
        <w:ind w:left="1112" w:hanging="243"/>
        <w:jc w:val="left"/>
      </w:pPr>
      <w:rPr>
        <w:rFonts w:hint="default" w:ascii="宋体" w:hAnsi="宋体" w:eastAsia="宋体" w:cs="宋体"/>
        <w:spacing w:val="-109"/>
        <w:w w:val="100"/>
        <w:sz w:val="22"/>
        <w:szCs w:val="22"/>
        <w:lang w:val="zh-CN" w:eastAsia="zh-CN" w:bidi="zh-CN"/>
      </w:rPr>
    </w:lvl>
    <w:lvl w:ilvl="1" w:tentative="0">
      <w:start w:val="0"/>
      <w:numFmt w:val="bullet"/>
      <w:lvlText w:val="•"/>
      <w:lvlJc w:val="left"/>
      <w:pPr>
        <w:ind w:left="2041" w:hanging="243"/>
      </w:pPr>
      <w:rPr>
        <w:rFonts w:hint="default"/>
        <w:lang w:val="zh-CN" w:eastAsia="zh-CN" w:bidi="zh-CN"/>
      </w:rPr>
    </w:lvl>
    <w:lvl w:ilvl="2" w:tentative="0">
      <w:start w:val="0"/>
      <w:numFmt w:val="bullet"/>
      <w:lvlText w:val="•"/>
      <w:lvlJc w:val="left"/>
      <w:pPr>
        <w:ind w:left="2962" w:hanging="243"/>
      </w:pPr>
      <w:rPr>
        <w:rFonts w:hint="default"/>
        <w:lang w:val="zh-CN" w:eastAsia="zh-CN" w:bidi="zh-CN"/>
      </w:rPr>
    </w:lvl>
    <w:lvl w:ilvl="3" w:tentative="0">
      <w:start w:val="0"/>
      <w:numFmt w:val="bullet"/>
      <w:lvlText w:val="•"/>
      <w:lvlJc w:val="left"/>
      <w:pPr>
        <w:ind w:left="3883" w:hanging="243"/>
      </w:pPr>
      <w:rPr>
        <w:rFonts w:hint="default"/>
        <w:lang w:val="zh-CN" w:eastAsia="zh-CN" w:bidi="zh-CN"/>
      </w:rPr>
    </w:lvl>
    <w:lvl w:ilvl="4" w:tentative="0">
      <w:start w:val="0"/>
      <w:numFmt w:val="bullet"/>
      <w:lvlText w:val="•"/>
      <w:lvlJc w:val="left"/>
      <w:pPr>
        <w:ind w:left="4804" w:hanging="243"/>
      </w:pPr>
      <w:rPr>
        <w:rFonts w:hint="default"/>
        <w:lang w:val="zh-CN" w:eastAsia="zh-CN" w:bidi="zh-CN"/>
      </w:rPr>
    </w:lvl>
    <w:lvl w:ilvl="5" w:tentative="0">
      <w:start w:val="0"/>
      <w:numFmt w:val="bullet"/>
      <w:lvlText w:val="•"/>
      <w:lvlJc w:val="left"/>
      <w:pPr>
        <w:ind w:left="5725" w:hanging="243"/>
      </w:pPr>
      <w:rPr>
        <w:rFonts w:hint="default"/>
        <w:lang w:val="zh-CN" w:eastAsia="zh-CN" w:bidi="zh-CN"/>
      </w:rPr>
    </w:lvl>
    <w:lvl w:ilvl="6" w:tentative="0">
      <w:start w:val="0"/>
      <w:numFmt w:val="bullet"/>
      <w:lvlText w:val="•"/>
      <w:lvlJc w:val="left"/>
      <w:pPr>
        <w:ind w:left="6646" w:hanging="243"/>
      </w:pPr>
      <w:rPr>
        <w:rFonts w:hint="default"/>
        <w:lang w:val="zh-CN" w:eastAsia="zh-CN" w:bidi="zh-CN"/>
      </w:rPr>
    </w:lvl>
    <w:lvl w:ilvl="7" w:tentative="0">
      <w:start w:val="0"/>
      <w:numFmt w:val="bullet"/>
      <w:lvlText w:val="•"/>
      <w:lvlJc w:val="left"/>
      <w:pPr>
        <w:ind w:left="7567" w:hanging="243"/>
      </w:pPr>
      <w:rPr>
        <w:rFonts w:hint="default"/>
        <w:lang w:val="zh-CN" w:eastAsia="zh-CN" w:bidi="zh-CN"/>
      </w:rPr>
    </w:lvl>
    <w:lvl w:ilvl="8" w:tentative="0">
      <w:start w:val="0"/>
      <w:numFmt w:val="bullet"/>
      <w:lvlText w:val="•"/>
      <w:lvlJc w:val="left"/>
      <w:pPr>
        <w:ind w:left="8488" w:hanging="243"/>
      </w:pPr>
      <w:rPr>
        <w:rFonts w:hint="default"/>
        <w:lang w:val="zh-CN" w:eastAsia="zh-CN" w:bidi="zh-CN"/>
      </w:rPr>
    </w:lvl>
  </w:abstractNum>
  <w:abstractNum w:abstractNumId="14">
    <w:nsid w:val="6C1D755D"/>
    <w:multiLevelType w:val="multilevel"/>
    <w:tmpl w:val="6C1D755D"/>
    <w:lvl w:ilvl="0" w:tentative="0">
      <w:start w:val="1"/>
      <w:numFmt w:val="decimal"/>
      <w:lvlText w:val="%1、"/>
      <w:lvlJc w:val="left"/>
      <w:pPr>
        <w:ind w:left="360" w:hanging="360"/>
      </w:pPr>
      <w:rPr>
        <w:rFonts w:hint="default"/>
      </w:rPr>
    </w:lvl>
    <w:lvl w:ilvl="1" w:tentative="0">
      <w:start w:val="1"/>
      <w:numFmt w:val="lowerLetter"/>
      <w:pStyle w:val="38"/>
      <w:lvlText w:val="%2)"/>
      <w:lvlJc w:val="left"/>
      <w:pPr>
        <w:ind w:left="105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7C246926"/>
    <w:multiLevelType w:val="multilevel"/>
    <w:tmpl w:val="7C246926"/>
    <w:lvl w:ilvl="0" w:tentative="0">
      <w:start w:val="1"/>
      <w:numFmt w:val="decimal"/>
      <w:lvlText w:val="%1."/>
      <w:lvlJc w:val="left"/>
      <w:pPr>
        <w:ind w:left="390" w:hanging="248"/>
        <w:jc w:val="left"/>
      </w:pPr>
      <w:rPr>
        <w:rFonts w:hint="default" w:ascii="宋体" w:hAnsi="宋体" w:eastAsia="宋体" w:cs="宋体"/>
        <w:b/>
        <w:bCs/>
        <w:spacing w:val="0"/>
        <w:w w:val="97"/>
        <w:sz w:val="22"/>
        <w:szCs w:val="22"/>
        <w:lang w:val="zh-CN" w:eastAsia="zh-CN" w:bidi="zh-CN"/>
      </w:rPr>
    </w:lvl>
    <w:lvl w:ilvl="1" w:tentative="0">
      <w:start w:val="0"/>
      <w:numFmt w:val="bullet"/>
      <w:lvlText w:val="•"/>
      <w:lvlJc w:val="left"/>
      <w:pPr>
        <w:ind w:left="1393" w:hanging="248"/>
      </w:pPr>
      <w:rPr>
        <w:rFonts w:hint="default"/>
        <w:lang w:val="zh-CN" w:eastAsia="zh-CN" w:bidi="zh-CN"/>
      </w:rPr>
    </w:lvl>
    <w:lvl w:ilvl="2" w:tentative="0">
      <w:start w:val="0"/>
      <w:numFmt w:val="bullet"/>
      <w:lvlText w:val="•"/>
      <w:lvlJc w:val="left"/>
      <w:pPr>
        <w:ind w:left="2386" w:hanging="248"/>
      </w:pPr>
      <w:rPr>
        <w:rFonts w:hint="default"/>
        <w:lang w:val="zh-CN" w:eastAsia="zh-CN" w:bidi="zh-CN"/>
      </w:rPr>
    </w:lvl>
    <w:lvl w:ilvl="3" w:tentative="0">
      <w:start w:val="0"/>
      <w:numFmt w:val="bullet"/>
      <w:lvlText w:val="•"/>
      <w:lvlJc w:val="left"/>
      <w:pPr>
        <w:ind w:left="3379" w:hanging="248"/>
      </w:pPr>
      <w:rPr>
        <w:rFonts w:hint="default"/>
        <w:lang w:val="zh-CN" w:eastAsia="zh-CN" w:bidi="zh-CN"/>
      </w:rPr>
    </w:lvl>
    <w:lvl w:ilvl="4" w:tentative="0">
      <w:start w:val="0"/>
      <w:numFmt w:val="bullet"/>
      <w:lvlText w:val="•"/>
      <w:lvlJc w:val="left"/>
      <w:pPr>
        <w:ind w:left="4372" w:hanging="248"/>
      </w:pPr>
      <w:rPr>
        <w:rFonts w:hint="default"/>
        <w:lang w:val="zh-CN" w:eastAsia="zh-CN" w:bidi="zh-CN"/>
      </w:rPr>
    </w:lvl>
    <w:lvl w:ilvl="5" w:tentative="0">
      <w:start w:val="0"/>
      <w:numFmt w:val="bullet"/>
      <w:lvlText w:val="•"/>
      <w:lvlJc w:val="left"/>
      <w:pPr>
        <w:ind w:left="5365" w:hanging="248"/>
      </w:pPr>
      <w:rPr>
        <w:rFonts w:hint="default"/>
        <w:lang w:val="zh-CN" w:eastAsia="zh-CN" w:bidi="zh-CN"/>
      </w:rPr>
    </w:lvl>
    <w:lvl w:ilvl="6" w:tentative="0">
      <w:start w:val="0"/>
      <w:numFmt w:val="bullet"/>
      <w:lvlText w:val="•"/>
      <w:lvlJc w:val="left"/>
      <w:pPr>
        <w:ind w:left="6358" w:hanging="248"/>
      </w:pPr>
      <w:rPr>
        <w:rFonts w:hint="default"/>
        <w:lang w:val="zh-CN" w:eastAsia="zh-CN" w:bidi="zh-CN"/>
      </w:rPr>
    </w:lvl>
    <w:lvl w:ilvl="7" w:tentative="0">
      <w:start w:val="0"/>
      <w:numFmt w:val="bullet"/>
      <w:lvlText w:val="•"/>
      <w:lvlJc w:val="left"/>
      <w:pPr>
        <w:ind w:left="7351" w:hanging="248"/>
      </w:pPr>
      <w:rPr>
        <w:rFonts w:hint="default"/>
        <w:lang w:val="zh-CN" w:eastAsia="zh-CN" w:bidi="zh-CN"/>
      </w:rPr>
    </w:lvl>
    <w:lvl w:ilvl="8" w:tentative="0">
      <w:start w:val="0"/>
      <w:numFmt w:val="bullet"/>
      <w:lvlText w:val="•"/>
      <w:lvlJc w:val="left"/>
      <w:pPr>
        <w:ind w:left="8344" w:hanging="248"/>
      </w:pPr>
      <w:rPr>
        <w:rFonts w:hint="default"/>
        <w:lang w:val="zh-CN" w:eastAsia="zh-CN" w:bidi="zh-CN"/>
      </w:rPr>
    </w:lvl>
  </w:abstractNum>
  <w:num w:numId="1">
    <w:abstractNumId w:val="14"/>
  </w:num>
  <w:num w:numId="2">
    <w:abstractNumId w:val="4"/>
  </w:num>
  <w:num w:numId="3">
    <w:abstractNumId w:val="2"/>
  </w:num>
  <w:num w:numId="4">
    <w:abstractNumId w:val="7"/>
  </w:num>
  <w:num w:numId="5">
    <w:abstractNumId w:val="1"/>
  </w:num>
  <w:num w:numId="6">
    <w:abstractNumId w:val="12"/>
  </w:num>
  <w:num w:numId="7">
    <w:abstractNumId w:val="5"/>
  </w:num>
  <w:num w:numId="8">
    <w:abstractNumId w:val="11"/>
  </w:num>
  <w:num w:numId="9">
    <w:abstractNumId w:val="15"/>
  </w:num>
  <w:num w:numId="10">
    <w:abstractNumId w:val="3"/>
  </w:num>
  <w:num w:numId="11">
    <w:abstractNumId w:val="13"/>
  </w:num>
  <w:num w:numId="12">
    <w:abstractNumId w:val="8"/>
  </w:num>
  <w:num w:numId="13">
    <w:abstractNumId w:val="0"/>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5MjcxOGM0MjNkYjVkZTc2YjFlZmVmZTRmOTgzY2EifQ=="/>
  </w:docVars>
  <w:rsids>
    <w:rsidRoot w:val="00D8606F"/>
    <w:rsid w:val="00080E3A"/>
    <w:rsid w:val="001249CF"/>
    <w:rsid w:val="001642B5"/>
    <w:rsid w:val="00247456"/>
    <w:rsid w:val="00291E02"/>
    <w:rsid w:val="002A1277"/>
    <w:rsid w:val="002A7512"/>
    <w:rsid w:val="0039480F"/>
    <w:rsid w:val="00450833"/>
    <w:rsid w:val="00504C4D"/>
    <w:rsid w:val="005A1221"/>
    <w:rsid w:val="005A1F80"/>
    <w:rsid w:val="005D3359"/>
    <w:rsid w:val="00615F72"/>
    <w:rsid w:val="006E5C41"/>
    <w:rsid w:val="007E254B"/>
    <w:rsid w:val="0084438F"/>
    <w:rsid w:val="00862415"/>
    <w:rsid w:val="00863F9F"/>
    <w:rsid w:val="008945D7"/>
    <w:rsid w:val="008E3C83"/>
    <w:rsid w:val="008E4B08"/>
    <w:rsid w:val="0094146B"/>
    <w:rsid w:val="00A03065"/>
    <w:rsid w:val="00A61366"/>
    <w:rsid w:val="00A75D67"/>
    <w:rsid w:val="00A82545"/>
    <w:rsid w:val="00B14F42"/>
    <w:rsid w:val="00B71F65"/>
    <w:rsid w:val="00B75619"/>
    <w:rsid w:val="00BC0134"/>
    <w:rsid w:val="00CC3EDF"/>
    <w:rsid w:val="00CE6C7D"/>
    <w:rsid w:val="00D32DA4"/>
    <w:rsid w:val="00D8606F"/>
    <w:rsid w:val="00D92BB0"/>
    <w:rsid w:val="00E02FDB"/>
    <w:rsid w:val="00E60927"/>
    <w:rsid w:val="00E678B7"/>
    <w:rsid w:val="010262FE"/>
    <w:rsid w:val="01036A60"/>
    <w:rsid w:val="01213882"/>
    <w:rsid w:val="012B7997"/>
    <w:rsid w:val="014933AC"/>
    <w:rsid w:val="01537391"/>
    <w:rsid w:val="019B2A1B"/>
    <w:rsid w:val="01A45217"/>
    <w:rsid w:val="01B875EE"/>
    <w:rsid w:val="01E546AB"/>
    <w:rsid w:val="01E76672"/>
    <w:rsid w:val="01F958AC"/>
    <w:rsid w:val="01FE070B"/>
    <w:rsid w:val="01FE40D9"/>
    <w:rsid w:val="02180E1D"/>
    <w:rsid w:val="02290C40"/>
    <w:rsid w:val="023E272A"/>
    <w:rsid w:val="023F44DD"/>
    <w:rsid w:val="02562343"/>
    <w:rsid w:val="02607B73"/>
    <w:rsid w:val="02642148"/>
    <w:rsid w:val="02675271"/>
    <w:rsid w:val="02686331"/>
    <w:rsid w:val="02796686"/>
    <w:rsid w:val="02833396"/>
    <w:rsid w:val="028B5907"/>
    <w:rsid w:val="029A2CC2"/>
    <w:rsid w:val="02AE5E3E"/>
    <w:rsid w:val="02C256BE"/>
    <w:rsid w:val="02E54470"/>
    <w:rsid w:val="030510BC"/>
    <w:rsid w:val="031554B8"/>
    <w:rsid w:val="031B4A5B"/>
    <w:rsid w:val="032E5577"/>
    <w:rsid w:val="033D5F6B"/>
    <w:rsid w:val="034E3DB1"/>
    <w:rsid w:val="036E10B9"/>
    <w:rsid w:val="03AE1BF0"/>
    <w:rsid w:val="03C1206E"/>
    <w:rsid w:val="03EF6775"/>
    <w:rsid w:val="04042A73"/>
    <w:rsid w:val="040621E6"/>
    <w:rsid w:val="04255769"/>
    <w:rsid w:val="04297177"/>
    <w:rsid w:val="043045A0"/>
    <w:rsid w:val="04460408"/>
    <w:rsid w:val="044A6EF2"/>
    <w:rsid w:val="044B59B6"/>
    <w:rsid w:val="049D19C2"/>
    <w:rsid w:val="04A00854"/>
    <w:rsid w:val="04DA0402"/>
    <w:rsid w:val="05140DF8"/>
    <w:rsid w:val="051E0804"/>
    <w:rsid w:val="052661F3"/>
    <w:rsid w:val="052C48D4"/>
    <w:rsid w:val="055E0B79"/>
    <w:rsid w:val="05953BF3"/>
    <w:rsid w:val="05A1080E"/>
    <w:rsid w:val="05B806BE"/>
    <w:rsid w:val="05D02223"/>
    <w:rsid w:val="05D03C38"/>
    <w:rsid w:val="05E4753D"/>
    <w:rsid w:val="06037E7B"/>
    <w:rsid w:val="064B3BE7"/>
    <w:rsid w:val="064F07E7"/>
    <w:rsid w:val="06737F89"/>
    <w:rsid w:val="068858C6"/>
    <w:rsid w:val="06B30594"/>
    <w:rsid w:val="06B43AE4"/>
    <w:rsid w:val="06C61409"/>
    <w:rsid w:val="06CD39A7"/>
    <w:rsid w:val="06E30B22"/>
    <w:rsid w:val="06ED2DD4"/>
    <w:rsid w:val="06F348D6"/>
    <w:rsid w:val="06F9149B"/>
    <w:rsid w:val="07015072"/>
    <w:rsid w:val="07072B79"/>
    <w:rsid w:val="070D0DFE"/>
    <w:rsid w:val="07115BE4"/>
    <w:rsid w:val="07192F99"/>
    <w:rsid w:val="07403426"/>
    <w:rsid w:val="075439EA"/>
    <w:rsid w:val="076B2344"/>
    <w:rsid w:val="076B2724"/>
    <w:rsid w:val="0784760B"/>
    <w:rsid w:val="079C4D0B"/>
    <w:rsid w:val="07A3050C"/>
    <w:rsid w:val="07BB53C7"/>
    <w:rsid w:val="07BD2498"/>
    <w:rsid w:val="07CF5DE6"/>
    <w:rsid w:val="0834296A"/>
    <w:rsid w:val="084119AC"/>
    <w:rsid w:val="086F42C8"/>
    <w:rsid w:val="087370B9"/>
    <w:rsid w:val="087A2682"/>
    <w:rsid w:val="08BA3B7C"/>
    <w:rsid w:val="08C43C56"/>
    <w:rsid w:val="08EF2865"/>
    <w:rsid w:val="092B5094"/>
    <w:rsid w:val="092D09AA"/>
    <w:rsid w:val="092E38C6"/>
    <w:rsid w:val="09965546"/>
    <w:rsid w:val="099731AC"/>
    <w:rsid w:val="09C13046"/>
    <w:rsid w:val="09C96731"/>
    <w:rsid w:val="09E22DE1"/>
    <w:rsid w:val="0A227AFF"/>
    <w:rsid w:val="0A4765E7"/>
    <w:rsid w:val="0A6B20C4"/>
    <w:rsid w:val="0A6E34E3"/>
    <w:rsid w:val="0A8E427B"/>
    <w:rsid w:val="0A904C06"/>
    <w:rsid w:val="0A9365D7"/>
    <w:rsid w:val="0AC05B38"/>
    <w:rsid w:val="0B02342D"/>
    <w:rsid w:val="0B0579A0"/>
    <w:rsid w:val="0B105FAB"/>
    <w:rsid w:val="0B260BF8"/>
    <w:rsid w:val="0B280996"/>
    <w:rsid w:val="0B313A3E"/>
    <w:rsid w:val="0B3E4A1D"/>
    <w:rsid w:val="0B49554C"/>
    <w:rsid w:val="0B5900A8"/>
    <w:rsid w:val="0B640365"/>
    <w:rsid w:val="0B67196F"/>
    <w:rsid w:val="0B676584"/>
    <w:rsid w:val="0B703C3A"/>
    <w:rsid w:val="0B784A09"/>
    <w:rsid w:val="0B8565FB"/>
    <w:rsid w:val="0B9C5FCA"/>
    <w:rsid w:val="0BA62F2D"/>
    <w:rsid w:val="0BAD2DF0"/>
    <w:rsid w:val="0BC11DEE"/>
    <w:rsid w:val="0BFE11C4"/>
    <w:rsid w:val="0C192AA5"/>
    <w:rsid w:val="0C19691C"/>
    <w:rsid w:val="0C2E7CEF"/>
    <w:rsid w:val="0C4E6EF6"/>
    <w:rsid w:val="0C5C2A23"/>
    <w:rsid w:val="0C6A522B"/>
    <w:rsid w:val="0C74765B"/>
    <w:rsid w:val="0C80306F"/>
    <w:rsid w:val="0C8B7A8C"/>
    <w:rsid w:val="0CB8068B"/>
    <w:rsid w:val="0CC23281"/>
    <w:rsid w:val="0CCB64E7"/>
    <w:rsid w:val="0CD446CD"/>
    <w:rsid w:val="0CD854DB"/>
    <w:rsid w:val="0CEA5946"/>
    <w:rsid w:val="0CED419B"/>
    <w:rsid w:val="0CFD12A2"/>
    <w:rsid w:val="0D26445E"/>
    <w:rsid w:val="0D2B3576"/>
    <w:rsid w:val="0D2C233A"/>
    <w:rsid w:val="0D3B44BD"/>
    <w:rsid w:val="0D5E14C4"/>
    <w:rsid w:val="0D762025"/>
    <w:rsid w:val="0DB7425C"/>
    <w:rsid w:val="0DC9449E"/>
    <w:rsid w:val="0DE134BA"/>
    <w:rsid w:val="0DEA5E94"/>
    <w:rsid w:val="0E0822DD"/>
    <w:rsid w:val="0E1920BB"/>
    <w:rsid w:val="0E1C6E3F"/>
    <w:rsid w:val="0E2B1639"/>
    <w:rsid w:val="0E6A15C8"/>
    <w:rsid w:val="0EBD4434"/>
    <w:rsid w:val="0EE5481C"/>
    <w:rsid w:val="0EE6298A"/>
    <w:rsid w:val="0EF61C36"/>
    <w:rsid w:val="0F0B7A01"/>
    <w:rsid w:val="0F3862D2"/>
    <w:rsid w:val="0F614164"/>
    <w:rsid w:val="0F663395"/>
    <w:rsid w:val="0F6D4E15"/>
    <w:rsid w:val="0F743BC1"/>
    <w:rsid w:val="0F766E5B"/>
    <w:rsid w:val="0F7C24C1"/>
    <w:rsid w:val="0F7C3C77"/>
    <w:rsid w:val="0F8A0CE1"/>
    <w:rsid w:val="0FA67D74"/>
    <w:rsid w:val="0FB15C9C"/>
    <w:rsid w:val="0FB25C00"/>
    <w:rsid w:val="0FC20B01"/>
    <w:rsid w:val="0FC721FD"/>
    <w:rsid w:val="0FCB3337"/>
    <w:rsid w:val="0FCC5C8B"/>
    <w:rsid w:val="0FDB5464"/>
    <w:rsid w:val="0FF63EF3"/>
    <w:rsid w:val="100C3923"/>
    <w:rsid w:val="10113D82"/>
    <w:rsid w:val="101653A1"/>
    <w:rsid w:val="1019177A"/>
    <w:rsid w:val="10334AC2"/>
    <w:rsid w:val="104B4CD2"/>
    <w:rsid w:val="10663D65"/>
    <w:rsid w:val="106C6E63"/>
    <w:rsid w:val="10790EA6"/>
    <w:rsid w:val="107E04F3"/>
    <w:rsid w:val="108E11E5"/>
    <w:rsid w:val="10AA765F"/>
    <w:rsid w:val="10BD3237"/>
    <w:rsid w:val="10D371BF"/>
    <w:rsid w:val="10D40911"/>
    <w:rsid w:val="10E022CF"/>
    <w:rsid w:val="10E57E2B"/>
    <w:rsid w:val="10E668C7"/>
    <w:rsid w:val="10EE513A"/>
    <w:rsid w:val="110B1878"/>
    <w:rsid w:val="111606E5"/>
    <w:rsid w:val="113902BD"/>
    <w:rsid w:val="113D65E6"/>
    <w:rsid w:val="11541018"/>
    <w:rsid w:val="11784860"/>
    <w:rsid w:val="11A0724B"/>
    <w:rsid w:val="11A23C81"/>
    <w:rsid w:val="11A8136C"/>
    <w:rsid w:val="11C4049E"/>
    <w:rsid w:val="11CC55B3"/>
    <w:rsid w:val="12107C79"/>
    <w:rsid w:val="121C127C"/>
    <w:rsid w:val="122B22B9"/>
    <w:rsid w:val="12381743"/>
    <w:rsid w:val="123963AF"/>
    <w:rsid w:val="123E56B6"/>
    <w:rsid w:val="12481CD5"/>
    <w:rsid w:val="12557E3E"/>
    <w:rsid w:val="12655378"/>
    <w:rsid w:val="127845F9"/>
    <w:rsid w:val="127E4AC7"/>
    <w:rsid w:val="12845A13"/>
    <w:rsid w:val="12903E74"/>
    <w:rsid w:val="1296020F"/>
    <w:rsid w:val="12AD4CE5"/>
    <w:rsid w:val="12C50511"/>
    <w:rsid w:val="12E02AF9"/>
    <w:rsid w:val="12FB7BDB"/>
    <w:rsid w:val="13167B41"/>
    <w:rsid w:val="135D3020"/>
    <w:rsid w:val="13744B04"/>
    <w:rsid w:val="137A685D"/>
    <w:rsid w:val="138A2BE7"/>
    <w:rsid w:val="13A6469C"/>
    <w:rsid w:val="13AA0806"/>
    <w:rsid w:val="13AD5815"/>
    <w:rsid w:val="13B81D9A"/>
    <w:rsid w:val="13B821B2"/>
    <w:rsid w:val="13CD6EEE"/>
    <w:rsid w:val="13DC4DE4"/>
    <w:rsid w:val="13E16B2F"/>
    <w:rsid w:val="13EE075B"/>
    <w:rsid w:val="13FD7481"/>
    <w:rsid w:val="14072DAB"/>
    <w:rsid w:val="141273C8"/>
    <w:rsid w:val="143771ED"/>
    <w:rsid w:val="143C6C5E"/>
    <w:rsid w:val="1443048E"/>
    <w:rsid w:val="1447764D"/>
    <w:rsid w:val="14484292"/>
    <w:rsid w:val="145465A2"/>
    <w:rsid w:val="145D561F"/>
    <w:rsid w:val="1468758D"/>
    <w:rsid w:val="147A0378"/>
    <w:rsid w:val="149B02E3"/>
    <w:rsid w:val="14C47E58"/>
    <w:rsid w:val="14D6201B"/>
    <w:rsid w:val="14E42431"/>
    <w:rsid w:val="14EE202C"/>
    <w:rsid w:val="1506328D"/>
    <w:rsid w:val="15504185"/>
    <w:rsid w:val="1555040B"/>
    <w:rsid w:val="155C075C"/>
    <w:rsid w:val="15754886"/>
    <w:rsid w:val="157673B6"/>
    <w:rsid w:val="157B1288"/>
    <w:rsid w:val="1581457D"/>
    <w:rsid w:val="158A5C6B"/>
    <w:rsid w:val="15A71719"/>
    <w:rsid w:val="15BB455F"/>
    <w:rsid w:val="15C26324"/>
    <w:rsid w:val="15DB004C"/>
    <w:rsid w:val="15E947CC"/>
    <w:rsid w:val="15EF4270"/>
    <w:rsid w:val="161E7F7C"/>
    <w:rsid w:val="162411E2"/>
    <w:rsid w:val="165A4972"/>
    <w:rsid w:val="165F6A88"/>
    <w:rsid w:val="169664E5"/>
    <w:rsid w:val="16BD4349"/>
    <w:rsid w:val="16D44506"/>
    <w:rsid w:val="16D755B5"/>
    <w:rsid w:val="170376C9"/>
    <w:rsid w:val="1709731B"/>
    <w:rsid w:val="17393553"/>
    <w:rsid w:val="175909B6"/>
    <w:rsid w:val="176A57D5"/>
    <w:rsid w:val="1789364A"/>
    <w:rsid w:val="179A3982"/>
    <w:rsid w:val="17B87E87"/>
    <w:rsid w:val="17B944FE"/>
    <w:rsid w:val="17C60C28"/>
    <w:rsid w:val="17D11764"/>
    <w:rsid w:val="17E254D3"/>
    <w:rsid w:val="17F467EF"/>
    <w:rsid w:val="18006E19"/>
    <w:rsid w:val="18026786"/>
    <w:rsid w:val="182D77D4"/>
    <w:rsid w:val="183121A5"/>
    <w:rsid w:val="18427CA5"/>
    <w:rsid w:val="184A775D"/>
    <w:rsid w:val="18504D21"/>
    <w:rsid w:val="188D73D3"/>
    <w:rsid w:val="18A91152"/>
    <w:rsid w:val="18AB4A1D"/>
    <w:rsid w:val="18E95CDF"/>
    <w:rsid w:val="18FD7B91"/>
    <w:rsid w:val="191479B4"/>
    <w:rsid w:val="1923345B"/>
    <w:rsid w:val="19340AFA"/>
    <w:rsid w:val="193A37C2"/>
    <w:rsid w:val="194E4512"/>
    <w:rsid w:val="194E48E7"/>
    <w:rsid w:val="19702CEE"/>
    <w:rsid w:val="199D3C33"/>
    <w:rsid w:val="19AD36F6"/>
    <w:rsid w:val="19C0318B"/>
    <w:rsid w:val="19C22B1E"/>
    <w:rsid w:val="19EA571C"/>
    <w:rsid w:val="19F939BD"/>
    <w:rsid w:val="1A125F38"/>
    <w:rsid w:val="1A1E6753"/>
    <w:rsid w:val="1A587B4F"/>
    <w:rsid w:val="1A6C3DEF"/>
    <w:rsid w:val="1A84784A"/>
    <w:rsid w:val="1AED07A2"/>
    <w:rsid w:val="1AEF5419"/>
    <w:rsid w:val="1AF6680B"/>
    <w:rsid w:val="1B0137F3"/>
    <w:rsid w:val="1B1912EF"/>
    <w:rsid w:val="1B233913"/>
    <w:rsid w:val="1B395003"/>
    <w:rsid w:val="1B4B4B89"/>
    <w:rsid w:val="1B6A3A29"/>
    <w:rsid w:val="1B736F12"/>
    <w:rsid w:val="1B7C04CD"/>
    <w:rsid w:val="1C074D82"/>
    <w:rsid w:val="1C3C3F6E"/>
    <w:rsid w:val="1C5C1DE2"/>
    <w:rsid w:val="1C6C1045"/>
    <w:rsid w:val="1C716E10"/>
    <w:rsid w:val="1C8736BB"/>
    <w:rsid w:val="1C967251"/>
    <w:rsid w:val="1C971477"/>
    <w:rsid w:val="1CB62F08"/>
    <w:rsid w:val="1CBB3C3D"/>
    <w:rsid w:val="1CEF0660"/>
    <w:rsid w:val="1CF05417"/>
    <w:rsid w:val="1D0261D5"/>
    <w:rsid w:val="1D2A38AF"/>
    <w:rsid w:val="1D4247E2"/>
    <w:rsid w:val="1D442BF1"/>
    <w:rsid w:val="1D475530"/>
    <w:rsid w:val="1D517D43"/>
    <w:rsid w:val="1D8F0099"/>
    <w:rsid w:val="1DA8216F"/>
    <w:rsid w:val="1DBA6ADE"/>
    <w:rsid w:val="1DCC2D3D"/>
    <w:rsid w:val="1DD54182"/>
    <w:rsid w:val="1DF33F45"/>
    <w:rsid w:val="1E005D7E"/>
    <w:rsid w:val="1E112898"/>
    <w:rsid w:val="1E2A2600"/>
    <w:rsid w:val="1E3438C8"/>
    <w:rsid w:val="1E534E53"/>
    <w:rsid w:val="1EAB30F5"/>
    <w:rsid w:val="1ED0107D"/>
    <w:rsid w:val="1ED2697E"/>
    <w:rsid w:val="1ED304E7"/>
    <w:rsid w:val="1F1726CC"/>
    <w:rsid w:val="1F1A100A"/>
    <w:rsid w:val="1F2416BA"/>
    <w:rsid w:val="1F323137"/>
    <w:rsid w:val="1F357ECC"/>
    <w:rsid w:val="1F4B275C"/>
    <w:rsid w:val="1F515956"/>
    <w:rsid w:val="1F7F1B15"/>
    <w:rsid w:val="1F817EB6"/>
    <w:rsid w:val="1F840737"/>
    <w:rsid w:val="1F960E52"/>
    <w:rsid w:val="1F9D2DA2"/>
    <w:rsid w:val="1FAB0A8F"/>
    <w:rsid w:val="1FC20737"/>
    <w:rsid w:val="1FCA1365"/>
    <w:rsid w:val="1FF079AA"/>
    <w:rsid w:val="1FF228F8"/>
    <w:rsid w:val="201B040B"/>
    <w:rsid w:val="20493E0F"/>
    <w:rsid w:val="20521FB4"/>
    <w:rsid w:val="206072A0"/>
    <w:rsid w:val="2065403E"/>
    <w:rsid w:val="207618A9"/>
    <w:rsid w:val="208857F2"/>
    <w:rsid w:val="20A90EF0"/>
    <w:rsid w:val="20C83A89"/>
    <w:rsid w:val="20DD4532"/>
    <w:rsid w:val="20DE3256"/>
    <w:rsid w:val="214E5E35"/>
    <w:rsid w:val="215B0438"/>
    <w:rsid w:val="21824A7A"/>
    <w:rsid w:val="219F6EF2"/>
    <w:rsid w:val="21A80DE0"/>
    <w:rsid w:val="21AF0CDF"/>
    <w:rsid w:val="21D86A09"/>
    <w:rsid w:val="220151C3"/>
    <w:rsid w:val="221F42F3"/>
    <w:rsid w:val="222D74EF"/>
    <w:rsid w:val="224A0ACC"/>
    <w:rsid w:val="22536F9A"/>
    <w:rsid w:val="22742953"/>
    <w:rsid w:val="228253EF"/>
    <w:rsid w:val="229770BB"/>
    <w:rsid w:val="229F7646"/>
    <w:rsid w:val="22AA4B16"/>
    <w:rsid w:val="22B15AA4"/>
    <w:rsid w:val="22B81F31"/>
    <w:rsid w:val="22CC64E9"/>
    <w:rsid w:val="22EA1A1C"/>
    <w:rsid w:val="230E3ED2"/>
    <w:rsid w:val="23314944"/>
    <w:rsid w:val="23327A04"/>
    <w:rsid w:val="234119B1"/>
    <w:rsid w:val="235050F9"/>
    <w:rsid w:val="235600B3"/>
    <w:rsid w:val="23625541"/>
    <w:rsid w:val="236D5F7D"/>
    <w:rsid w:val="236E4125"/>
    <w:rsid w:val="23702C68"/>
    <w:rsid w:val="239A277D"/>
    <w:rsid w:val="23A85B07"/>
    <w:rsid w:val="23D07FF7"/>
    <w:rsid w:val="24141E89"/>
    <w:rsid w:val="242E5048"/>
    <w:rsid w:val="244914A5"/>
    <w:rsid w:val="245F1191"/>
    <w:rsid w:val="246A588A"/>
    <w:rsid w:val="24755CB1"/>
    <w:rsid w:val="24805371"/>
    <w:rsid w:val="249331E9"/>
    <w:rsid w:val="24A07D62"/>
    <w:rsid w:val="24BB67FA"/>
    <w:rsid w:val="24D275AF"/>
    <w:rsid w:val="24F42ED8"/>
    <w:rsid w:val="250805AA"/>
    <w:rsid w:val="25170F48"/>
    <w:rsid w:val="253F17C2"/>
    <w:rsid w:val="2546059D"/>
    <w:rsid w:val="255721F6"/>
    <w:rsid w:val="25720492"/>
    <w:rsid w:val="2576009A"/>
    <w:rsid w:val="257B4E43"/>
    <w:rsid w:val="2584056D"/>
    <w:rsid w:val="25DC2CBA"/>
    <w:rsid w:val="26040EF9"/>
    <w:rsid w:val="261C35C8"/>
    <w:rsid w:val="262C2D08"/>
    <w:rsid w:val="263F1F03"/>
    <w:rsid w:val="264563B8"/>
    <w:rsid w:val="2649341D"/>
    <w:rsid w:val="26542D77"/>
    <w:rsid w:val="265C2D5E"/>
    <w:rsid w:val="265E64B0"/>
    <w:rsid w:val="26760900"/>
    <w:rsid w:val="26765D29"/>
    <w:rsid w:val="267804BA"/>
    <w:rsid w:val="26795CD3"/>
    <w:rsid w:val="268510E3"/>
    <w:rsid w:val="26884524"/>
    <w:rsid w:val="26BC3EAC"/>
    <w:rsid w:val="26C25A21"/>
    <w:rsid w:val="26D97175"/>
    <w:rsid w:val="26EF4969"/>
    <w:rsid w:val="26F87794"/>
    <w:rsid w:val="271143B3"/>
    <w:rsid w:val="27333DBC"/>
    <w:rsid w:val="274935B9"/>
    <w:rsid w:val="27907B39"/>
    <w:rsid w:val="27917E3A"/>
    <w:rsid w:val="27964899"/>
    <w:rsid w:val="27AA69FB"/>
    <w:rsid w:val="27B3724C"/>
    <w:rsid w:val="27B41F56"/>
    <w:rsid w:val="27C73A4D"/>
    <w:rsid w:val="27D9358F"/>
    <w:rsid w:val="280C635A"/>
    <w:rsid w:val="281C3324"/>
    <w:rsid w:val="283824E5"/>
    <w:rsid w:val="28451295"/>
    <w:rsid w:val="28513D04"/>
    <w:rsid w:val="285B120F"/>
    <w:rsid w:val="28907C5A"/>
    <w:rsid w:val="28B64639"/>
    <w:rsid w:val="28F0412C"/>
    <w:rsid w:val="28F46774"/>
    <w:rsid w:val="28F84B94"/>
    <w:rsid w:val="28FE23DE"/>
    <w:rsid w:val="290B54AD"/>
    <w:rsid w:val="29106259"/>
    <w:rsid w:val="292A49D4"/>
    <w:rsid w:val="29583FCE"/>
    <w:rsid w:val="29915FF5"/>
    <w:rsid w:val="299D3189"/>
    <w:rsid w:val="299E43AB"/>
    <w:rsid w:val="29A530A7"/>
    <w:rsid w:val="29AE0266"/>
    <w:rsid w:val="29C5527B"/>
    <w:rsid w:val="29CE63E6"/>
    <w:rsid w:val="29DE0BF3"/>
    <w:rsid w:val="2A016ED3"/>
    <w:rsid w:val="2A081B4B"/>
    <w:rsid w:val="2A2B4893"/>
    <w:rsid w:val="2A3F1978"/>
    <w:rsid w:val="2A4F20D8"/>
    <w:rsid w:val="2A841985"/>
    <w:rsid w:val="2A86016B"/>
    <w:rsid w:val="2A890FB7"/>
    <w:rsid w:val="2A8C38B5"/>
    <w:rsid w:val="2AAD4A68"/>
    <w:rsid w:val="2AB249B5"/>
    <w:rsid w:val="2ABB672E"/>
    <w:rsid w:val="2ABC36EB"/>
    <w:rsid w:val="2AD0016E"/>
    <w:rsid w:val="2AF13AEF"/>
    <w:rsid w:val="2AF35BCC"/>
    <w:rsid w:val="2AF70BFF"/>
    <w:rsid w:val="2B046714"/>
    <w:rsid w:val="2B08674F"/>
    <w:rsid w:val="2B123535"/>
    <w:rsid w:val="2B1A715E"/>
    <w:rsid w:val="2B2E6F03"/>
    <w:rsid w:val="2B56648D"/>
    <w:rsid w:val="2B607583"/>
    <w:rsid w:val="2B6B6785"/>
    <w:rsid w:val="2B810A6F"/>
    <w:rsid w:val="2B8E0085"/>
    <w:rsid w:val="2BFC651C"/>
    <w:rsid w:val="2BFE02AA"/>
    <w:rsid w:val="2C440069"/>
    <w:rsid w:val="2C594BD8"/>
    <w:rsid w:val="2C6C0805"/>
    <w:rsid w:val="2C70553A"/>
    <w:rsid w:val="2C7829C4"/>
    <w:rsid w:val="2C875551"/>
    <w:rsid w:val="2C8C137C"/>
    <w:rsid w:val="2CA5253B"/>
    <w:rsid w:val="2CAA43EA"/>
    <w:rsid w:val="2CBC077F"/>
    <w:rsid w:val="2CD75A37"/>
    <w:rsid w:val="2CDA042F"/>
    <w:rsid w:val="2CF1575C"/>
    <w:rsid w:val="2CF822FA"/>
    <w:rsid w:val="2CFD11EE"/>
    <w:rsid w:val="2D020B28"/>
    <w:rsid w:val="2D091C46"/>
    <w:rsid w:val="2D0C3299"/>
    <w:rsid w:val="2D0F6489"/>
    <w:rsid w:val="2D215E65"/>
    <w:rsid w:val="2D2C521A"/>
    <w:rsid w:val="2D302908"/>
    <w:rsid w:val="2D3A285E"/>
    <w:rsid w:val="2D682341"/>
    <w:rsid w:val="2D6A25AE"/>
    <w:rsid w:val="2D70211F"/>
    <w:rsid w:val="2D870D8D"/>
    <w:rsid w:val="2D8B7FB3"/>
    <w:rsid w:val="2D9B47F4"/>
    <w:rsid w:val="2D9B5FC7"/>
    <w:rsid w:val="2DA55B1F"/>
    <w:rsid w:val="2DA56A03"/>
    <w:rsid w:val="2DBE77C0"/>
    <w:rsid w:val="2DC62B92"/>
    <w:rsid w:val="2DD45655"/>
    <w:rsid w:val="2E066438"/>
    <w:rsid w:val="2E0A6115"/>
    <w:rsid w:val="2E114AFB"/>
    <w:rsid w:val="2E1D59A2"/>
    <w:rsid w:val="2E606397"/>
    <w:rsid w:val="2E7819FE"/>
    <w:rsid w:val="2E867B8A"/>
    <w:rsid w:val="2E9B09A6"/>
    <w:rsid w:val="2ECD54C5"/>
    <w:rsid w:val="2EEC24BE"/>
    <w:rsid w:val="2F00429F"/>
    <w:rsid w:val="2F0A021C"/>
    <w:rsid w:val="2F3131D5"/>
    <w:rsid w:val="2F4D0073"/>
    <w:rsid w:val="2F664160"/>
    <w:rsid w:val="2F702C62"/>
    <w:rsid w:val="2F733B7D"/>
    <w:rsid w:val="2F7E67AC"/>
    <w:rsid w:val="2F9712CF"/>
    <w:rsid w:val="2FB25577"/>
    <w:rsid w:val="2FCF3E86"/>
    <w:rsid w:val="2FCF5789"/>
    <w:rsid w:val="2FE20BAE"/>
    <w:rsid w:val="30354AD0"/>
    <w:rsid w:val="30415382"/>
    <w:rsid w:val="305F425B"/>
    <w:rsid w:val="3072780F"/>
    <w:rsid w:val="3099169F"/>
    <w:rsid w:val="30C3405E"/>
    <w:rsid w:val="30D255DB"/>
    <w:rsid w:val="30DC5AF4"/>
    <w:rsid w:val="30F9732B"/>
    <w:rsid w:val="310267D6"/>
    <w:rsid w:val="310B3A83"/>
    <w:rsid w:val="31157482"/>
    <w:rsid w:val="311E0ED4"/>
    <w:rsid w:val="311F7310"/>
    <w:rsid w:val="3125614F"/>
    <w:rsid w:val="31640A0C"/>
    <w:rsid w:val="31642E73"/>
    <w:rsid w:val="318B0523"/>
    <w:rsid w:val="31D5238D"/>
    <w:rsid w:val="31F5049C"/>
    <w:rsid w:val="32141E7D"/>
    <w:rsid w:val="3227230E"/>
    <w:rsid w:val="32273387"/>
    <w:rsid w:val="323E5DD3"/>
    <w:rsid w:val="324054DE"/>
    <w:rsid w:val="32646AB6"/>
    <w:rsid w:val="32CF7C06"/>
    <w:rsid w:val="32E1189C"/>
    <w:rsid w:val="32FE0B61"/>
    <w:rsid w:val="330F49BB"/>
    <w:rsid w:val="33166CEA"/>
    <w:rsid w:val="331E649D"/>
    <w:rsid w:val="33286CC9"/>
    <w:rsid w:val="332F0E77"/>
    <w:rsid w:val="333604E4"/>
    <w:rsid w:val="33670E2E"/>
    <w:rsid w:val="337133C4"/>
    <w:rsid w:val="33A8172E"/>
    <w:rsid w:val="33A92083"/>
    <w:rsid w:val="33E239D4"/>
    <w:rsid w:val="33F76C5F"/>
    <w:rsid w:val="33FF08CE"/>
    <w:rsid w:val="34002F13"/>
    <w:rsid w:val="344A041F"/>
    <w:rsid w:val="344C2774"/>
    <w:rsid w:val="34662271"/>
    <w:rsid w:val="34783B19"/>
    <w:rsid w:val="347B54B7"/>
    <w:rsid w:val="34920069"/>
    <w:rsid w:val="34AF781A"/>
    <w:rsid w:val="34B40C40"/>
    <w:rsid w:val="34C76E16"/>
    <w:rsid w:val="34DE1657"/>
    <w:rsid w:val="34E847F4"/>
    <w:rsid w:val="34FA6CF1"/>
    <w:rsid w:val="352A2970"/>
    <w:rsid w:val="354E39D0"/>
    <w:rsid w:val="35550ABD"/>
    <w:rsid w:val="356B1A0B"/>
    <w:rsid w:val="357006B5"/>
    <w:rsid w:val="35811573"/>
    <w:rsid w:val="35830DDF"/>
    <w:rsid w:val="359F56B7"/>
    <w:rsid w:val="35C04E6E"/>
    <w:rsid w:val="35D63598"/>
    <w:rsid w:val="35F23B98"/>
    <w:rsid w:val="360A754A"/>
    <w:rsid w:val="36250238"/>
    <w:rsid w:val="36287D10"/>
    <w:rsid w:val="363A773E"/>
    <w:rsid w:val="364A4C50"/>
    <w:rsid w:val="364F201A"/>
    <w:rsid w:val="36563D8F"/>
    <w:rsid w:val="3657785B"/>
    <w:rsid w:val="36674219"/>
    <w:rsid w:val="369779B3"/>
    <w:rsid w:val="36AB3CE1"/>
    <w:rsid w:val="36B3398C"/>
    <w:rsid w:val="36E70F76"/>
    <w:rsid w:val="36F96B40"/>
    <w:rsid w:val="370C3980"/>
    <w:rsid w:val="37225DAF"/>
    <w:rsid w:val="372F13BC"/>
    <w:rsid w:val="37D018E1"/>
    <w:rsid w:val="38014F4F"/>
    <w:rsid w:val="381608BA"/>
    <w:rsid w:val="382F77CF"/>
    <w:rsid w:val="38356C40"/>
    <w:rsid w:val="383F520B"/>
    <w:rsid w:val="385B02A7"/>
    <w:rsid w:val="38854AF8"/>
    <w:rsid w:val="38A97FE5"/>
    <w:rsid w:val="38BD2EB9"/>
    <w:rsid w:val="38C50A8E"/>
    <w:rsid w:val="38C72415"/>
    <w:rsid w:val="38C845E5"/>
    <w:rsid w:val="38DC06AC"/>
    <w:rsid w:val="38ED2221"/>
    <w:rsid w:val="38F86418"/>
    <w:rsid w:val="39120E56"/>
    <w:rsid w:val="395E1F1F"/>
    <w:rsid w:val="395E3FD3"/>
    <w:rsid w:val="396A60E2"/>
    <w:rsid w:val="397B72CC"/>
    <w:rsid w:val="397E3DFA"/>
    <w:rsid w:val="3980506C"/>
    <w:rsid w:val="39B16CAC"/>
    <w:rsid w:val="39D36C52"/>
    <w:rsid w:val="39E702ED"/>
    <w:rsid w:val="3A0177D1"/>
    <w:rsid w:val="3A041740"/>
    <w:rsid w:val="3A066085"/>
    <w:rsid w:val="3A3F3ED2"/>
    <w:rsid w:val="3A595320"/>
    <w:rsid w:val="3A6164B3"/>
    <w:rsid w:val="3A6C108A"/>
    <w:rsid w:val="3A866069"/>
    <w:rsid w:val="3A9D0370"/>
    <w:rsid w:val="3AEE752E"/>
    <w:rsid w:val="3B050444"/>
    <w:rsid w:val="3B1B5852"/>
    <w:rsid w:val="3B28600C"/>
    <w:rsid w:val="3B30642E"/>
    <w:rsid w:val="3B4E35E4"/>
    <w:rsid w:val="3B5145A7"/>
    <w:rsid w:val="3B591A02"/>
    <w:rsid w:val="3B811FA7"/>
    <w:rsid w:val="3B9603ED"/>
    <w:rsid w:val="3B9704BD"/>
    <w:rsid w:val="3BA3217B"/>
    <w:rsid w:val="3BA83FB7"/>
    <w:rsid w:val="3BB0752E"/>
    <w:rsid w:val="3BB9701D"/>
    <w:rsid w:val="3BE41B17"/>
    <w:rsid w:val="3C0E0A5D"/>
    <w:rsid w:val="3C132DF8"/>
    <w:rsid w:val="3C507ABE"/>
    <w:rsid w:val="3C790060"/>
    <w:rsid w:val="3C800260"/>
    <w:rsid w:val="3CA27A6A"/>
    <w:rsid w:val="3CE470EC"/>
    <w:rsid w:val="3CEB5991"/>
    <w:rsid w:val="3CEE7F99"/>
    <w:rsid w:val="3D136716"/>
    <w:rsid w:val="3D361E88"/>
    <w:rsid w:val="3D520974"/>
    <w:rsid w:val="3D8473D4"/>
    <w:rsid w:val="3DA0053B"/>
    <w:rsid w:val="3DA16D00"/>
    <w:rsid w:val="3DAC0B12"/>
    <w:rsid w:val="3DC26718"/>
    <w:rsid w:val="3DD241EC"/>
    <w:rsid w:val="3DD5130D"/>
    <w:rsid w:val="3DDC5109"/>
    <w:rsid w:val="3DFD3C4B"/>
    <w:rsid w:val="3E134A1A"/>
    <w:rsid w:val="3E1E2BE8"/>
    <w:rsid w:val="3E224AC0"/>
    <w:rsid w:val="3E6B01C5"/>
    <w:rsid w:val="3EBF63BA"/>
    <w:rsid w:val="3ECE40DC"/>
    <w:rsid w:val="3F510485"/>
    <w:rsid w:val="3F637895"/>
    <w:rsid w:val="3F7B03E3"/>
    <w:rsid w:val="3FB2782A"/>
    <w:rsid w:val="3FCC5569"/>
    <w:rsid w:val="3FDF5019"/>
    <w:rsid w:val="3FEF40C4"/>
    <w:rsid w:val="40104C12"/>
    <w:rsid w:val="40254AD8"/>
    <w:rsid w:val="403736E2"/>
    <w:rsid w:val="406642DD"/>
    <w:rsid w:val="406A7220"/>
    <w:rsid w:val="407A52F9"/>
    <w:rsid w:val="40C07C12"/>
    <w:rsid w:val="40C23D63"/>
    <w:rsid w:val="40CF240E"/>
    <w:rsid w:val="41063C37"/>
    <w:rsid w:val="411035B2"/>
    <w:rsid w:val="41281438"/>
    <w:rsid w:val="4149174B"/>
    <w:rsid w:val="414A4801"/>
    <w:rsid w:val="415235E2"/>
    <w:rsid w:val="415E5688"/>
    <w:rsid w:val="419453CF"/>
    <w:rsid w:val="41AA6278"/>
    <w:rsid w:val="41B66877"/>
    <w:rsid w:val="41BA664A"/>
    <w:rsid w:val="41CC03D7"/>
    <w:rsid w:val="423A4E60"/>
    <w:rsid w:val="424E1A22"/>
    <w:rsid w:val="424F538A"/>
    <w:rsid w:val="426056A9"/>
    <w:rsid w:val="427D4957"/>
    <w:rsid w:val="428030C7"/>
    <w:rsid w:val="42805482"/>
    <w:rsid w:val="42904DD6"/>
    <w:rsid w:val="429C537E"/>
    <w:rsid w:val="42B92800"/>
    <w:rsid w:val="42C41D46"/>
    <w:rsid w:val="42C64BFD"/>
    <w:rsid w:val="42CE667C"/>
    <w:rsid w:val="42D65B36"/>
    <w:rsid w:val="42D7780B"/>
    <w:rsid w:val="43131B46"/>
    <w:rsid w:val="43163E9B"/>
    <w:rsid w:val="43191D6D"/>
    <w:rsid w:val="431968E6"/>
    <w:rsid w:val="432C7B59"/>
    <w:rsid w:val="4341048A"/>
    <w:rsid w:val="43445F50"/>
    <w:rsid w:val="436075DC"/>
    <w:rsid w:val="436B5237"/>
    <w:rsid w:val="439463A1"/>
    <w:rsid w:val="43986FC6"/>
    <w:rsid w:val="439C7081"/>
    <w:rsid w:val="43AE2B77"/>
    <w:rsid w:val="43B71A9D"/>
    <w:rsid w:val="43DB6466"/>
    <w:rsid w:val="43DD1F17"/>
    <w:rsid w:val="43EB1443"/>
    <w:rsid w:val="43F966D0"/>
    <w:rsid w:val="440A6B2D"/>
    <w:rsid w:val="441C060F"/>
    <w:rsid w:val="442D0861"/>
    <w:rsid w:val="44482935"/>
    <w:rsid w:val="444C683F"/>
    <w:rsid w:val="44671DCB"/>
    <w:rsid w:val="44AA336C"/>
    <w:rsid w:val="44AD44FD"/>
    <w:rsid w:val="44D7545C"/>
    <w:rsid w:val="450914E7"/>
    <w:rsid w:val="45166531"/>
    <w:rsid w:val="45196315"/>
    <w:rsid w:val="454965AB"/>
    <w:rsid w:val="454A2FBB"/>
    <w:rsid w:val="45521261"/>
    <w:rsid w:val="455817CD"/>
    <w:rsid w:val="45785AD1"/>
    <w:rsid w:val="458620AF"/>
    <w:rsid w:val="458E012C"/>
    <w:rsid w:val="45C3737E"/>
    <w:rsid w:val="45CD7101"/>
    <w:rsid w:val="45D8315D"/>
    <w:rsid w:val="45E27BA6"/>
    <w:rsid w:val="45EC000C"/>
    <w:rsid w:val="45FC5DDB"/>
    <w:rsid w:val="46054B19"/>
    <w:rsid w:val="460F7111"/>
    <w:rsid w:val="462124D2"/>
    <w:rsid w:val="46330A25"/>
    <w:rsid w:val="46450381"/>
    <w:rsid w:val="464A5621"/>
    <w:rsid w:val="464D77BF"/>
    <w:rsid w:val="466136B4"/>
    <w:rsid w:val="46680329"/>
    <w:rsid w:val="467C2DB6"/>
    <w:rsid w:val="46944B32"/>
    <w:rsid w:val="46A67729"/>
    <w:rsid w:val="46CA02A2"/>
    <w:rsid w:val="46D018DC"/>
    <w:rsid w:val="46D16CB7"/>
    <w:rsid w:val="46E060A3"/>
    <w:rsid w:val="46E27DAB"/>
    <w:rsid w:val="46E35B71"/>
    <w:rsid w:val="47153DA9"/>
    <w:rsid w:val="471E3C80"/>
    <w:rsid w:val="473A2082"/>
    <w:rsid w:val="477F174F"/>
    <w:rsid w:val="47817A01"/>
    <w:rsid w:val="478969B6"/>
    <w:rsid w:val="478D3B0F"/>
    <w:rsid w:val="47966946"/>
    <w:rsid w:val="47A84781"/>
    <w:rsid w:val="47A93C6F"/>
    <w:rsid w:val="47B64DB9"/>
    <w:rsid w:val="47C65859"/>
    <w:rsid w:val="47DA7788"/>
    <w:rsid w:val="47DC7127"/>
    <w:rsid w:val="47E02863"/>
    <w:rsid w:val="47E65B90"/>
    <w:rsid w:val="47E869B7"/>
    <w:rsid w:val="47E878E2"/>
    <w:rsid w:val="47FC4151"/>
    <w:rsid w:val="47FD5CC2"/>
    <w:rsid w:val="48002F8E"/>
    <w:rsid w:val="48284707"/>
    <w:rsid w:val="482A3805"/>
    <w:rsid w:val="48481A4C"/>
    <w:rsid w:val="484E6CFA"/>
    <w:rsid w:val="484E7099"/>
    <w:rsid w:val="48731A1E"/>
    <w:rsid w:val="487F7FB0"/>
    <w:rsid w:val="48945134"/>
    <w:rsid w:val="48B472E5"/>
    <w:rsid w:val="48BF2D31"/>
    <w:rsid w:val="48DA6BED"/>
    <w:rsid w:val="49004017"/>
    <w:rsid w:val="49160079"/>
    <w:rsid w:val="497720CB"/>
    <w:rsid w:val="497B7E06"/>
    <w:rsid w:val="49CC374F"/>
    <w:rsid w:val="49E17588"/>
    <w:rsid w:val="49E30AF7"/>
    <w:rsid w:val="4A09769D"/>
    <w:rsid w:val="4A3A7347"/>
    <w:rsid w:val="4A3C60FC"/>
    <w:rsid w:val="4A3D04C7"/>
    <w:rsid w:val="4A597059"/>
    <w:rsid w:val="4A5A556E"/>
    <w:rsid w:val="4A5C0001"/>
    <w:rsid w:val="4A6B39FD"/>
    <w:rsid w:val="4A744A35"/>
    <w:rsid w:val="4A8A0983"/>
    <w:rsid w:val="4A907746"/>
    <w:rsid w:val="4AA8308D"/>
    <w:rsid w:val="4AB235B5"/>
    <w:rsid w:val="4AC36280"/>
    <w:rsid w:val="4ADB6F45"/>
    <w:rsid w:val="4B004D4C"/>
    <w:rsid w:val="4B027BE7"/>
    <w:rsid w:val="4B1F7FAB"/>
    <w:rsid w:val="4B3A5391"/>
    <w:rsid w:val="4B3D1E4C"/>
    <w:rsid w:val="4B5A657F"/>
    <w:rsid w:val="4B66283D"/>
    <w:rsid w:val="4B81499E"/>
    <w:rsid w:val="4B82020C"/>
    <w:rsid w:val="4B824D6B"/>
    <w:rsid w:val="4B9E0DC1"/>
    <w:rsid w:val="4BC52A49"/>
    <w:rsid w:val="4BC57FF2"/>
    <w:rsid w:val="4BCA6F9B"/>
    <w:rsid w:val="4BCD427D"/>
    <w:rsid w:val="4BEC3E05"/>
    <w:rsid w:val="4BFA2A9B"/>
    <w:rsid w:val="4C054056"/>
    <w:rsid w:val="4C3752D5"/>
    <w:rsid w:val="4C802C95"/>
    <w:rsid w:val="4C927CA8"/>
    <w:rsid w:val="4C933E11"/>
    <w:rsid w:val="4C9D782D"/>
    <w:rsid w:val="4CAC7A71"/>
    <w:rsid w:val="4CBB0ACA"/>
    <w:rsid w:val="4CCE3E33"/>
    <w:rsid w:val="4CF3280C"/>
    <w:rsid w:val="4CFE7555"/>
    <w:rsid w:val="4CFF3E9F"/>
    <w:rsid w:val="4D1B4867"/>
    <w:rsid w:val="4D3109E1"/>
    <w:rsid w:val="4D3B5D9B"/>
    <w:rsid w:val="4D4558C4"/>
    <w:rsid w:val="4D544231"/>
    <w:rsid w:val="4D6E12EC"/>
    <w:rsid w:val="4D871B07"/>
    <w:rsid w:val="4D9B59E3"/>
    <w:rsid w:val="4DA93FB0"/>
    <w:rsid w:val="4DEE1DEB"/>
    <w:rsid w:val="4E0A576F"/>
    <w:rsid w:val="4E0B24D9"/>
    <w:rsid w:val="4E2B1127"/>
    <w:rsid w:val="4E35763B"/>
    <w:rsid w:val="4E5C4D4D"/>
    <w:rsid w:val="4EA60EEB"/>
    <w:rsid w:val="4EC047AA"/>
    <w:rsid w:val="4EC258EC"/>
    <w:rsid w:val="4EE87133"/>
    <w:rsid w:val="4F197CD0"/>
    <w:rsid w:val="4F247BD1"/>
    <w:rsid w:val="4F2A0569"/>
    <w:rsid w:val="4F3E73A0"/>
    <w:rsid w:val="4F52531F"/>
    <w:rsid w:val="4F5850E3"/>
    <w:rsid w:val="4F5E14FD"/>
    <w:rsid w:val="4F6033A3"/>
    <w:rsid w:val="4F6D0E53"/>
    <w:rsid w:val="4F6D277E"/>
    <w:rsid w:val="4F746FD0"/>
    <w:rsid w:val="4FA21052"/>
    <w:rsid w:val="4FA377F3"/>
    <w:rsid w:val="4FB1539E"/>
    <w:rsid w:val="4FB242B2"/>
    <w:rsid w:val="4FF967C7"/>
    <w:rsid w:val="500E56A4"/>
    <w:rsid w:val="501354A4"/>
    <w:rsid w:val="50184209"/>
    <w:rsid w:val="50622A90"/>
    <w:rsid w:val="5079709E"/>
    <w:rsid w:val="507D524D"/>
    <w:rsid w:val="5083441E"/>
    <w:rsid w:val="508C13FC"/>
    <w:rsid w:val="509120F5"/>
    <w:rsid w:val="50C838D3"/>
    <w:rsid w:val="50EE3D5A"/>
    <w:rsid w:val="510B4D32"/>
    <w:rsid w:val="515314AB"/>
    <w:rsid w:val="516C1F13"/>
    <w:rsid w:val="516D23A5"/>
    <w:rsid w:val="51875AC3"/>
    <w:rsid w:val="519547BE"/>
    <w:rsid w:val="51C256E2"/>
    <w:rsid w:val="51CC0140"/>
    <w:rsid w:val="51CD595A"/>
    <w:rsid w:val="51E34711"/>
    <w:rsid w:val="51F069F0"/>
    <w:rsid w:val="52012D7E"/>
    <w:rsid w:val="52243A21"/>
    <w:rsid w:val="522A0741"/>
    <w:rsid w:val="522E797C"/>
    <w:rsid w:val="523152F8"/>
    <w:rsid w:val="52913E6A"/>
    <w:rsid w:val="52A8286E"/>
    <w:rsid w:val="52B16C2D"/>
    <w:rsid w:val="52D50E0F"/>
    <w:rsid w:val="52E23BFF"/>
    <w:rsid w:val="531A5813"/>
    <w:rsid w:val="53221C76"/>
    <w:rsid w:val="53244383"/>
    <w:rsid w:val="532706FA"/>
    <w:rsid w:val="53341943"/>
    <w:rsid w:val="53384F86"/>
    <w:rsid w:val="53496CF3"/>
    <w:rsid w:val="5357056B"/>
    <w:rsid w:val="53586879"/>
    <w:rsid w:val="53630659"/>
    <w:rsid w:val="537B406F"/>
    <w:rsid w:val="53B245BE"/>
    <w:rsid w:val="53BE1E0A"/>
    <w:rsid w:val="53C109CA"/>
    <w:rsid w:val="53D300F1"/>
    <w:rsid w:val="53D965DF"/>
    <w:rsid w:val="53E4426A"/>
    <w:rsid w:val="53E819D6"/>
    <w:rsid w:val="540467D1"/>
    <w:rsid w:val="540D276F"/>
    <w:rsid w:val="540E2988"/>
    <w:rsid w:val="540E5FA9"/>
    <w:rsid w:val="541456C2"/>
    <w:rsid w:val="541E55BD"/>
    <w:rsid w:val="541F4F71"/>
    <w:rsid w:val="544A5B7A"/>
    <w:rsid w:val="544B05F7"/>
    <w:rsid w:val="5456694A"/>
    <w:rsid w:val="546234AB"/>
    <w:rsid w:val="548C01F9"/>
    <w:rsid w:val="549466F5"/>
    <w:rsid w:val="54AB752C"/>
    <w:rsid w:val="54B60D81"/>
    <w:rsid w:val="54BB13CE"/>
    <w:rsid w:val="54CB0364"/>
    <w:rsid w:val="54D02911"/>
    <w:rsid w:val="54DB3D0A"/>
    <w:rsid w:val="550538AE"/>
    <w:rsid w:val="550B69C7"/>
    <w:rsid w:val="550C4D8E"/>
    <w:rsid w:val="550E5667"/>
    <w:rsid w:val="55111BEC"/>
    <w:rsid w:val="551B2964"/>
    <w:rsid w:val="553114EE"/>
    <w:rsid w:val="553B328D"/>
    <w:rsid w:val="5549413D"/>
    <w:rsid w:val="554A08BD"/>
    <w:rsid w:val="556C1973"/>
    <w:rsid w:val="558D42F4"/>
    <w:rsid w:val="55934E16"/>
    <w:rsid w:val="55CC4D01"/>
    <w:rsid w:val="55D6522E"/>
    <w:rsid w:val="56065257"/>
    <w:rsid w:val="561700D7"/>
    <w:rsid w:val="561A0E5A"/>
    <w:rsid w:val="561A2BC3"/>
    <w:rsid w:val="563014E0"/>
    <w:rsid w:val="56364CDB"/>
    <w:rsid w:val="563A46C6"/>
    <w:rsid w:val="565B506C"/>
    <w:rsid w:val="565F6CF6"/>
    <w:rsid w:val="566F6337"/>
    <w:rsid w:val="56806634"/>
    <w:rsid w:val="568725E4"/>
    <w:rsid w:val="568F3F97"/>
    <w:rsid w:val="569C44D4"/>
    <w:rsid w:val="56A9453F"/>
    <w:rsid w:val="56C65934"/>
    <w:rsid w:val="56D83A4D"/>
    <w:rsid w:val="570B0D46"/>
    <w:rsid w:val="570C3777"/>
    <w:rsid w:val="572834C6"/>
    <w:rsid w:val="575E618E"/>
    <w:rsid w:val="576573E0"/>
    <w:rsid w:val="577A4309"/>
    <w:rsid w:val="578307A7"/>
    <w:rsid w:val="57B3164E"/>
    <w:rsid w:val="57B335BE"/>
    <w:rsid w:val="57C639B8"/>
    <w:rsid w:val="57DF0C33"/>
    <w:rsid w:val="57E5578E"/>
    <w:rsid w:val="580A7860"/>
    <w:rsid w:val="58123D1F"/>
    <w:rsid w:val="581A2F5B"/>
    <w:rsid w:val="5837128F"/>
    <w:rsid w:val="58417562"/>
    <w:rsid w:val="58570343"/>
    <w:rsid w:val="586F6A26"/>
    <w:rsid w:val="58B34E95"/>
    <w:rsid w:val="58CF09B1"/>
    <w:rsid w:val="58D6192B"/>
    <w:rsid w:val="58F827F2"/>
    <w:rsid w:val="590F1EAB"/>
    <w:rsid w:val="5914330E"/>
    <w:rsid w:val="591B1C43"/>
    <w:rsid w:val="591F16AE"/>
    <w:rsid w:val="592A46A5"/>
    <w:rsid w:val="592B3E1C"/>
    <w:rsid w:val="59360123"/>
    <w:rsid w:val="595177B0"/>
    <w:rsid w:val="59595C03"/>
    <w:rsid w:val="59646AF6"/>
    <w:rsid w:val="59670A96"/>
    <w:rsid w:val="59794421"/>
    <w:rsid w:val="59805FE7"/>
    <w:rsid w:val="59B80B8B"/>
    <w:rsid w:val="59D022EE"/>
    <w:rsid w:val="59DB1347"/>
    <w:rsid w:val="59DC4B2F"/>
    <w:rsid w:val="59DD2EFA"/>
    <w:rsid w:val="59E1572C"/>
    <w:rsid w:val="5A1C4C24"/>
    <w:rsid w:val="5A434C72"/>
    <w:rsid w:val="5A4F7D35"/>
    <w:rsid w:val="5A525178"/>
    <w:rsid w:val="5A5E70FB"/>
    <w:rsid w:val="5A71416E"/>
    <w:rsid w:val="5A7E43E2"/>
    <w:rsid w:val="5AA035EF"/>
    <w:rsid w:val="5AB74BF0"/>
    <w:rsid w:val="5ABF46CF"/>
    <w:rsid w:val="5AD85C37"/>
    <w:rsid w:val="5AF96957"/>
    <w:rsid w:val="5B13279F"/>
    <w:rsid w:val="5B6972FE"/>
    <w:rsid w:val="5B6C0A1C"/>
    <w:rsid w:val="5B6E6385"/>
    <w:rsid w:val="5B84236C"/>
    <w:rsid w:val="5B935CEC"/>
    <w:rsid w:val="5BA13BBA"/>
    <w:rsid w:val="5BA66C84"/>
    <w:rsid w:val="5C097FA8"/>
    <w:rsid w:val="5C280F22"/>
    <w:rsid w:val="5C350FC1"/>
    <w:rsid w:val="5C4B3222"/>
    <w:rsid w:val="5C5B0707"/>
    <w:rsid w:val="5C600256"/>
    <w:rsid w:val="5C901584"/>
    <w:rsid w:val="5C9A6EAF"/>
    <w:rsid w:val="5C9D0BB5"/>
    <w:rsid w:val="5CCB62D8"/>
    <w:rsid w:val="5CE01414"/>
    <w:rsid w:val="5CF0234C"/>
    <w:rsid w:val="5CF7523D"/>
    <w:rsid w:val="5CFA7011"/>
    <w:rsid w:val="5D0A2FBF"/>
    <w:rsid w:val="5D383A51"/>
    <w:rsid w:val="5D4A31D0"/>
    <w:rsid w:val="5D555C99"/>
    <w:rsid w:val="5D5641B1"/>
    <w:rsid w:val="5D602923"/>
    <w:rsid w:val="5D701A17"/>
    <w:rsid w:val="5D7B5FF3"/>
    <w:rsid w:val="5DAC660A"/>
    <w:rsid w:val="5DD42FAF"/>
    <w:rsid w:val="5DD82C2E"/>
    <w:rsid w:val="5DF9330C"/>
    <w:rsid w:val="5E0D5214"/>
    <w:rsid w:val="5E12602F"/>
    <w:rsid w:val="5E1B45CA"/>
    <w:rsid w:val="5E2278C6"/>
    <w:rsid w:val="5E6D1506"/>
    <w:rsid w:val="5E722E16"/>
    <w:rsid w:val="5EA557D0"/>
    <w:rsid w:val="5EDC074A"/>
    <w:rsid w:val="5F115BF4"/>
    <w:rsid w:val="5F1D2556"/>
    <w:rsid w:val="5F1F7F4D"/>
    <w:rsid w:val="5F457587"/>
    <w:rsid w:val="5F6B7D8F"/>
    <w:rsid w:val="5F727797"/>
    <w:rsid w:val="5FAC7388"/>
    <w:rsid w:val="5FBC348F"/>
    <w:rsid w:val="5FC54DD3"/>
    <w:rsid w:val="5FC94ED8"/>
    <w:rsid w:val="5FCA438D"/>
    <w:rsid w:val="5FE271CE"/>
    <w:rsid w:val="5FF372E2"/>
    <w:rsid w:val="5FF47736"/>
    <w:rsid w:val="60614C52"/>
    <w:rsid w:val="60A02FFA"/>
    <w:rsid w:val="60A1570E"/>
    <w:rsid w:val="60AC0066"/>
    <w:rsid w:val="60C95BE9"/>
    <w:rsid w:val="60E050C0"/>
    <w:rsid w:val="60EB0B22"/>
    <w:rsid w:val="60F43654"/>
    <w:rsid w:val="60FB33EF"/>
    <w:rsid w:val="610528AC"/>
    <w:rsid w:val="61103822"/>
    <w:rsid w:val="611B1CEE"/>
    <w:rsid w:val="61267834"/>
    <w:rsid w:val="613156B2"/>
    <w:rsid w:val="61954BC1"/>
    <w:rsid w:val="619C4F8E"/>
    <w:rsid w:val="61C96915"/>
    <w:rsid w:val="61CE5E0F"/>
    <w:rsid w:val="61CF7C84"/>
    <w:rsid w:val="61DB560A"/>
    <w:rsid w:val="61DE5070"/>
    <w:rsid w:val="62143659"/>
    <w:rsid w:val="62143CAD"/>
    <w:rsid w:val="621C577E"/>
    <w:rsid w:val="62351FBE"/>
    <w:rsid w:val="62494825"/>
    <w:rsid w:val="62571D27"/>
    <w:rsid w:val="62786749"/>
    <w:rsid w:val="62862FC9"/>
    <w:rsid w:val="62900DDE"/>
    <w:rsid w:val="629A4156"/>
    <w:rsid w:val="629F3078"/>
    <w:rsid w:val="62AA08DF"/>
    <w:rsid w:val="62AC3571"/>
    <w:rsid w:val="62B160FC"/>
    <w:rsid w:val="62BA2AD9"/>
    <w:rsid w:val="62CA1CE3"/>
    <w:rsid w:val="62E44C00"/>
    <w:rsid w:val="630F34DA"/>
    <w:rsid w:val="63240C07"/>
    <w:rsid w:val="632F029A"/>
    <w:rsid w:val="633C230D"/>
    <w:rsid w:val="634577BB"/>
    <w:rsid w:val="635331B5"/>
    <w:rsid w:val="638606DD"/>
    <w:rsid w:val="638E43A2"/>
    <w:rsid w:val="63A51BEC"/>
    <w:rsid w:val="63BA2ED5"/>
    <w:rsid w:val="63D85432"/>
    <w:rsid w:val="63E16A9A"/>
    <w:rsid w:val="640F0BB9"/>
    <w:rsid w:val="6439109E"/>
    <w:rsid w:val="648A620F"/>
    <w:rsid w:val="64AB3A76"/>
    <w:rsid w:val="64BE3EFA"/>
    <w:rsid w:val="64C24104"/>
    <w:rsid w:val="64C325AD"/>
    <w:rsid w:val="653476F8"/>
    <w:rsid w:val="65457A24"/>
    <w:rsid w:val="65484822"/>
    <w:rsid w:val="65501489"/>
    <w:rsid w:val="65796321"/>
    <w:rsid w:val="65806E4C"/>
    <w:rsid w:val="65B9675C"/>
    <w:rsid w:val="65EE17FB"/>
    <w:rsid w:val="660A560A"/>
    <w:rsid w:val="660F20DE"/>
    <w:rsid w:val="661D3FBC"/>
    <w:rsid w:val="663234BF"/>
    <w:rsid w:val="663E1F02"/>
    <w:rsid w:val="663F0CB6"/>
    <w:rsid w:val="66434506"/>
    <w:rsid w:val="66636772"/>
    <w:rsid w:val="667F5643"/>
    <w:rsid w:val="668016CB"/>
    <w:rsid w:val="66903851"/>
    <w:rsid w:val="66B215AE"/>
    <w:rsid w:val="66DF64F1"/>
    <w:rsid w:val="66E16BB3"/>
    <w:rsid w:val="66EE2442"/>
    <w:rsid w:val="6701456D"/>
    <w:rsid w:val="67036A03"/>
    <w:rsid w:val="677341CE"/>
    <w:rsid w:val="678642A8"/>
    <w:rsid w:val="678B4F7F"/>
    <w:rsid w:val="67AE44F2"/>
    <w:rsid w:val="67B60B25"/>
    <w:rsid w:val="67D373C4"/>
    <w:rsid w:val="67ED09AE"/>
    <w:rsid w:val="67F94833"/>
    <w:rsid w:val="682A30D0"/>
    <w:rsid w:val="68355334"/>
    <w:rsid w:val="68984C43"/>
    <w:rsid w:val="68A17F33"/>
    <w:rsid w:val="68AB4CFB"/>
    <w:rsid w:val="68D426C5"/>
    <w:rsid w:val="68E24B16"/>
    <w:rsid w:val="68E62362"/>
    <w:rsid w:val="68F71599"/>
    <w:rsid w:val="690F0B2B"/>
    <w:rsid w:val="69152BE5"/>
    <w:rsid w:val="69214C1A"/>
    <w:rsid w:val="692C599D"/>
    <w:rsid w:val="69340486"/>
    <w:rsid w:val="693530D6"/>
    <w:rsid w:val="693C033A"/>
    <w:rsid w:val="693E71E5"/>
    <w:rsid w:val="694F4CBB"/>
    <w:rsid w:val="694F6FC0"/>
    <w:rsid w:val="695A2818"/>
    <w:rsid w:val="696D0D8F"/>
    <w:rsid w:val="696E041E"/>
    <w:rsid w:val="69764E04"/>
    <w:rsid w:val="697C0BEE"/>
    <w:rsid w:val="699217E2"/>
    <w:rsid w:val="69BA1E77"/>
    <w:rsid w:val="6A130AA3"/>
    <w:rsid w:val="6A1A5502"/>
    <w:rsid w:val="6A246E84"/>
    <w:rsid w:val="6A2D249C"/>
    <w:rsid w:val="6A334CA6"/>
    <w:rsid w:val="6A9469ED"/>
    <w:rsid w:val="6ABD1DBC"/>
    <w:rsid w:val="6ABF3924"/>
    <w:rsid w:val="6ADA304F"/>
    <w:rsid w:val="6AE0555B"/>
    <w:rsid w:val="6AE17E2E"/>
    <w:rsid w:val="6AFB1321"/>
    <w:rsid w:val="6B0351AA"/>
    <w:rsid w:val="6B0813C5"/>
    <w:rsid w:val="6B0A2BDC"/>
    <w:rsid w:val="6B0F7F4A"/>
    <w:rsid w:val="6B1016A5"/>
    <w:rsid w:val="6B2C02A3"/>
    <w:rsid w:val="6B3158B9"/>
    <w:rsid w:val="6B483248"/>
    <w:rsid w:val="6B526F1B"/>
    <w:rsid w:val="6B62547F"/>
    <w:rsid w:val="6B8443F9"/>
    <w:rsid w:val="6B9834E0"/>
    <w:rsid w:val="6B995C03"/>
    <w:rsid w:val="6BFC7A56"/>
    <w:rsid w:val="6BFF7765"/>
    <w:rsid w:val="6C110D96"/>
    <w:rsid w:val="6C164EA2"/>
    <w:rsid w:val="6C2C0A2E"/>
    <w:rsid w:val="6C344483"/>
    <w:rsid w:val="6C3811DB"/>
    <w:rsid w:val="6C53360D"/>
    <w:rsid w:val="6C544EC8"/>
    <w:rsid w:val="6C936786"/>
    <w:rsid w:val="6CA86587"/>
    <w:rsid w:val="6CC16156"/>
    <w:rsid w:val="6CD31826"/>
    <w:rsid w:val="6CDC0268"/>
    <w:rsid w:val="6CF3048B"/>
    <w:rsid w:val="6D013069"/>
    <w:rsid w:val="6D2B458A"/>
    <w:rsid w:val="6D6F2774"/>
    <w:rsid w:val="6DB51E45"/>
    <w:rsid w:val="6DBE6F5D"/>
    <w:rsid w:val="6DD6325E"/>
    <w:rsid w:val="6DDF1B94"/>
    <w:rsid w:val="6DE02200"/>
    <w:rsid w:val="6DE60B88"/>
    <w:rsid w:val="6DEF7063"/>
    <w:rsid w:val="6DF8503E"/>
    <w:rsid w:val="6E1309B4"/>
    <w:rsid w:val="6E185744"/>
    <w:rsid w:val="6E2039C3"/>
    <w:rsid w:val="6E4F3FA6"/>
    <w:rsid w:val="6E6D0ECE"/>
    <w:rsid w:val="6E6E45FD"/>
    <w:rsid w:val="6E962CB7"/>
    <w:rsid w:val="6E9F71D3"/>
    <w:rsid w:val="6EA6211A"/>
    <w:rsid w:val="6ED34297"/>
    <w:rsid w:val="6ED57ED1"/>
    <w:rsid w:val="6ED64654"/>
    <w:rsid w:val="6ED67FEA"/>
    <w:rsid w:val="6EDB76EA"/>
    <w:rsid w:val="6F0A4DCE"/>
    <w:rsid w:val="6F270EA0"/>
    <w:rsid w:val="6F291A39"/>
    <w:rsid w:val="6F3F60CB"/>
    <w:rsid w:val="6F6971A6"/>
    <w:rsid w:val="6F6B4BFE"/>
    <w:rsid w:val="6F8310DF"/>
    <w:rsid w:val="6F9C5E6A"/>
    <w:rsid w:val="6FA124BB"/>
    <w:rsid w:val="6FA373D8"/>
    <w:rsid w:val="6FEC6FEE"/>
    <w:rsid w:val="70000A33"/>
    <w:rsid w:val="701C1D21"/>
    <w:rsid w:val="70276FCD"/>
    <w:rsid w:val="703B671A"/>
    <w:rsid w:val="704A4D27"/>
    <w:rsid w:val="706A064A"/>
    <w:rsid w:val="709C3ADB"/>
    <w:rsid w:val="70A26911"/>
    <w:rsid w:val="70D03104"/>
    <w:rsid w:val="711909B4"/>
    <w:rsid w:val="71224086"/>
    <w:rsid w:val="71287CDB"/>
    <w:rsid w:val="71320AD7"/>
    <w:rsid w:val="71404CFD"/>
    <w:rsid w:val="718172EC"/>
    <w:rsid w:val="718315EE"/>
    <w:rsid w:val="719317AE"/>
    <w:rsid w:val="719D2590"/>
    <w:rsid w:val="71A0048B"/>
    <w:rsid w:val="71B01B3F"/>
    <w:rsid w:val="71C02FDA"/>
    <w:rsid w:val="71C43D43"/>
    <w:rsid w:val="71C920B1"/>
    <w:rsid w:val="71D476D2"/>
    <w:rsid w:val="71DC743C"/>
    <w:rsid w:val="71F47B3F"/>
    <w:rsid w:val="71F815E0"/>
    <w:rsid w:val="721B19C7"/>
    <w:rsid w:val="72213114"/>
    <w:rsid w:val="72393905"/>
    <w:rsid w:val="724074E0"/>
    <w:rsid w:val="72426EE7"/>
    <w:rsid w:val="72471DBD"/>
    <w:rsid w:val="725C0F09"/>
    <w:rsid w:val="727A7A4F"/>
    <w:rsid w:val="72982152"/>
    <w:rsid w:val="72B063DB"/>
    <w:rsid w:val="72B87559"/>
    <w:rsid w:val="72C50D67"/>
    <w:rsid w:val="72D61DB9"/>
    <w:rsid w:val="72D76181"/>
    <w:rsid w:val="72EF63EC"/>
    <w:rsid w:val="72F36281"/>
    <w:rsid w:val="730746C0"/>
    <w:rsid w:val="73180C11"/>
    <w:rsid w:val="73204BF6"/>
    <w:rsid w:val="732E7833"/>
    <w:rsid w:val="7385746A"/>
    <w:rsid w:val="73BD58AD"/>
    <w:rsid w:val="73C86FA6"/>
    <w:rsid w:val="73E01600"/>
    <w:rsid w:val="73F0360B"/>
    <w:rsid w:val="73F938A5"/>
    <w:rsid w:val="7423361A"/>
    <w:rsid w:val="742C7425"/>
    <w:rsid w:val="74443A72"/>
    <w:rsid w:val="745D695B"/>
    <w:rsid w:val="748F0845"/>
    <w:rsid w:val="74C26AE1"/>
    <w:rsid w:val="74CC18A7"/>
    <w:rsid w:val="74CF7D7A"/>
    <w:rsid w:val="74EF0330"/>
    <w:rsid w:val="74EF1A80"/>
    <w:rsid w:val="74FF29F9"/>
    <w:rsid w:val="75056803"/>
    <w:rsid w:val="750A64D9"/>
    <w:rsid w:val="75281F17"/>
    <w:rsid w:val="75292F82"/>
    <w:rsid w:val="755C49AE"/>
    <w:rsid w:val="755F3023"/>
    <w:rsid w:val="75787755"/>
    <w:rsid w:val="7580603B"/>
    <w:rsid w:val="758850AE"/>
    <w:rsid w:val="75A508B6"/>
    <w:rsid w:val="75F37D3E"/>
    <w:rsid w:val="76501AF9"/>
    <w:rsid w:val="76642717"/>
    <w:rsid w:val="7681261D"/>
    <w:rsid w:val="76CA0591"/>
    <w:rsid w:val="76D34182"/>
    <w:rsid w:val="76EA7809"/>
    <w:rsid w:val="770A4F84"/>
    <w:rsid w:val="771653CE"/>
    <w:rsid w:val="771B4405"/>
    <w:rsid w:val="772E0263"/>
    <w:rsid w:val="772F7651"/>
    <w:rsid w:val="77392959"/>
    <w:rsid w:val="776E5FEC"/>
    <w:rsid w:val="77A8327E"/>
    <w:rsid w:val="77AA6680"/>
    <w:rsid w:val="77D12A6E"/>
    <w:rsid w:val="77D37939"/>
    <w:rsid w:val="77D74930"/>
    <w:rsid w:val="77E25AE0"/>
    <w:rsid w:val="77FC12F0"/>
    <w:rsid w:val="77FF2602"/>
    <w:rsid w:val="7824027B"/>
    <w:rsid w:val="78242B44"/>
    <w:rsid w:val="783B2AAC"/>
    <w:rsid w:val="785F7BA6"/>
    <w:rsid w:val="78642CA9"/>
    <w:rsid w:val="78BB1935"/>
    <w:rsid w:val="78DB6B9F"/>
    <w:rsid w:val="7902217E"/>
    <w:rsid w:val="79124A75"/>
    <w:rsid w:val="791F05B2"/>
    <w:rsid w:val="79425841"/>
    <w:rsid w:val="794E29E2"/>
    <w:rsid w:val="795040C0"/>
    <w:rsid w:val="796233B0"/>
    <w:rsid w:val="79731464"/>
    <w:rsid w:val="798B0479"/>
    <w:rsid w:val="798B22F6"/>
    <w:rsid w:val="7992074C"/>
    <w:rsid w:val="79925FF1"/>
    <w:rsid w:val="7995341C"/>
    <w:rsid w:val="79B65DB3"/>
    <w:rsid w:val="79D104F5"/>
    <w:rsid w:val="7A134DA7"/>
    <w:rsid w:val="7A153597"/>
    <w:rsid w:val="7A254639"/>
    <w:rsid w:val="7A4C3D84"/>
    <w:rsid w:val="7A5D2A5D"/>
    <w:rsid w:val="7A6A4DBC"/>
    <w:rsid w:val="7A864B74"/>
    <w:rsid w:val="7A885297"/>
    <w:rsid w:val="7A945B8E"/>
    <w:rsid w:val="7AAC0DFA"/>
    <w:rsid w:val="7AB6644F"/>
    <w:rsid w:val="7AC327DE"/>
    <w:rsid w:val="7AD16C02"/>
    <w:rsid w:val="7ADF0AF1"/>
    <w:rsid w:val="7AF12594"/>
    <w:rsid w:val="7AF50FBD"/>
    <w:rsid w:val="7AFF562E"/>
    <w:rsid w:val="7B4E2ABA"/>
    <w:rsid w:val="7B640AFE"/>
    <w:rsid w:val="7B6A3EDF"/>
    <w:rsid w:val="7B6D05BF"/>
    <w:rsid w:val="7B882329"/>
    <w:rsid w:val="7B904036"/>
    <w:rsid w:val="7B921534"/>
    <w:rsid w:val="7B9809F1"/>
    <w:rsid w:val="7BAE385A"/>
    <w:rsid w:val="7BB41B79"/>
    <w:rsid w:val="7BB86CCC"/>
    <w:rsid w:val="7C064284"/>
    <w:rsid w:val="7C161ED8"/>
    <w:rsid w:val="7C1806B9"/>
    <w:rsid w:val="7C1C23F1"/>
    <w:rsid w:val="7C22708A"/>
    <w:rsid w:val="7C34166E"/>
    <w:rsid w:val="7C4A0800"/>
    <w:rsid w:val="7C586C8A"/>
    <w:rsid w:val="7CA9609C"/>
    <w:rsid w:val="7CB544D1"/>
    <w:rsid w:val="7CC03EF8"/>
    <w:rsid w:val="7CC402D9"/>
    <w:rsid w:val="7CCD475D"/>
    <w:rsid w:val="7CE068EE"/>
    <w:rsid w:val="7CF70331"/>
    <w:rsid w:val="7CFA2B06"/>
    <w:rsid w:val="7CFB4A37"/>
    <w:rsid w:val="7CFE26E6"/>
    <w:rsid w:val="7D575C62"/>
    <w:rsid w:val="7D813AB2"/>
    <w:rsid w:val="7DBE6AD7"/>
    <w:rsid w:val="7DC27E2F"/>
    <w:rsid w:val="7DC40BE3"/>
    <w:rsid w:val="7DEC0391"/>
    <w:rsid w:val="7DFE0AA9"/>
    <w:rsid w:val="7DFF47B2"/>
    <w:rsid w:val="7E0402E1"/>
    <w:rsid w:val="7E084C16"/>
    <w:rsid w:val="7E294C83"/>
    <w:rsid w:val="7E3F46E9"/>
    <w:rsid w:val="7E654DBE"/>
    <w:rsid w:val="7E962F04"/>
    <w:rsid w:val="7E984DF9"/>
    <w:rsid w:val="7E99393B"/>
    <w:rsid w:val="7ECB3CA4"/>
    <w:rsid w:val="7ECE0070"/>
    <w:rsid w:val="7ECF065B"/>
    <w:rsid w:val="7ECF4060"/>
    <w:rsid w:val="7F0D7176"/>
    <w:rsid w:val="7F2E795E"/>
    <w:rsid w:val="7F6061BC"/>
    <w:rsid w:val="7F805CCF"/>
    <w:rsid w:val="7F813213"/>
    <w:rsid w:val="7FAB247C"/>
    <w:rsid w:val="7FBE0FFF"/>
    <w:rsid w:val="7FC46F88"/>
    <w:rsid w:val="7FDE3504"/>
    <w:rsid w:val="7FDE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3">
    <w:name w:val="heading 1"/>
    <w:basedOn w:val="1"/>
    <w:next w:val="1"/>
    <w:qFormat/>
    <w:uiPriority w:val="1"/>
    <w:pPr>
      <w:spacing w:before="54"/>
      <w:ind w:left="225" w:right="192"/>
      <w:jc w:val="center"/>
      <w:outlineLvl w:val="0"/>
    </w:pPr>
    <w:rPr>
      <w:b/>
      <w:bCs/>
      <w:sz w:val="32"/>
      <w:szCs w:val="32"/>
    </w:rPr>
  </w:style>
  <w:style w:type="paragraph" w:styleId="4">
    <w:name w:val="heading 2"/>
    <w:basedOn w:val="1"/>
    <w:next w:val="1"/>
    <w:qFormat/>
    <w:uiPriority w:val="1"/>
    <w:pPr>
      <w:spacing w:before="58"/>
      <w:ind w:left="225" w:right="192"/>
      <w:jc w:val="center"/>
      <w:outlineLvl w:val="1"/>
    </w:pPr>
    <w:rPr>
      <w:b/>
      <w:bCs/>
      <w:sz w:val="30"/>
      <w:szCs w:val="30"/>
    </w:rPr>
  </w:style>
  <w:style w:type="paragraph" w:styleId="5">
    <w:name w:val="heading 3"/>
    <w:basedOn w:val="1"/>
    <w:next w:val="1"/>
    <w:qFormat/>
    <w:uiPriority w:val="1"/>
    <w:pPr>
      <w:spacing w:before="62"/>
      <w:ind w:left="225"/>
      <w:jc w:val="center"/>
      <w:outlineLvl w:val="2"/>
    </w:pPr>
    <w:rPr>
      <w:b/>
      <w:bCs/>
      <w:sz w:val="28"/>
      <w:szCs w:val="28"/>
    </w:rPr>
  </w:style>
  <w:style w:type="paragraph" w:styleId="6">
    <w:name w:val="heading 4"/>
    <w:basedOn w:val="1"/>
    <w:next w:val="1"/>
    <w:qFormat/>
    <w:uiPriority w:val="1"/>
    <w:pPr>
      <w:ind w:left="390"/>
      <w:outlineLvl w:val="3"/>
    </w:pPr>
    <w:rPr>
      <w:b/>
      <w:bCs/>
      <w:sz w:val="24"/>
      <w:szCs w:val="24"/>
    </w:rPr>
  </w:style>
  <w:style w:type="character" w:default="1" w:styleId="20">
    <w:name w:val="Default Paragraph Font"/>
    <w:semiHidden/>
    <w:unhideWhenUsed/>
    <w:qFormat/>
    <w:uiPriority w:val="1"/>
  </w:style>
  <w:style w:type="table" w:default="1" w:styleId="1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32"/>
    <w:qFormat/>
    <w:uiPriority w:val="0"/>
    <w:pPr>
      <w:tabs>
        <w:tab w:val="center" w:pos="4153"/>
        <w:tab w:val="right" w:pos="8306"/>
      </w:tabs>
      <w:snapToGrid w:val="0"/>
    </w:pPr>
    <w:rPr>
      <w:sz w:val="18"/>
      <w:szCs w:val="18"/>
    </w:rPr>
  </w:style>
  <w:style w:type="paragraph" w:styleId="7">
    <w:name w:val="Body Text 3"/>
    <w:basedOn w:val="1"/>
    <w:unhideWhenUsed/>
    <w:qFormat/>
    <w:uiPriority w:val="0"/>
    <w:pPr>
      <w:widowControl/>
      <w:spacing w:after="120"/>
      <w:jc w:val="left"/>
    </w:pPr>
    <w:rPr>
      <w:rFonts w:eastAsia="宋体" w:cs="Times New Roman"/>
      <w:sz w:val="16"/>
      <w:szCs w:val="16"/>
      <w:lang w:eastAsia="en-US"/>
    </w:rPr>
  </w:style>
  <w:style w:type="paragraph" w:styleId="8">
    <w:name w:val="Body Text"/>
    <w:basedOn w:val="1"/>
    <w:next w:val="1"/>
    <w:link w:val="33"/>
    <w:qFormat/>
    <w:uiPriority w:val="1"/>
    <w:rPr>
      <w:sz w:val="24"/>
      <w:szCs w:val="24"/>
    </w:rPr>
  </w:style>
  <w:style w:type="paragraph" w:styleId="9">
    <w:name w:val="toc 3"/>
    <w:basedOn w:val="1"/>
    <w:next w:val="1"/>
    <w:unhideWhenUsed/>
    <w:qFormat/>
    <w:uiPriority w:val="39"/>
    <w:pPr>
      <w:tabs>
        <w:tab w:val="left" w:pos="1620"/>
        <w:tab w:val="right" w:leader="dot" w:pos="8296"/>
      </w:tabs>
      <w:ind w:left="400" w:leftChars="400"/>
      <w:jc w:val="left"/>
    </w:pPr>
    <w:rPr>
      <w:sz w:val="24"/>
      <w:szCs w:val="20"/>
    </w:rPr>
  </w:style>
  <w:style w:type="paragraph" w:styleId="10">
    <w:name w:val="Balloon Text"/>
    <w:basedOn w:val="1"/>
    <w:link w:val="30"/>
    <w:qFormat/>
    <w:uiPriority w:val="0"/>
    <w:rPr>
      <w:sz w:val="18"/>
      <w:szCs w:val="18"/>
    </w:rPr>
  </w:style>
  <w:style w:type="paragraph" w:styleId="11">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1"/>
    <w:pPr>
      <w:ind w:left="34"/>
      <w:jc w:val="center"/>
    </w:pPr>
    <w:rPr>
      <w:sz w:val="34"/>
      <w:szCs w:val="34"/>
    </w:rPr>
  </w:style>
  <w:style w:type="paragraph" w:styleId="13">
    <w:name w:val="Subtitle"/>
    <w:basedOn w:val="14"/>
    <w:next w:val="14"/>
    <w:link w:val="36"/>
    <w:qFormat/>
    <w:uiPriority w:val="99"/>
    <w:pPr>
      <w:spacing w:before="240" w:after="60" w:line="312" w:lineRule="auto"/>
      <w:jc w:val="center"/>
      <w:outlineLvl w:val="1"/>
    </w:pPr>
    <w:rPr>
      <w:rFonts w:ascii="Arial" w:hAnsi="Arial" w:cs="Arial"/>
      <w:b/>
      <w:bCs/>
      <w:kern w:val="28"/>
      <w:sz w:val="32"/>
      <w:szCs w:val="32"/>
    </w:rPr>
  </w:style>
  <w:style w:type="paragraph" w:customStyle="1" w:styleId="14">
    <w:name w:val="正文_0"/>
    <w:next w:val="1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
    <w:name w:val="正文文本_0"/>
    <w:basedOn w:val="14"/>
    <w:next w:val="13"/>
    <w:unhideWhenUsed/>
    <w:qFormat/>
    <w:uiPriority w:val="99"/>
    <w:pPr>
      <w:spacing w:after="120"/>
    </w:pPr>
    <w:rPr>
      <w:rFonts w:ascii="Times New Roman" w:hAnsi="Times New Roman"/>
      <w:kern w:val="0"/>
      <w:sz w:val="20"/>
      <w:szCs w:val="20"/>
    </w:rPr>
  </w:style>
  <w:style w:type="paragraph" w:styleId="16">
    <w:name w:val="toc 2"/>
    <w:basedOn w:val="1"/>
    <w:next w:val="1"/>
    <w:qFormat/>
    <w:uiPriority w:val="1"/>
    <w:pPr>
      <w:spacing w:before="572"/>
      <w:ind w:left="402" w:right="347" w:hanging="15"/>
      <w:jc w:val="center"/>
    </w:pPr>
    <w:rPr>
      <w:sz w:val="34"/>
      <w:szCs w:val="34"/>
    </w:rPr>
  </w:style>
  <w:style w:type="paragraph" w:styleId="17">
    <w:name w:val="Normal (Web)"/>
    <w:basedOn w:val="1"/>
    <w:qFormat/>
    <w:uiPriority w:val="0"/>
    <w:rPr>
      <w:sz w:val="24"/>
    </w:rPr>
  </w:style>
  <w:style w:type="paragraph" w:styleId="18">
    <w:name w:val="Body Text First Indent"/>
    <w:basedOn w:val="8"/>
    <w:semiHidden/>
    <w:unhideWhenUsed/>
    <w:qFormat/>
    <w:uiPriority w:val="99"/>
    <w:pPr>
      <w:spacing w:after="120"/>
      <w:ind w:firstLine="420" w:firstLineChars="100"/>
    </w:pPr>
    <w:rPr>
      <w:sz w:val="22"/>
      <w:szCs w:val="22"/>
    </w:rPr>
  </w:style>
  <w:style w:type="character" w:styleId="21">
    <w:name w:val="FollowedHyperlink"/>
    <w:basedOn w:val="20"/>
    <w:qFormat/>
    <w:uiPriority w:val="0"/>
    <w:rPr>
      <w:color w:val="333333"/>
      <w:u w:val="none"/>
    </w:rPr>
  </w:style>
  <w:style w:type="character" w:styleId="22">
    <w:name w:val="Hyperlink"/>
    <w:basedOn w:val="20"/>
    <w:qFormat/>
    <w:uiPriority w:val="0"/>
    <w:rPr>
      <w:color w:val="333333"/>
      <w:u w:val="none"/>
    </w:rPr>
  </w:style>
  <w:style w:type="table" w:customStyle="1" w:styleId="23">
    <w:name w:val="Table Normal"/>
    <w:semiHidden/>
    <w:unhideWhenUsed/>
    <w:qFormat/>
    <w:uiPriority w:val="2"/>
    <w:tblPr>
      <w:tblCellMar>
        <w:top w:w="0" w:type="dxa"/>
        <w:left w:w="0" w:type="dxa"/>
        <w:bottom w:w="0" w:type="dxa"/>
        <w:right w:w="0" w:type="dxa"/>
      </w:tblCellMar>
    </w:tblPr>
  </w:style>
  <w:style w:type="paragraph" w:styleId="24">
    <w:name w:val="List Paragraph"/>
    <w:basedOn w:val="1"/>
    <w:qFormat/>
    <w:uiPriority w:val="1"/>
    <w:pPr>
      <w:ind w:left="390" w:firstLine="480"/>
    </w:pPr>
  </w:style>
  <w:style w:type="paragraph" w:customStyle="1" w:styleId="25">
    <w:name w:val="Table Paragraph"/>
    <w:basedOn w:val="1"/>
    <w:qFormat/>
    <w:uiPriority w:val="1"/>
  </w:style>
  <w:style w:type="paragraph" w:customStyle="1" w:styleId="26">
    <w:name w:val="正文首行缩进两字符"/>
    <w:basedOn w:val="1"/>
    <w:qFormat/>
    <w:uiPriority w:val="0"/>
    <w:pPr>
      <w:spacing w:line="360" w:lineRule="auto"/>
      <w:ind w:firstLine="200" w:firstLineChars="200"/>
    </w:pPr>
  </w:style>
  <w:style w:type="paragraph" w:customStyle="1" w:styleId="27">
    <w:name w:val="WPSOffice手动目录 2"/>
    <w:qFormat/>
    <w:uiPriority w:val="0"/>
    <w:pPr>
      <w:ind w:left="200" w:leftChars="200"/>
    </w:pPr>
    <w:rPr>
      <w:rFonts w:asciiTheme="minorHAnsi" w:hAnsiTheme="minorHAnsi" w:eastAsiaTheme="minorHAnsi" w:cstheme="minorBidi"/>
      <w:lang w:val="en-US" w:eastAsia="zh-CN" w:bidi="ar-SA"/>
    </w:rPr>
  </w:style>
  <w:style w:type="paragraph" w:customStyle="1" w:styleId="28">
    <w:name w:val="WPSOffice手动目录 1"/>
    <w:qFormat/>
    <w:uiPriority w:val="0"/>
    <w:rPr>
      <w:rFonts w:asciiTheme="minorHAnsi" w:hAnsiTheme="minorHAnsi" w:eastAsiaTheme="minorHAnsi" w:cstheme="minorBidi"/>
      <w:lang w:val="en-US" w:eastAsia="zh-CN" w:bidi="ar-SA"/>
    </w:rPr>
  </w:style>
  <w:style w:type="paragraph" w:customStyle="1" w:styleId="29">
    <w:name w:val="WPSOffice手动目录 3"/>
    <w:qFormat/>
    <w:uiPriority w:val="0"/>
    <w:pPr>
      <w:ind w:left="400" w:leftChars="400"/>
    </w:pPr>
    <w:rPr>
      <w:rFonts w:asciiTheme="minorHAnsi" w:hAnsiTheme="minorHAnsi" w:eastAsiaTheme="minorHAnsi" w:cstheme="minorBidi"/>
      <w:lang w:val="en-US" w:eastAsia="zh-CN" w:bidi="ar-SA"/>
    </w:rPr>
  </w:style>
  <w:style w:type="character" w:customStyle="1" w:styleId="30">
    <w:name w:val="批注框文本 Char"/>
    <w:basedOn w:val="20"/>
    <w:link w:val="10"/>
    <w:qFormat/>
    <w:uiPriority w:val="0"/>
    <w:rPr>
      <w:rFonts w:ascii="宋体" w:hAnsi="宋体" w:eastAsia="宋体" w:cs="宋体"/>
      <w:sz w:val="18"/>
      <w:szCs w:val="18"/>
      <w:lang w:val="zh-CN" w:bidi="zh-CN"/>
    </w:rPr>
  </w:style>
  <w:style w:type="character" w:customStyle="1" w:styleId="31">
    <w:name w:val="页眉 Char"/>
    <w:basedOn w:val="20"/>
    <w:link w:val="11"/>
    <w:qFormat/>
    <w:uiPriority w:val="0"/>
    <w:rPr>
      <w:rFonts w:ascii="宋体" w:hAnsi="宋体" w:eastAsia="宋体" w:cs="宋体"/>
      <w:sz w:val="18"/>
      <w:szCs w:val="18"/>
      <w:lang w:val="zh-CN" w:bidi="zh-CN"/>
    </w:rPr>
  </w:style>
  <w:style w:type="character" w:customStyle="1" w:styleId="32">
    <w:name w:val="页脚 Char"/>
    <w:basedOn w:val="20"/>
    <w:link w:val="2"/>
    <w:qFormat/>
    <w:uiPriority w:val="0"/>
    <w:rPr>
      <w:rFonts w:ascii="宋体" w:hAnsi="宋体" w:eastAsia="宋体" w:cs="宋体"/>
      <w:sz w:val="18"/>
      <w:szCs w:val="18"/>
      <w:lang w:val="zh-CN" w:bidi="zh-CN"/>
    </w:rPr>
  </w:style>
  <w:style w:type="character" w:customStyle="1" w:styleId="33">
    <w:name w:val="正文文本 Char"/>
    <w:basedOn w:val="20"/>
    <w:link w:val="8"/>
    <w:qFormat/>
    <w:uiPriority w:val="99"/>
    <w:rPr>
      <w:rFonts w:ascii="宋体" w:hAnsi="宋体" w:eastAsia="宋体" w:cs="宋体"/>
      <w:sz w:val="24"/>
      <w:szCs w:val="24"/>
      <w:lang w:val="zh-CN" w:bidi="zh-CN"/>
    </w:rPr>
  </w:style>
  <w:style w:type="character" w:customStyle="1" w:styleId="34">
    <w:name w:val="NormalCharacter"/>
    <w:qFormat/>
    <w:uiPriority w:val="0"/>
    <w:rPr>
      <w:rFonts w:ascii="Calibri" w:hAnsi="Calibri"/>
      <w:kern w:val="2"/>
      <w:sz w:val="21"/>
      <w:szCs w:val="24"/>
      <w:lang w:val="en-US" w:eastAsia="zh-CN" w:bidi="ar-SA"/>
    </w:rPr>
  </w:style>
  <w:style w:type="paragraph" w:customStyle="1" w:styleId="35">
    <w:name w:val="BodyText"/>
    <w:basedOn w:val="1"/>
    <w:next w:val="1"/>
    <w:qFormat/>
    <w:uiPriority w:val="0"/>
    <w:pPr>
      <w:widowControl/>
      <w:autoSpaceDE/>
      <w:autoSpaceDN/>
      <w:spacing w:after="120"/>
      <w:jc w:val="both"/>
      <w:textAlignment w:val="baseline"/>
    </w:pPr>
    <w:rPr>
      <w:rFonts w:ascii="Times New Roman" w:hAnsi="Calibri" w:cs="Times New Roman"/>
      <w:kern w:val="2"/>
      <w:sz w:val="24"/>
      <w:szCs w:val="24"/>
      <w:lang w:val="en-US" w:bidi="ar-SA"/>
    </w:rPr>
  </w:style>
  <w:style w:type="character" w:customStyle="1" w:styleId="36">
    <w:name w:val="副标题 Char"/>
    <w:basedOn w:val="20"/>
    <w:link w:val="13"/>
    <w:qFormat/>
    <w:uiPriority w:val="0"/>
    <w:rPr>
      <w:rFonts w:hint="default" w:ascii="Arial" w:hAnsi="Arial" w:cs="Arial"/>
      <w:b/>
      <w:bCs/>
      <w:kern w:val="28"/>
      <w:sz w:val="32"/>
      <w:szCs w:val="32"/>
    </w:rPr>
  </w:style>
  <w:style w:type="paragraph" w:customStyle="1" w:styleId="37">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38">
    <w:name w:val="样式"/>
    <w:qFormat/>
    <w:uiPriority w:val="0"/>
    <w:pPr>
      <w:widowControl w:val="0"/>
      <w:numPr>
        <w:ilvl w:val="1"/>
        <w:numId w:val="1"/>
      </w:numPr>
      <w:autoSpaceDE w:val="0"/>
      <w:autoSpaceDN w:val="0"/>
      <w:adjustRightInd w:val="0"/>
    </w:pPr>
    <w:rPr>
      <w:rFonts w:ascii="宋体" w:hAnsi="宋体" w:eastAsia="宋体" w:cs="宋体"/>
      <w:sz w:val="24"/>
      <w:szCs w:val="24"/>
      <w:lang w:val="en-US" w:eastAsia="zh-CN" w:bidi="ar-SA"/>
    </w:rPr>
  </w:style>
  <w:style w:type="paragraph" w:customStyle="1" w:styleId="39">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_0_1"/>
    <w:qFormat/>
    <w:uiPriority w:val="0"/>
    <w:pPr>
      <w:widowControl w:val="0"/>
      <w:jc w:val="both"/>
    </w:pPr>
    <w:rPr>
      <w:rFonts w:ascii="Calibri" w:hAnsi="Calibri" w:eastAsia="宋体" w:cs="Times New Roman"/>
      <w:kern w:val="2"/>
      <w:sz w:val="21"/>
      <w:szCs w:val="22"/>
      <w:lang w:val="en-US" w:eastAsia="zh-CN" w:bidi="ar-SA"/>
    </w:rPr>
  </w:style>
  <w:style w:type="paragraph" w:styleId="41">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40</Pages>
  <Words>24384</Words>
  <Characters>25070</Characters>
  <Lines>205</Lines>
  <Paragraphs>57</Paragraphs>
  <TotalTime>6</TotalTime>
  <ScaleCrop>false</ScaleCrop>
  <LinksUpToDate>false</LinksUpToDate>
  <CharactersWithSpaces>25835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2021-02-08T03:05:00Z</dcterms:created>
  <dc:creator>五洲</dc:creator>
  <cp:keywords>医疗设备</cp:keywords>
  <cp:lastModifiedBy>NTKO</cp:lastModifiedBy>
  <cp:lastPrinted>2020-07-29T01:56:00Z</cp:lastPrinted>
  <dcterms:modified xsi:type="dcterms:W3CDTF">2023-04-17T07:28:57Z</dcterms:modified>
  <dc:subject>公招</dc:subject>
  <dc:title>设备</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WPS 文字</vt:lpwstr>
  </property>
  <property fmtid="{D5CDD505-2E9C-101B-9397-08002B2CF9AE}" pid="4" name="LastSaved">
    <vt:filetime>2020-07-23T00:00:00Z</vt:filetime>
  </property>
  <property fmtid="{D5CDD505-2E9C-101B-9397-08002B2CF9AE}" pid="5" name="KSOProductBuildVer">
    <vt:lpwstr>2052-11.1.0.13703</vt:lpwstr>
  </property>
  <property fmtid="{D5CDD505-2E9C-101B-9397-08002B2CF9AE}" pid="6" name="ICV">
    <vt:lpwstr>F63E743183A1480D8E6802108A4AB7BC</vt:lpwstr>
  </property>
</Properties>
</file>