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48" w:rsidRDefault="009C0392">
      <w:pPr>
        <w:pStyle w:val="Bodytext20"/>
        <w:spacing w:line="578" w:lineRule="exact"/>
        <w:ind w:firstLine="0"/>
        <w:jc w:val="center"/>
        <w:rPr>
          <w:rFonts w:ascii="黑体" w:eastAsia="黑体" w:hAnsi="黑体" w:cs="Calibri"/>
          <w:color w:val="000000"/>
        </w:rPr>
      </w:pPr>
      <w:bookmarkStart w:id="0" w:name="bookmark214"/>
      <w:r>
        <w:rPr>
          <w:rFonts w:ascii="黑体" w:eastAsia="黑体" w:hAnsi="黑体" w:cs="黑体" w:hint="eastAsia"/>
          <w:color w:val="000000"/>
        </w:rPr>
        <w:t>采购人科学合理确定采购需求流程</w:t>
      </w:r>
    </w:p>
    <w:p w:rsidR="004D6B48" w:rsidRDefault="009C0392">
      <w:pPr>
        <w:pStyle w:val="Bodytext10"/>
        <w:spacing w:line="578" w:lineRule="exact"/>
        <w:ind w:firstLine="0"/>
        <w:jc w:val="center"/>
        <w:rPr>
          <w:rFonts w:ascii="楷体_GB2312" w:eastAsia="楷体_GB2312" w:hAnsi="Times New Roman" w:cs="Calibri"/>
          <w:color w:val="000000"/>
          <w:sz w:val="32"/>
          <w:szCs w:val="32"/>
        </w:rPr>
      </w:pPr>
      <w:r>
        <w:rPr>
          <w:rFonts w:ascii="楷体_GB2312" w:eastAsia="楷体_GB2312" w:hAnsi="Times New Roman" w:cs="楷体_GB2312" w:hint="eastAsia"/>
          <w:color w:val="000000"/>
          <w:sz w:val="32"/>
          <w:szCs w:val="32"/>
        </w:rPr>
        <w:t>（包括但不限于，仅供采购人参考）</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387"/>
        <w:gridCol w:w="6128"/>
        <w:gridCol w:w="1444"/>
      </w:tblGrid>
      <w:tr w:rsidR="004D6B48">
        <w:trPr>
          <w:trHeight w:val="454"/>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流程</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实施过程</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参与方</w:t>
            </w:r>
          </w:p>
        </w:tc>
      </w:tr>
      <w:tr w:rsidR="004D6B48">
        <w:trPr>
          <w:trHeight w:val="454"/>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开展采购需求调查</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通过咨询、论证、问卷调查等方式开展需求调查，了解相关产业发展、市场供给、同类采购项目历史成交信息，可能涉及的运行维护、升级更新、备品备件、耗材等后续采购，以及其他相关情况。</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w:t>
            </w:r>
          </w:p>
        </w:tc>
      </w:tr>
      <w:tr w:rsidR="004D6B48">
        <w:trPr>
          <w:trHeight w:val="454"/>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确定采购需求及编制实施计划</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Times New Roman"/>
                <w:color w:val="000000"/>
                <w:sz w:val="24"/>
                <w:szCs w:val="24"/>
              </w:rPr>
              <w:t>1</w:t>
            </w:r>
            <w:r>
              <w:rPr>
                <w:rFonts w:ascii="Times New Roman" w:eastAsia="仿宋_GB2312" w:hAnsi="Times New Roman" w:cs="仿宋_GB2312" w:hint="eastAsia"/>
                <w:color w:val="000000"/>
                <w:sz w:val="24"/>
                <w:szCs w:val="24"/>
              </w:rPr>
              <w:t>．包括采购项目预（概）算、最高限价，开展采购活动的时间安排，采购组织形式和委托安排，采购包划分与合同分包，供应商资格条件，采购方式、竞争范围和评审规则等。</w:t>
            </w:r>
          </w:p>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．包括合同类型、定价方式、合同文本的主要条款、履约验收方案、风险管控措施等。</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w:t>
            </w:r>
          </w:p>
        </w:tc>
      </w:tr>
      <w:tr w:rsidR="004D6B48">
        <w:trPr>
          <w:trHeight w:val="454"/>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采购需</w:t>
            </w:r>
          </w:p>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求论证</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采购人通过采购需求论证，保证采购需求科学合理、符合实际，严禁豪华、重复、无用采购。</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采购人、需求论证专家</w:t>
            </w:r>
          </w:p>
        </w:tc>
      </w:tr>
      <w:tr w:rsidR="004D6B48">
        <w:trPr>
          <w:trHeight w:val="454"/>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lang w:eastAsia="zh-CN"/>
              </w:rPr>
            </w:pPr>
            <w:r>
              <w:rPr>
                <w:rFonts w:ascii="Times New Roman" w:eastAsia="仿宋_GB2312" w:hAnsi="Times New Roman" w:cs="仿宋_GB2312" w:hint="eastAsia"/>
                <w:color w:val="000000"/>
                <w:sz w:val="24"/>
                <w:szCs w:val="24"/>
              </w:rPr>
              <w:t>明确采购</w:t>
            </w:r>
          </w:p>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方式</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方式、评审方法和定价方式的选择应当符合法定适用情形和采购需求特点，实施计划方案报送财政部门业务科室审核，之后由政府采购监管部门审核。其中，达到公开招标数额标准，因特殊情况需要采用公开招标以外的采购方式的，应当依法获得批准。</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采购人、财政业务部门、财政采购监管部门</w:t>
            </w:r>
          </w:p>
        </w:tc>
      </w:tr>
      <w:tr w:rsidR="004D6B48">
        <w:trPr>
          <w:trHeight w:val="1598"/>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lang w:eastAsia="zh-CN"/>
              </w:rPr>
            </w:pPr>
            <w:r>
              <w:rPr>
                <w:rFonts w:ascii="Times New Roman" w:eastAsia="仿宋_GB2312" w:hAnsi="Times New Roman" w:cs="仿宋_GB2312" w:hint="eastAsia"/>
                <w:color w:val="000000"/>
                <w:sz w:val="24"/>
                <w:szCs w:val="24"/>
              </w:rPr>
              <w:t>确定代理</w:t>
            </w:r>
          </w:p>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机构</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采购人采购纳入政府集中采购目录的项目，必须委托集中采购机构采购。集中采购目录以外的项目可以自行采购，也可自主选择委托集中采购机构或者集中采购机构以外的社代理机构采购。</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w:t>
            </w:r>
          </w:p>
        </w:tc>
      </w:tr>
      <w:tr w:rsidR="004D6B48">
        <w:trPr>
          <w:trHeight w:val="1609"/>
          <w:jc w:val="center"/>
        </w:trPr>
        <w:tc>
          <w:tcPr>
            <w:tcW w:w="774"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风险</w:t>
            </w:r>
          </w:p>
          <w:p w:rsidR="004D6B48" w:rsidRDefault="009C0392">
            <w:pPr>
              <w:pStyle w:val="Other10"/>
              <w:spacing w:line="360" w:lineRule="exact"/>
              <w:ind w:firstLine="0"/>
              <w:jc w:val="center"/>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控制</w:t>
            </w:r>
          </w:p>
        </w:tc>
        <w:tc>
          <w:tcPr>
            <w:tcW w:w="3420"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采购人应当建立审查工作机制，在采购活动开始前针对采购需求管理中的重点风险事项，对采购需求和采购实施计划进行一般性审查和重点审查，对于审查不通过的，应当修改采购需求和采购实施计划。</w:t>
            </w:r>
          </w:p>
        </w:tc>
        <w:tc>
          <w:tcPr>
            <w:tcW w:w="806"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w:t>
            </w:r>
          </w:p>
        </w:tc>
      </w:tr>
      <w:tr w:rsidR="004D6B48">
        <w:trPr>
          <w:trHeight w:val="454"/>
          <w:jc w:val="center"/>
        </w:trPr>
        <w:tc>
          <w:tcPr>
            <w:tcW w:w="5000" w:type="pct"/>
            <w:gridSpan w:val="3"/>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常用文本格式清单：</w:t>
            </w:r>
          </w:p>
        </w:tc>
      </w:tr>
      <w:tr w:rsidR="004D6B48">
        <w:trPr>
          <w:trHeight w:val="454"/>
          <w:jc w:val="center"/>
        </w:trPr>
        <w:tc>
          <w:tcPr>
            <w:tcW w:w="5000" w:type="pct"/>
            <w:gridSpan w:val="3"/>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lang w:val="en-US" w:eastAsia="zh-CN"/>
              </w:rPr>
            </w:pPr>
            <w:r>
              <w:rPr>
                <w:rFonts w:ascii="Times New Roman" w:eastAsia="仿宋_GB2312" w:hAnsi="Times New Roman" w:cs="仿宋_GB2312" w:hint="eastAsia"/>
                <w:color w:val="000000"/>
                <w:sz w:val="24"/>
                <w:szCs w:val="24"/>
              </w:rPr>
              <w:t>需求调查表、采购需求表、实施计划表、一般性审查表</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仿宋_GB2312" w:hint="eastAsia"/>
                <w:color w:val="000000"/>
                <w:sz w:val="24"/>
                <w:szCs w:val="24"/>
                <w:lang w:val="en-US" w:eastAsia="zh-CN"/>
              </w:rPr>
              <w:t>重点审查表、其他</w:t>
            </w:r>
          </w:p>
        </w:tc>
      </w:tr>
    </w:tbl>
    <w:p w:rsidR="004D6B48" w:rsidRDefault="004D6B48">
      <w:pPr>
        <w:spacing w:after="279" w:line="1" w:lineRule="exact"/>
        <w:rPr>
          <w:rFonts w:ascii="Times New Roman" w:eastAsia="仿宋_GB2312" w:hAnsi="Times New Roman"/>
          <w:color w:val="000000"/>
          <w:sz w:val="32"/>
          <w:szCs w:val="32"/>
        </w:rPr>
      </w:pPr>
    </w:p>
    <w:p w:rsidR="00E75FCC" w:rsidRDefault="009C0392" w:rsidP="00E75FCC">
      <w:pPr>
        <w:pStyle w:val="Bodytext10"/>
        <w:spacing w:line="578" w:lineRule="exact"/>
        <w:ind w:firstLine="0"/>
        <w:jc w:val="center"/>
        <w:rPr>
          <w:rFonts w:ascii="Times New Roman" w:eastAsia="楷体_GB2312" w:hAnsi="Times New Roman" w:cs="Calibri" w:hint="eastAsia"/>
          <w:color w:val="000000"/>
          <w:sz w:val="32"/>
          <w:szCs w:val="32"/>
          <w:lang w:eastAsia="zh-CN"/>
        </w:rPr>
      </w:pPr>
      <w:r w:rsidRPr="00E75FCC">
        <w:rPr>
          <w:rFonts w:ascii="黑体" w:eastAsia="黑体" w:hAnsi="黑体" w:cs="黑体" w:hint="eastAsia"/>
          <w:color w:val="000000"/>
          <w:sz w:val="32"/>
          <w:szCs w:val="32"/>
        </w:rPr>
        <w:lastRenderedPageBreak/>
        <w:t>采购需求科学合理确定重要事项一次性告知</w:t>
      </w:r>
    </w:p>
    <w:p w:rsidR="004D6B48" w:rsidRPr="00E75FCC" w:rsidRDefault="009C0392" w:rsidP="00E75FCC">
      <w:pPr>
        <w:pStyle w:val="Bodytext10"/>
        <w:spacing w:line="578" w:lineRule="exact"/>
        <w:ind w:firstLine="0"/>
        <w:jc w:val="center"/>
        <w:rPr>
          <w:rFonts w:ascii="Times New Roman" w:eastAsia="楷体_GB2312" w:hAnsi="Times New Roman" w:cs="Calibri"/>
          <w:color w:val="000000"/>
          <w:sz w:val="32"/>
          <w:szCs w:val="32"/>
          <w:lang w:eastAsia="zh-CN"/>
        </w:rPr>
      </w:pPr>
      <w:r>
        <w:rPr>
          <w:rFonts w:ascii="Times New Roman" w:eastAsia="仿宋_GB2312" w:hAnsi="Times New Roman" w:cs="仿宋_GB2312" w:hint="eastAsia"/>
          <w:color w:val="000000"/>
          <w:sz w:val="32"/>
          <w:szCs w:val="32"/>
        </w:rPr>
        <w:t>（标准文本参考，包括但不限于以下内容）</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68"/>
        <w:gridCol w:w="4734"/>
        <w:gridCol w:w="3257"/>
      </w:tblGrid>
      <w:tr w:rsidR="004D6B48">
        <w:trPr>
          <w:cantSplit/>
          <w:trHeight w:val="454"/>
          <w:tblHeader/>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序号</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禁用内容</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center"/>
              <w:rPr>
                <w:rFonts w:ascii="黑体" w:eastAsia="黑体" w:hAnsi="黑体" w:cs="Calibri"/>
                <w:color w:val="000000"/>
                <w:sz w:val="24"/>
                <w:szCs w:val="24"/>
              </w:rPr>
            </w:pPr>
            <w:r>
              <w:rPr>
                <w:rFonts w:ascii="黑体" w:eastAsia="黑体" w:hAnsi="黑体" w:cs="黑体" w:hint="eastAsia"/>
                <w:color w:val="000000"/>
                <w:sz w:val="24"/>
                <w:szCs w:val="24"/>
              </w:rPr>
              <w:t>法律法规政策依据</w:t>
            </w:r>
          </w:p>
        </w:tc>
      </w:tr>
      <w:tr w:rsidR="004D6B48">
        <w:trPr>
          <w:cantSplit/>
          <w:trHeight w:val="911"/>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设置企业法人，将事业法人、其他组织和自然人排除的。</w:t>
            </w:r>
          </w:p>
        </w:tc>
        <w:tc>
          <w:tcPr>
            <w:tcW w:w="1818" w:type="pct"/>
            <w:shd w:val="clear" w:color="auto" w:fill="FFFFFF"/>
            <w:tcMar>
              <w:left w:w="57" w:type="dxa"/>
              <w:right w:w="57" w:type="dxa"/>
            </w:tcMar>
            <w:vAlign w:val="center"/>
          </w:tcPr>
          <w:p w:rsidR="004D6B48" w:rsidRDefault="009C0392">
            <w:pPr>
              <w:pStyle w:val="Other10"/>
              <w:spacing w:line="360" w:lineRule="exact"/>
              <w:ind w:firstLine="24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《中华人民共和国政府采购法》第二十一条。</w:t>
            </w:r>
          </w:p>
        </w:tc>
      </w:tr>
      <w:tr w:rsidR="004D6B48">
        <w:trPr>
          <w:cantSplit/>
          <w:trHeight w:val="1623"/>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限定供应商的所有制形式（如国有、独资、合资、合作等）、组织形式或者所在地。</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《中华人民共和国政府采购法》第五条；《中华人民共和国政府采购法实施条例》第二十条。</w:t>
            </w:r>
          </w:p>
        </w:tc>
      </w:tr>
      <w:tr w:rsidR="004D6B48">
        <w:trPr>
          <w:cantSplit/>
          <w:trHeight w:val="1386"/>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将投标人注册资本金、资产总额、营业收入、从业人员、利润、纳税额等规模条件作为资格要求或者评审因素。</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号）第十七条。</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4</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将除进口货物以外的生产厂家授权、承诺、证明、背书等作为资格要求。</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号）第十七条。</w:t>
            </w:r>
          </w:p>
        </w:tc>
      </w:tr>
      <w:tr w:rsidR="004D6B48">
        <w:trPr>
          <w:cantSplit/>
          <w:trHeight w:val="1736"/>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以制造厂家的条件作为参加政府采购活动的供应商的资格条件（除采购项目所涉行业有明确的强制性规定外）。</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《四川省财政厅关于进一步规范政府采购监管和执行的若干意见》（川财采〔</w:t>
            </w:r>
            <w:r>
              <w:rPr>
                <w:rFonts w:ascii="Times New Roman" w:eastAsia="仿宋_GB2312" w:hAnsi="Times New Roman" w:cs="Times New Roman"/>
                <w:color w:val="000000"/>
                <w:sz w:val="24"/>
                <w:szCs w:val="24"/>
              </w:rPr>
              <w:t>2013</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66</w:t>
            </w:r>
            <w:r>
              <w:rPr>
                <w:rFonts w:ascii="Times New Roman" w:eastAsia="仿宋_GB2312" w:hAnsi="Times New Roman" w:cs="仿宋_GB2312" w:hint="eastAsia"/>
                <w:color w:val="000000"/>
                <w:sz w:val="24"/>
                <w:szCs w:val="24"/>
              </w:rPr>
              <w:t>号）。</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6</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以特定行政区域或者特定行业的业绩和奖励作为加分条件或者中标、成交条件；以特定部门、系统、项目的业绩，作为加分条件或者中标、成交条件。</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《中华人民共和国政府采购法实施条例》第二十条；《进一步规范政府采购监管和执行的若干规定》（川府发〔</w:t>
            </w:r>
            <w:r>
              <w:rPr>
                <w:rFonts w:ascii="Times New Roman" w:eastAsia="仿宋_GB2312" w:hAnsi="Times New Roman" w:cs="Times New Roman"/>
                <w:color w:val="000000"/>
                <w:sz w:val="24"/>
                <w:szCs w:val="24"/>
              </w:rPr>
              <w:t>2018</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14</w:t>
            </w:r>
            <w:r>
              <w:rPr>
                <w:rFonts w:ascii="Times New Roman" w:eastAsia="仿宋_GB2312" w:hAnsi="Times New Roman" w:cs="仿宋_GB2312" w:hint="eastAsia"/>
                <w:color w:val="000000"/>
                <w:sz w:val="24"/>
                <w:szCs w:val="24"/>
              </w:rPr>
              <w:t>号）第三条。</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7</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将行业协会、商会颁发的企业资质证书和从业人员职业资格证书、入围目录名单作为资格条件。</w:t>
            </w:r>
          </w:p>
        </w:tc>
        <w:tc>
          <w:tcPr>
            <w:tcW w:w="1818" w:type="pct"/>
            <w:shd w:val="clear" w:color="auto" w:fill="FFFFFF"/>
            <w:tcMar>
              <w:left w:w="57" w:type="dxa"/>
              <w:right w:w="57" w:type="dxa"/>
            </w:tcMar>
            <w:vAlign w:val="center"/>
          </w:tcPr>
          <w:p w:rsidR="004D6B48" w:rsidRDefault="009C0392">
            <w:pPr>
              <w:pStyle w:val="Other10"/>
              <w:spacing w:line="360" w:lineRule="exact"/>
              <w:ind w:firstLine="24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《中华人民共和国政府采购法》第五条；《进一步规范政府采购监管和执行的若干规定》（川府发〔</w:t>
            </w:r>
            <w:r>
              <w:rPr>
                <w:rFonts w:ascii="Times New Roman" w:eastAsia="仿宋_GB2312" w:hAnsi="Times New Roman" w:cs="Times New Roman"/>
                <w:color w:val="000000"/>
                <w:sz w:val="24"/>
                <w:szCs w:val="24"/>
              </w:rPr>
              <w:t>2018</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14</w:t>
            </w:r>
            <w:r>
              <w:rPr>
                <w:rFonts w:ascii="Times New Roman" w:eastAsia="仿宋_GB2312" w:hAnsi="Times New Roman" w:cs="仿宋_GB2312" w:hint="eastAsia"/>
                <w:color w:val="000000"/>
                <w:sz w:val="24"/>
                <w:szCs w:val="24"/>
              </w:rPr>
              <w:t>号）第三条。</w:t>
            </w:r>
          </w:p>
        </w:tc>
      </w:tr>
      <w:tr w:rsidR="004D6B48">
        <w:trPr>
          <w:cantSplit/>
          <w:trHeight w:val="454"/>
          <w:jc w:val="center"/>
        </w:trPr>
        <w:tc>
          <w:tcPr>
            <w:tcW w:w="540" w:type="pct"/>
            <w:vMerge w:val="restar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8</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设置的资质条件、技术条款、评分因素与采购项目的具体特点和实际需要不相适应或者与合同履行无关，或者资质要求过高、过低明显不合理等。</w:t>
            </w:r>
          </w:p>
        </w:tc>
        <w:tc>
          <w:tcPr>
            <w:tcW w:w="1818" w:type="pct"/>
            <w:shd w:val="clear" w:color="auto" w:fill="FFFFFF"/>
            <w:tcMar>
              <w:left w:w="57" w:type="dxa"/>
              <w:right w:w="57" w:type="dxa"/>
            </w:tcMar>
            <w:vAlign w:val="center"/>
          </w:tcPr>
          <w:p w:rsidR="004D6B48" w:rsidRDefault="009C0392">
            <w:pPr>
              <w:pStyle w:val="Other10"/>
              <w:spacing w:line="360" w:lineRule="exact"/>
              <w:ind w:firstLine="24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《中华人民共和国政府采购法实施条例》第二十条。</w:t>
            </w:r>
          </w:p>
        </w:tc>
      </w:tr>
      <w:tr w:rsidR="004D6B48">
        <w:trPr>
          <w:cantSplit/>
          <w:trHeight w:val="454"/>
          <w:jc w:val="center"/>
        </w:trPr>
        <w:tc>
          <w:tcPr>
            <w:tcW w:w="540" w:type="pct"/>
            <w:vMerge/>
            <w:shd w:val="clear" w:color="auto" w:fill="FFFFFF"/>
            <w:tcMar>
              <w:left w:w="57" w:type="dxa"/>
              <w:right w:w="57" w:type="dxa"/>
            </w:tcMar>
            <w:vAlign w:val="center"/>
          </w:tcPr>
          <w:p w:rsidR="004D6B48" w:rsidRDefault="004D6B48">
            <w:pPr>
              <w:pStyle w:val="Other10"/>
              <w:spacing w:line="360" w:lineRule="exact"/>
              <w:ind w:firstLine="0"/>
              <w:jc w:val="center"/>
              <w:rPr>
                <w:rFonts w:ascii="Times New Roman" w:eastAsia="仿宋_GB2312" w:hAnsi="Times New Roman" w:cs="Calibri"/>
                <w:color w:val="000000"/>
                <w:sz w:val="24"/>
                <w:szCs w:val="24"/>
              </w:rPr>
            </w:pP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将国家、地方行政机关颁布的法规、规范性文件中未强制使用的资</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《中华人民共和国政府采购法》第五条、第二十二条。</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9</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将国务院已经发文取消的行政审批项目、资质、认证作为资格条件和评分标准。</w:t>
            </w:r>
          </w:p>
        </w:tc>
        <w:tc>
          <w:tcPr>
            <w:tcW w:w="1818" w:type="pct"/>
            <w:shd w:val="clear" w:color="auto" w:fill="FFFFFF"/>
            <w:tcMar>
              <w:left w:w="57" w:type="dxa"/>
              <w:right w:w="57" w:type="dxa"/>
            </w:tcMar>
            <w:vAlign w:val="center"/>
          </w:tcPr>
          <w:p w:rsidR="004D6B48" w:rsidRDefault="009C0392">
            <w:pPr>
              <w:pStyle w:val="Other10"/>
              <w:spacing w:line="360" w:lineRule="exact"/>
              <w:ind w:firstLine="22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《国务院取消和调整的行政审批项目事项目录》。</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采购需求中的技术、服务等要求指向特定供应商、特定产品；限定或者指定特定的专利、商标、品牌或者供应商；以满足具体的几家供应商参与作为衡量资格条件设置合法的标准。</w:t>
            </w:r>
          </w:p>
        </w:tc>
        <w:tc>
          <w:tcPr>
            <w:tcW w:w="1818" w:type="pct"/>
            <w:shd w:val="clear" w:color="auto" w:fill="FFFFFF"/>
            <w:tcMar>
              <w:left w:w="57" w:type="dxa"/>
              <w:right w:w="57" w:type="dxa"/>
            </w:tcMar>
            <w:vAlign w:val="center"/>
          </w:tcPr>
          <w:p w:rsidR="004D6B48" w:rsidRDefault="009C0392">
            <w:pPr>
              <w:pStyle w:val="Other10"/>
              <w:spacing w:line="360" w:lineRule="exact"/>
              <w:ind w:firstLine="22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《中华人民共和国政府采购法实施条例》第二十条《四川省财政厅关于进一步规范政府采购监管和执行的若干意见》（川财采〔</w:t>
            </w:r>
            <w:r>
              <w:rPr>
                <w:rFonts w:ascii="Times New Roman" w:eastAsia="仿宋_GB2312" w:hAnsi="Times New Roman" w:cs="Times New Roman"/>
                <w:color w:val="000000"/>
                <w:sz w:val="24"/>
                <w:szCs w:val="24"/>
              </w:rPr>
              <w:t>2013</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66</w:t>
            </w:r>
            <w:r>
              <w:rPr>
                <w:rFonts w:ascii="Times New Roman" w:eastAsia="仿宋_GB2312" w:hAnsi="Times New Roman" w:cs="仿宋_GB2312" w:hint="eastAsia"/>
                <w:color w:val="000000"/>
                <w:sz w:val="24"/>
                <w:szCs w:val="24"/>
              </w:rPr>
              <w:t>号）。</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采购人向供应商索要或者接受其给予的赠品、回扣或者与采购无关的其他商品、服务；要求供应商提供旅游、住宿，前往厂家所在地接受培训、报销培训费等。</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《政府采购法实施条例》第十一条；《政府采购货物和服务招标投标管理办法》（财政部令第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号）第六条。</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12</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售后服务要求与采购项目无关或超出服务范围的，售后服务要求明显不合理或指向特定厂商。</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《中华人民共和国政府采购法实施条例》第二十条。</w:t>
            </w:r>
          </w:p>
        </w:tc>
      </w:tr>
      <w:tr w:rsidR="004D6B48">
        <w:trPr>
          <w:cantSplit/>
          <w:trHeight w:val="4717"/>
          <w:jc w:val="center"/>
        </w:trPr>
        <w:tc>
          <w:tcPr>
            <w:tcW w:w="540" w:type="pct"/>
            <w:shd w:val="clear" w:color="auto" w:fill="FFFFFF"/>
            <w:tcMar>
              <w:left w:w="57" w:type="dxa"/>
              <w:right w:w="57" w:type="dxa"/>
            </w:tcMar>
            <w:vAlign w:val="center"/>
          </w:tcPr>
          <w:p w:rsidR="004D6B48" w:rsidRDefault="009C0392">
            <w:pPr>
              <w:pStyle w:val="Other10"/>
              <w:spacing w:line="36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13</w:t>
            </w:r>
          </w:p>
        </w:tc>
        <w:tc>
          <w:tcPr>
            <w:tcW w:w="2642"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未经财政部门批准要求原装进口产品的；或者经财政部门批准同意采购进口产品的项目，在采购中排斥或者歧视国货参加政府采购活动，排斥或者歧视国货成为中标、成交产品，将只有进口产品能够满足的事项作为供应商的资格条件，在技术参数、性能指标中标明</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进口产品</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原装进口产品</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等要求，完全或者大部分以进口产品的参数指标作为采购项目的技术参数、性能指标要求，将进口产品作为评分因素和评分标准中的加分事项，将进口产品作为优先中标、成交的理由。</w:t>
            </w:r>
          </w:p>
        </w:tc>
        <w:tc>
          <w:tcPr>
            <w:tcW w:w="1818" w:type="pct"/>
            <w:shd w:val="clear" w:color="auto" w:fill="FFFFFF"/>
            <w:tcMar>
              <w:left w:w="57" w:type="dxa"/>
              <w:right w:w="57" w:type="dxa"/>
            </w:tcMar>
            <w:vAlign w:val="center"/>
          </w:tcPr>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《政府采购进口产品管理办法》（财库〔</w:t>
            </w:r>
            <w:r>
              <w:rPr>
                <w:rFonts w:ascii="Times New Roman" w:eastAsia="仿宋_GB2312" w:hAnsi="Times New Roman" w:cs="Times New Roman"/>
                <w:color w:val="000000"/>
                <w:sz w:val="24"/>
                <w:szCs w:val="24"/>
              </w:rPr>
              <w:t>2007</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119</w:t>
            </w:r>
            <w:r>
              <w:rPr>
                <w:rFonts w:ascii="Times New Roman" w:eastAsia="仿宋_GB2312" w:hAnsi="Times New Roman" w:cs="仿宋_GB2312" w:hint="eastAsia"/>
                <w:color w:val="000000"/>
                <w:sz w:val="24"/>
                <w:szCs w:val="24"/>
              </w:rPr>
              <w:t>号）；</w:t>
            </w:r>
          </w:p>
          <w:p w:rsidR="004D6B48" w:rsidRDefault="009C0392">
            <w:pPr>
              <w:pStyle w:val="Other10"/>
              <w:spacing w:line="36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《四川省财政厅关于进一步规范政府采购监管和执行的若干意见》（川财采〔</w:t>
            </w:r>
            <w:r>
              <w:rPr>
                <w:rFonts w:ascii="Times New Roman" w:eastAsia="仿宋_GB2312" w:hAnsi="Times New Roman" w:cs="Times New Roman"/>
                <w:color w:val="000000"/>
                <w:sz w:val="24"/>
                <w:szCs w:val="24"/>
              </w:rPr>
              <w:t>2013</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66</w:t>
            </w:r>
            <w:r>
              <w:rPr>
                <w:rFonts w:ascii="Times New Roman" w:eastAsia="仿宋_GB2312" w:hAnsi="Times New Roman" w:cs="仿宋_GB2312" w:hint="eastAsia"/>
                <w:color w:val="000000"/>
                <w:sz w:val="24"/>
                <w:szCs w:val="24"/>
              </w:rPr>
              <w:t>号）。</w:t>
            </w:r>
          </w:p>
        </w:tc>
      </w:tr>
      <w:tr w:rsidR="004D6B48">
        <w:trPr>
          <w:cantSplit/>
          <w:trHeight w:val="454"/>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14</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要求供应商在投标前或者中标后按照一定的价格比例缴纳风险保证金或者其他类似性质的保证金。</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lang w:eastAsia="zh-CN"/>
              </w:rPr>
            </w:pPr>
            <w:r>
              <w:rPr>
                <w:rFonts w:ascii="Times New Roman" w:eastAsia="仿宋_GB2312" w:hAnsi="Times New Roman" w:cs="仿宋_GB2312" w:hint="eastAsia"/>
                <w:color w:val="000000"/>
                <w:sz w:val="24"/>
                <w:szCs w:val="24"/>
              </w:rPr>
              <w:t>《关于促进政府采购公平竞争优化营商环境的通知》（财库〔</w:t>
            </w:r>
            <w:r>
              <w:rPr>
                <w:rFonts w:ascii="Times New Roman" w:eastAsia="仿宋_GB2312" w:hAnsi="Times New Roman" w:cs="Times New Roman"/>
                <w:color w:val="000000"/>
                <w:sz w:val="24"/>
                <w:szCs w:val="24"/>
              </w:rPr>
              <w:t>2019</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38</w:t>
            </w:r>
            <w:r>
              <w:rPr>
                <w:rFonts w:ascii="Times New Roman" w:eastAsia="仿宋_GB2312" w:hAnsi="Times New Roman" w:cs="仿宋_GB2312" w:hint="eastAsia"/>
                <w:color w:val="000000"/>
                <w:sz w:val="24"/>
                <w:szCs w:val="24"/>
              </w:rPr>
              <w:t>号）第三条；《四川省财政厅关于进一步规范政府采购监管和执行的若干意见》（川财采〔</w:t>
            </w:r>
            <w:r>
              <w:rPr>
                <w:rFonts w:ascii="Times New Roman" w:eastAsia="仿宋_GB2312" w:hAnsi="Times New Roman" w:cs="Times New Roman"/>
                <w:color w:val="000000"/>
                <w:sz w:val="24"/>
                <w:szCs w:val="24"/>
              </w:rPr>
              <w:t>2013</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66</w:t>
            </w:r>
            <w:r>
              <w:rPr>
                <w:rFonts w:ascii="Times New Roman" w:eastAsia="仿宋_GB2312" w:hAnsi="Times New Roman" w:cs="仿宋_GB2312" w:hint="eastAsia"/>
                <w:color w:val="000000"/>
                <w:sz w:val="24"/>
                <w:szCs w:val="24"/>
              </w:rPr>
              <w:t>号）。</w:t>
            </w:r>
          </w:p>
        </w:tc>
      </w:tr>
      <w:tr w:rsidR="004D6B48">
        <w:trPr>
          <w:cantSplit/>
          <w:trHeight w:val="912"/>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要求提供指定检测机构、指定检测日期的检测报告。</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《中华人民共和国政府采购法实施条例》第二十条。</w:t>
            </w:r>
          </w:p>
        </w:tc>
      </w:tr>
      <w:tr w:rsidR="004D6B48">
        <w:trPr>
          <w:cantSplit/>
          <w:trHeight w:val="2312"/>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16</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在评分办法中设定去掉最后报价中的最高报价和最低报价。</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号）第五十五条；《财政部关于加强政府采购货物和服务项目价格评审管理的通知》（财库〔</w:t>
            </w:r>
            <w:r>
              <w:rPr>
                <w:rFonts w:ascii="Times New Roman" w:eastAsia="仿宋_GB2312" w:hAnsi="Times New Roman" w:cs="Times New Roman"/>
                <w:color w:val="000000"/>
                <w:sz w:val="24"/>
                <w:szCs w:val="24"/>
              </w:rPr>
              <w:t>2007</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号）。</w:t>
            </w:r>
          </w:p>
        </w:tc>
      </w:tr>
      <w:tr w:rsidR="004D6B48">
        <w:trPr>
          <w:cantSplit/>
          <w:trHeight w:val="3216"/>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17</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将招标文件技术参数、性能指标、商务、服务等要求中未明确的事项和供应商资格条件作为评分因素。</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号）第五十五条；《财政部关于加强政府采购货物和服务项目价格评审管理的通知》（财库〔</w:t>
            </w:r>
            <w:r>
              <w:rPr>
                <w:rFonts w:ascii="Times New Roman" w:eastAsia="仿宋_GB2312" w:hAnsi="Times New Roman" w:cs="Times New Roman"/>
                <w:color w:val="000000"/>
                <w:sz w:val="24"/>
                <w:szCs w:val="24"/>
              </w:rPr>
              <w:t>2007</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号）；《四川省财政厅关于进一步规范政府采购监管和执行的若干意见》（川财采〔</w:t>
            </w:r>
            <w:r>
              <w:rPr>
                <w:rFonts w:ascii="Times New Roman" w:eastAsia="仿宋_GB2312" w:hAnsi="Times New Roman" w:cs="Times New Roman"/>
                <w:color w:val="000000"/>
                <w:sz w:val="24"/>
                <w:szCs w:val="24"/>
              </w:rPr>
              <w:t>2013</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66</w:t>
            </w:r>
            <w:r>
              <w:rPr>
                <w:rFonts w:ascii="Times New Roman" w:eastAsia="仿宋_GB2312" w:hAnsi="Times New Roman" w:cs="仿宋_GB2312" w:hint="eastAsia"/>
                <w:color w:val="000000"/>
                <w:sz w:val="24"/>
                <w:szCs w:val="24"/>
              </w:rPr>
              <w:t>号）。</w:t>
            </w:r>
          </w:p>
        </w:tc>
      </w:tr>
      <w:tr w:rsidR="004D6B48">
        <w:trPr>
          <w:cantSplit/>
          <w:trHeight w:val="1857"/>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18</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评审因素未与技术、服务、商务要求相对应；使用</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优良中差</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不合理</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可行性</w:t>
            </w:r>
            <w:r>
              <w:rPr>
                <w:rFonts w:ascii="Times New Roman" w:eastAsia="仿宋_GB2312" w:hAnsi="Times New Roman" w:cs="Times New Roman"/>
                <w:color w:val="000000"/>
                <w:sz w:val="24"/>
                <w:szCs w:val="24"/>
              </w:rPr>
              <w:t>”</w:t>
            </w:r>
            <w:r>
              <w:rPr>
                <w:rFonts w:ascii="Times New Roman" w:eastAsia="仿宋_GB2312" w:hAnsi="Times New Roman" w:cs="仿宋_GB2312" w:hint="eastAsia"/>
                <w:color w:val="000000"/>
                <w:sz w:val="24"/>
                <w:szCs w:val="24"/>
              </w:rPr>
              <w:t>等没有明确评判标准的表述。</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《中华人民共和国政府采购法实施条例》第三十四条；《政府采购货物和服务招标投标管理办法》（财政部令第</w:t>
            </w:r>
            <w:r>
              <w:rPr>
                <w:rFonts w:ascii="Times New Roman" w:eastAsia="仿宋_GB2312" w:hAnsi="Times New Roman" w:cs="Times New Roman"/>
                <w:color w:val="000000"/>
                <w:sz w:val="24"/>
                <w:szCs w:val="24"/>
              </w:rPr>
              <w:t>87</w:t>
            </w:r>
            <w:r>
              <w:rPr>
                <w:rFonts w:ascii="Times New Roman" w:eastAsia="仿宋_GB2312" w:hAnsi="Times New Roman" w:cs="仿宋_GB2312" w:hint="eastAsia"/>
                <w:color w:val="000000"/>
                <w:sz w:val="24"/>
                <w:szCs w:val="24"/>
              </w:rPr>
              <w:t>号）第五十五条。</w:t>
            </w:r>
          </w:p>
        </w:tc>
      </w:tr>
      <w:tr w:rsidR="004D6B48">
        <w:trPr>
          <w:cantSplit/>
          <w:trHeight w:val="1244"/>
          <w:jc w:val="center"/>
        </w:trPr>
        <w:tc>
          <w:tcPr>
            <w:tcW w:w="540" w:type="pct"/>
            <w:shd w:val="clear" w:color="auto" w:fill="FFFFFF"/>
            <w:tcMar>
              <w:left w:w="57" w:type="dxa"/>
              <w:right w:w="57" w:type="dxa"/>
            </w:tcMar>
            <w:vAlign w:val="center"/>
          </w:tcPr>
          <w:p w:rsidR="004D6B48" w:rsidRDefault="009C0392">
            <w:pPr>
              <w:pStyle w:val="Other10"/>
              <w:spacing w:line="340" w:lineRule="exact"/>
              <w:ind w:firstLine="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19</w:t>
            </w:r>
          </w:p>
        </w:tc>
        <w:tc>
          <w:tcPr>
            <w:tcW w:w="2642"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装订、纸张、文件排序等非实质性的格式等作为符合性审查标准。</w:t>
            </w:r>
          </w:p>
        </w:tc>
        <w:tc>
          <w:tcPr>
            <w:tcW w:w="1818" w:type="pct"/>
            <w:shd w:val="clear" w:color="auto" w:fill="FFFFFF"/>
            <w:tcMar>
              <w:left w:w="57" w:type="dxa"/>
              <w:right w:w="57" w:type="dxa"/>
            </w:tcMar>
            <w:vAlign w:val="center"/>
          </w:tcPr>
          <w:p w:rsidR="004D6B48" w:rsidRDefault="009C0392">
            <w:pPr>
              <w:pStyle w:val="Other10"/>
              <w:spacing w:line="340" w:lineRule="exact"/>
              <w:ind w:firstLine="0"/>
              <w:jc w:val="both"/>
              <w:rPr>
                <w:rFonts w:ascii="Times New Roman" w:eastAsia="仿宋_GB2312" w:hAnsi="Times New Roman" w:cs="Calibri"/>
                <w:color w:val="000000"/>
                <w:sz w:val="24"/>
                <w:szCs w:val="24"/>
              </w:rPr>
            </w:pPr>
            <w:r>
              <w:rPr>
                <w:rFonts w:ascii="Times New Roman" w:eastAsia="仿宋_GB2312" w:hAnsi="Times New Roman" w:cs="仿宋_GB2312" w:hint="eastAsia"/>
                <w:color w:val="000000"/>
                <w:sz w:val="24"/>
                <w:szCs w:val="24"/>
              </w:rPr>
              <w:t>《关于促进政府采购公平竞争优化营商环境的通知（财库〔</w:t>
            </w:r>
            <w:r>
              <w:rPr>
                <w:rFonts w:ascii="Times New Roman" w:eastAsia="仿宋_GB2312" w:hAnsi="Times New Roman" w:cs="Times New Roman"/>
                <w:color w:val="000000"/>
                <w:sz w:val="24"/>
                <w:szCs w:val="24"/>
              </w:rPr>
              <w:t>2019</w:t>
            </w:r>
            <w:r>
              <w:rPr>
                <w:rFonts w:ascii="Times New Roman" w:eastAsia="仿宋_GB2312" w:hAnsi="Times New Roman" w:cs="仿宋_GB2312" w:hint="eastAsia"/>
                <w:color w:val="000000"/>
                <w:sz w:val="24"/>
                <w:szCs w:val="24"/>
                <w:lang w:eastAsia="zh-CN"/>
              </w:rPr>
              <w:t>〕</w:t>
            </w:r>
            <w:r>
              <w:rPr>
                <w:rFonts w:ascii="Times New Roman" w:eastAsia="仿宋_GB2312" w:hAnsi="Times New Roman" w:cs="Times New Roman"/>
                <w:color w:val="000000"/>
                <w:sz w:val="24"/>
                <w:szCs w:val="24"/>
              </w:rPr>
              <w:t>38</w:t>
            </w:r>
            <w:r>
              <w:rPr>
                <w:rFonts w:ascii="Times New Roman" w:eastAsia="仿宋_GB2312" w:hAnsi="Times New Roman" w:cs="仿宋_GB2312" w:hint="eastAsia"/>
                <w:color w:val="000000"/>
                <w:sz w:val="24"/>
                <w:szCs w:val="24"/>
              </w:rPr>
              <w:t>号）第三条。</w:t>
            </w:r>
          </w:p>
        </w:tc>
      </w:tr>
    </w:tbl>
    <w:p w:rsidR="004D6B48" w:rsidRDefault="004D6B48">
      <w:pPr>
        <w:spacing w:line="578" w:lineRule="exact"/>
        <w:ind w:firstLineChars="200" w:firstLine="640"/>
        <w:rPr>
          <w:rFonts w:ascii="Times New Roman" w:eastAsia="仿宋_GB2312" w:hAnsi="Times New Roman"/>
          <w:color w:val="000000"/>
          <w:sz w:val="32"/>
          <w:szCs w:val="32"/>
        </w:rPr>
      </w:pPr>
      <w:bookmarkStart w:id="1" w:name="bookmark45"/>
      <w:bookmarkEnd w:id="0"/>
      <w:bookmarkEnd w:id="1"/>
    </w:p>
    <w:sectPr w:rsidR="004D6B48" w:rsidSect="004D6B48">
      <w:footerReference w:type="default" r:id="rId8"/>
      <w:pgSz w:w="11906" w:h="16838"/>
      <w:pgMar w:top="2098" w:right="1474" w:bottom="1984" w:left="1587" w:header="851" w:footer="170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B08" w:rsidRDefault="00210B08" w:rsidP="004D6B48">
      <w:r>
        <w:separator/>
      </w:r>
    </w:p>
  </w:endnote>
  <w:endnote w:type="continuationSeparator" w:id="1">
    <w:p w:rsidR="00210B08" w:rsidRDefault="00210B08" w:rsidP="004D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CC" w:rsidRDefault="00E75FCC">
    <w:pPr>
      <w:pStyle w:val="a6"/>
      <w:ind w:right="360" w:firstLine="360"/>
      <w:rPr>
        <w:rFonts w:cs="Calibri"/>
      </w:rPr>
    </w:pPr>
    <w:r w:rsidRPr="005B4B34">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kQyYw5wEAAMcD&#10;AAAOAAAAAAAAAAEAIAAAAB4BAABkcnMvZTJvRG9jLnhtbFBLBQYAAAAABgAGAFkBAAB3BQAAAAA=&#10;" filled="f" stroked="f">
          <v:textbox style="mso-fit-shape-to-text:t" inset="0,0,0,0">
            <w:txbxContent>
              <w:p w:rsidR="00E75FCC" w:rsidRDefault="00E75FCC">
                <w:pPr>
                  <w:pStyle w:val="a6"/>
                  <w:ind w:leftChars="100" w:left="210" w:rightChars="100" w:right="210"/>
                  <w:rPr>
                    <w:rStyle w:val="a9"/>
                    <w:rFonts w:ascii="宋体" w:cs="Calibri"/>
                    <w:sz w:val="28"/>
                    <w:szCs w:val="28"/>
                  </w:rPr>
                </w:pPr>
                <w:r>
                  <w:rPr>
                    <w:rStyle w:val="a9"/>
                    <w:rFonts w:ascii="宋体" w:hAnsi="宋体" w:cs="宋体"/>
                    <w:sz w:val="28"/>
                    <w:szCs w:val="28"/>
                  </w:rPr>
                  <w:fldChar w:fldCharType="begin"/>
                </w:r>
                <w:r>
                  <w:rPr>
                    <w:rStyle w:val="a9"/>
                    <w:rFonts w:ascii="宋体" w:hAnsi="宋体" w:cs="宋体"/>
                    <w:sz w:val="28"/>
                    <w:szCs w:val="28"/>
                  </w:rPr>
                  <w:instrText xml:space="preserve">PAGE  </w:instrText>
                </w:r>
                <w:r>
                  <w:rPr>
                    <w:rStyle w:val="a9"/>
                    <w:rFonts w:ascii="宋体" w:hAnsi="宋体" w:cs="宋体"/>
                    <w:sz w:val="28"/>
                    <w:szCs w:val="28"/>
                  </w:rPr>
                  <w:fldChar w:fldCharType="separate"/>
                </w:r>
                <w:r w:rsidR="00567777">
                  <w:rPr>
                    <w:rStyle w:val="a9"/>
                    <w:rFonts w:ascii="宋体" w:hAnsi="宋体" w:cs="宋体"/>
                    <w:noProof/>
                    <w:sz w:val="28"/>
                    <w:szCs w:val="28"/>
                  </w:rPr>
                  <w:t>- 4 -</w:t>
                </w:r>
                <w:r>
                  <w:rPr>
                    <w:rStyle w:val="a9"/>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B08" w:rsidRDefault="00210B08" w:rsidP="004D6B48">
      <w:r>
        <w:separator/>
      </w:r>
    </w:p>
  </w:footnote>
  <w:footnote w:type="continuationSeparator" w:id="1">
    <w:p w:rsidR="00210B08" w:rsidRDefault="00210B08" w:rsidP="004D6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CFD8B4"/>
    <w:multiLevelType w:val="singleLevel"/>
    <w:tmpl w:val="BBCFD8B4"/>
    <w:lvl w:ilvl="0">
      <w:start w:val="4"/>
      <w:numFmt w:val="chineseCounting"/>
      <w:suff w:val="nothing"/>
      <w:lvlText w:val="%1、"/>
      <w:lvlJc w:val="left"/>
      <w:rPr>
        <w:rFonts w:hint="eastAsia"/>
      </w:rPr>
    </w:lvl>
  </w:abstractNum>
  <w:abstractNum w:abstractNumId="1">
    <w:nsid w:val="4CB35A50"/>
    <w:multiLevelType w:val="singleLevel"/>
    <w:tmpl w:val="4CB35A5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F2A"/>
    <w:rsid w:val="00015AED"/>
    <w:rsid w:val="000531E8"/>
    <w:rsid w:val="00053B80"/>
    <w:rsid w:val="00056039"/>
    <w:rsid w:val="00086553"/>
    <w:rsid w:val="000B7208"/>
    <w:rsid w:val="00107F23"/>
    <w:rsid w:val="001A4DEC"/>
    <w:rsid w:val="00210B08"/>
    <w:rsid w:val="002423E1"/>
    <w:rsid w:val="00275A93"/>
    <w:rsid w:val="00312907"/>
    <w:rsid w:val="003A1CA1"/>
    <w:rsid w:val="003B560A"/>
    <w:rsid w:val="003E151D"/>
    <w:rsid w:val="00461AB1"/>
    <w:rsid w:val="00490742"/>
    <w:rsid w:val="004C1A1C"/>
    <w:rsid w:val="004D6B48"/>
    <w:rsid w:val="004E23D6"/>
    <w:rsid w:val="005030E7"/>
    <w:rsid w:val="005401C7"/>
    <w:rsid w:val="00567777"/>
    <w:rsid w:val="005B4B34"/>
    <w:rsid w:val="00705CD1"/>
    <w:rsid w:val="00716938"/>
    <w:rsid w:val="007338FE"/>
    <w:rsid w:val="00741615"/>
    <w:rsid w:val="00796531"/>
    <w:rsid w:val="00797892"/>
    <w:rsid w:val="007B53C0"/>
    <w:rsid w:val="008E721B"/>
    <w:rsid w:val="00917738"/>
    <w:rsid w:val="00950080"/>
    <w:rsid w:val="009A2497"/>
    <w:rsid w:val="009B32A6"/>
    <w:rsid w:val="009C0392"/>
    <w:rsid w:val="009C5B44"/>
    <w:rsid w:val="00A10EC5"/>
    <w:rsid w:val="00A60E2C"/>
    <w:rsid w:val="00A801DB"/>
    <w:rsid w:val="00AA16B2"/>
    <w:rsid w:val="00AC68D0"/>
    <w:rsid w:val="00AD3016"/>
    <w:rsid w:val="00AF1427"/>
    <w:rsid w:val="00B2528F"/>
    <w:rsid w:val="00BD1369"/>
    <w:rsid w:val="00BF3A62"/>
    <w:rsid w:val="00C01428"/>
    <w:rsid w:val="00C1154E"/>
    <w:rsid w:val="00C228E7"/>
    <w:rsid w:val="00C2614C"/>
    <w:rsid w:val="00D00733"/>
    <w:rsid w:val="00D54A1C"/>
    <w:rsid w:val="00D66110"/>
    <w:rsid w:val="00DB2F2A"/>
    <w:rsid w:val="00E33F3F"/>
    <w:rsid w:val="00E36C56"/>
    <w:rsid w:val="00E75FCC"/>
    <w:rsid w:val="00EB70C7"/>
    <w:rsid w:val="00FB2513"/>
    <w:rsid w:val="05CE38B1"/>
    <w:rsid w:val="14207702"/>
    <w:rsid w:val="1C6D056A"/>
    <w:rsid w:val="1ECA3A6C"/>
    <w:rsid w:val="2D4F21C2"/>
    <w:rsid w:val="2EA470C7"/>
    <w:rsid w:val="48884626"/>
    <w:rsid w:val="498D17E5"/>
    <w:rsid w:val="4FF13FCB"/>
    <w:rsid w:val="511D2B7B"/>
    <w:rsid w:val="515B6AB0"/>
    <w:rsid w:val="51F702A8"/>
    <w:rsid w:val="53033A3E"/>
    <w:rsid w:val="54BE5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6B48"/>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qFormat/>
    <w:rsid w:val="004D6B48"/>
    <w:pPr>
      <w:spacing w:after="120"/>
    </w:pPr>
  </w:style>
  <w:style w:type="paragraph" w:styleId="a4">
    <w:name w:val="annotation text"/>
    <w:basedOn w:val="a"/>
    <w:link w:val="Char0"/>
    <w:uiPriority w:val="99"/>
    <w:semiHidden/>
    <w:rsid w:val="004D6B48"/>
    <w:pPr>
      <w:jc w:val="left"/>
    </w:pPr>
    <w:rPr>
      <w:rFonts w:ascii="Times New Roman" w:hAnsi="Times New Roman" w:cs="Times New Roman"/>
      <w:color w:val="000000"/>
      <w:kern w:val="0"/>
      <w:sz w:val="24"/>
      <w:szCs w:val="24"/>
      <w:lang w:eastAsia="en-US"/>
    </w:rPr>
  </w:style>
  <w:style w:type="paragraph" w:styleId="a5">
    <w:name w:val="Balloon Text"/>
    <w:basedOn w:val="a"/>
    <w:link w:val="Char1"/>
    <w:uiPriority w:val="99"/>
    <w:semiHidden/>
    <w:qFormat/>
    <w:rsid w:val="004D6B48"/>
    <w:pPr>
      <w:jc w:val="left"/>
    </w:pPr>
    <w:rPr>
      <w:rFonts w:ascii="Times New Roman" w:hAnsi="Times New Roman" w:cs="Times New Roman"/>
      <w:color w:val="000000"/>
      <w:kern w:val="0"/>
      <w:sz w:val="18"/>
      <w:szCs w:val="18"/>
      <w:lang w:eastAsia="en-US"/>
    </w:rPr>
  </w:style>
  <w:style w:type="paragraph" w:styleId="a6">
    <w:name w:val="footer"/>
    <w:basedOn w:val="a"/>
    <w:link w:val="Char2"/>
    <w:uiPriority w:val="99"/>
    <w:qFormat/>
    <w:rsid w:val="004D6B48"/>
    <w:pPr>
      <w:tabs>
        <w:tab w:val="center" w:pos="4153"/>
        <w:tab w:val="right" w:pos="8306"/>
      </w:tabs>
      <w:snapToGrid w:val="0"/>
      <w:jc w:val="left"/>
    </w:pPr>
    <w:rPr>
      <w:rFonts w:ascii="Times New Roman" w:hAnsi="Times New Roman" w:cs="Times New Roman"/>
      <w:color w:val="000000"/>
      <w:kern w:val="0"/>
      <w:sz w:val="18"/>
      <w:szCs w:val="18"/>
      <w:lang w:eastAsia="en-US"/>
    </w:rPr>
  </w:style>
  <w:style w:type="paragraph" w:styleId="a7">
    <w:name w:val="header"/>
    <w:basedOn w:val="a"/>
    <w:link w:val="Char3"/>
    <w:uiPriority w:val="99"/>
    <w:rsid w:val="004D6B4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color w:val="000000"/>
      <w:kern w:val="0"/>
      <w:sz w:val="18"/>
      <w:szCs w:val="18"/>
      <w:lang w:eastAsia="en-US"/>
    </w:rPr>
  </w:style>
  <w:style w:type="paragraph" w:styleId="a8">
    <w:name w:val="annotation subject"/>
    <w:basedOn w:val="a4"/>
    <w:next w:val="a4"/>
    <w:link w:val="Char4"/>
    <w:uiPriority w:val="99"/>
    <w:semiHidden/>
    <w:rsid w:val="004D6B48"/>
    <w:rPr>
      <w:b/>
      <w:bCs/>
    </w:rPr>
  </w:style>
  <w:style w:type="character" w:styleId="a9">
    <w:name w:val="page number"/>
    <w:basedOn w:val="a1"/>
    <w:uiPriority w:val="99"/>
    <w:rsid w:val="004D6B48"/>
  </w:style>
  <w:style w:type="character" w:customStyle="1" w:styleId="Char">
    <w:name w:val="正文文本 Char"/>
    <w:basedOn w:val="a1"/>
    <w:link w:val="a0"/>
    <w:uiPriority w:val="99"/>
    <w:semiHidden/>
    <w:locked/>
    <w:rsid w:val="004D6B48"/>
    <w:rPr>
      <w:rFonts w:ascii="Calibri" w:eastAsia="宋体" w:hAnsi="Calibri" w:cs="Calibri"/>
      <w:sz w:val="24"/>
      <w:szCs w:val="24"/>
    </w:rPr>
  </w:style>
  <w:style w:type="character" w:customStyle="1" w:styleId="Char0">
    <w:name w:val="批注文字 Char"/>
    <w:basedOn w:val="a1"/>
    <w:link w:val="a4"/>
    <w:uiPriority w:val="99"/>
    <w:locked/>
    <w:rsid w:val="004D6B48"/>
    <w:rPr>
      <w:rFonts w:eastAsia="宋体"/>
      <w:color w:val="000000"/>
      <w:sz w:val="24"/>
      <w:szCs w:val="24"/>
      <w:lang w:val="en-US" w:eastAsia="en-US"/>
    </w:rPr>
  </w:style>
  <w:style w:type="character" w:customStyle="1" w:styleId="Char1">
    <w:name w:val="批注框文本 Char"/>
    <w:basedOn w:val="a1"/>
    <w:link w:val="a5"/>
    <w:uiPriority w:val="99"/>
    <w:qFormat/>
    <w:locked/>
    <w:rsid w:val="004D6B48"/>
    <w:rPr>
      <w:rFonts w:eastAsia="宋体"/>
      <w:color w:val="000000"/>
      <w:sz w:val="18"/>
      <w:szCs w:val="18"/>
      <w:lang w:val="en-US" w:eastAsia="en-US"/>
    </w:rPr>
  </w:style>
  <w:style w:type="character" w:customStyle="1" w:styleId="Char2">
    <w:name w:val="页脚 Char"/>
    <w:basedOn w:val="a1"/>
    <w:link w:val="a6"/>
    <w:uiPriority w:val="99"/>
    <w:locked/>
    <w:rsid w:val="004D6B48"/>
    <w:rPr>
      <w:rFonts w:eastAsia="宋体"/>
      <w:color w:val="000000"/>
      <w:sz w:val="18"/>
      <w:szCs w:val="18"/>
      <w:lang w:val="en-US" w:eastAsia="en-US"/>
    </w:rPr>
  </w:style>
  <w:style w:type="character" w:customStyle="1" w:styleId="Char3">
    <w:name w:val="页眉 Char"/>
    <w:basedOn w:val="a1"/>
    <w:link w:val="a7"/>
    <w:uiPriority w:val="99"/>
    <w:semiHidden/>
    <w:locked/>
    <w:rsid w:val="004D6B48"/>
    <w:rPr>
      <w:sz w:val="18"/>
      <w:szCs w:val="18"/>
    </w:rPr>
  </w:style>
  <w:style w:type="character" w:customStyle="1" w:styleId="Char4">
    <w:name w:val="批注主题 Char"/>
    <w:basedOn w:val="Char0"/>
    <w:link w:val="a8"/>
    <w:uiPriority w:val="99"/>
    <w:locked/>
    <w:rsid w:val="004D6B48"/>
    <w:rPr>
      <w:b/>
      <w:bCs/>
    </w:rPr>
  </w:style>
  <w:style w:type="character" w:customStyle="1" w:styleId="Bodytext4">
    <w:name w:val="Body text|4_"/>
    <w:basedOn w:val="a1"/>
    <w:link w:val="Bodytext40"/>
    <w:uiPriority w:val="99"/>
    <w:qFormat/>
    <w:locked/>
    <w:rsid w:val="004D6B48"/>
    <w:rPr>
      <w:rFonts w:ascii="宋体" w:eastAsia="宋体" w:hAnsi="宋体" w:cs="宋体"/>
      <w:sz w:val="13"/>
      <w:szCs w:val="13"/>
      <w:lang w:val="zh-TW" w:eastAsia="zh-TW"/>
    </w:rPr>
  </w:style>
  <w:style w:type="paragraph" w:customStyle="1" w:styleId="Bodytext40">
    <w:name w:val="Body text|4"/>
    <w:basedOn w:val="a"/>
    <w:link w:val="Bodytext4"/>
    <w:uiPriority w:val="99"/>
    <w:rsid w:val="004D6B48"/>
    <w:pPr>
      <w:spacing w:line="221" w:lineRule="exact"/>
      <w:jc w:val="left"/>
    </w:pPr>
    <w:rPr>
      <w:rFonts w:ascii="宋体" w:hAnsi="宋体" w:cs="宋体"/>
      <w:kern w:val="0"/>
      <w:sz w:val="13"/>
      <w:szCs w:val="13"/>
      <w:lang w:val="zh-TW" w:eastAsia="zh-TW"/>
    </w:rPr>
  </w:style>
  <w:style w:type="character" w:customStyle="1" w:styleId="Bodytext6">
    <w:name w:val="Body text|6_"/>
    <w:basedOn w:val="a1"/>
    <w:link w:val="Bodytext60"/>
    <w:uiPriority w:val="99"/>
    <w:locked/>
    <w:rsid w:val="004D6B48"/>
    <w:rPr>
      <w:rFonts w:ascii="宋体" w:eastAsia="宋体" w:hAnsi="宋体" w:cs="宋体"/>
      <w:color w:val="DE1926"/>
      <w:sz w:val="86"/>
      <w:szCs w:val="86"/>
      <w:lang w:val="zh-TW" w:eastAsia="zh-TW"/>
    </w:rPr>
  </w:style>
  <w:style w:type="paragraph" w:customStyle="1" w:styleId="Bodytext60">
    <w:name w:val="Body text|6"/>
    <w:basedOn w:val="a"/>
    <w:link w:val="Bodytext6"/>
    <w:uiPriority w:val="99"/>
    <w:rsid w:val="004D6B48"/>
    <w:pPr>
      <w:spacing w:line="851" w:lineRule="exact"/>
      <w:jc w:val="left"/>
    </w:pPr>
    <w:rPr>
      <w:rFonts w:ascii="宋体" w:hAnsi="宋体" w:cs="宋体"/>
      <w:color w:val="DE1926"/>
      <w:kern w:val="0"/>
      <w:sz w:val="86"/>
      <w:szCs w:val="86"/>
      <w:lang w:val="zh-TW" w:eastAsia="zh-TW"/>
    </w:rPr>
  </w:style>
  <w:style w:type="character" w:customStyle="1" w:styleId="Other1">
    <w:name w:val="Other|1_"/>
    <w:basedOn w:val="a1"/>
    <w:link w:val="Other10"/>
    <w:uiPriority w:val="99"/>
    <w:qFormat/>
    <w:locked/>
    <w:rsid w:val="004D6B48"/>
    <w:rPr>
      <w:rFonts w:ascii="宋体" w:eastAsia="宋体" w:hAnsi="宋体" w:cs="宋体"/>
      <w:sz w:val="28"/>
      <w:szCs w:val="28"/>
      <w:lang w:val="zh-TW" w:eastAsia="zh-TW"/>
    </w:rPr>
  </w:style>
  <w:style w:type="paragraph" w:customStyle="1" w:styleId="Other10">
    <w:name w:val="Other|1"/>
    <w:basedOn w:val="a"/>
    <w:link w:val="Other1"/>
    <w:uiPriority w:val="99"/>
    <w:rsid w:val="004D6B48"/>
    <w:pPr>
      <w:spacing w:line="454" w:lineRule="auto"/>
      <w:ind w:firstLine="400"/>
      <w:jc w:val="left"/>
    </w:pPr>
    <w:rPr>
      <w:rFonts w:ascii="宋体" w:hAnsi="宋体" w:cs="宋体"/>
      <w:kern w:val="0"/>
      <w:sz w:val="28"/>
      <w:szCs w:val="28"/>
      <w:lang w:val="zh-TW" w:eastAsia="zh-TW"/>
    </w:rPr>
  </w:style>
  <w:style w:type="character" w:customStyle="1" w:styleId="Heading11">
    <w:name w:val="Heading #1|1_"/>
    <w:basedOn w:val="a1"/>
    <w:link w:val="Heading110"/>
    <w:uiPriority w:val="99"/>
    <w:locked/>
    <w:rsid w:val="004D6B48"/>
    <w:rPr>
      <w:rFonts w:ascii="宋体" w:eastAsia="宋体" w:hAnsi="宋体" w:cs="宋体"/>
      <w:sz w:val="44"/>
      <w:szCs w:val="44"/>
      <w:lang w:val="zh-TW" w:eastAsia="zh-TW"/>
    </w:rPr>
  </w:style>
  <w:style w:type="paragraph" w:customStyle="1" w:styleId="Heading110">
    <w:name w:val="Heading #1|1"/>
    <w:basedOn w:val="a"/>
    <w:link w:val="Heading11"/>
    <w:uiPriority w:val="99"/>
    <w:qFormat/>
    <w:rsid w:val="004D6B48"/>
    <w:pPr>
      <w:spacing w:after="580" w:line="623" w:lineRule="exact"/>
      <w:jc w:val="center"/>
      <w:outlineLvl w:val="0"/>
    </w:pPr>
    <w:rPr>
      <w:rFonts w:ascii="宋体" w:hAnsi="宋体" w:cs="宋体"/>
      <w:kern w:val="0"/>
      <w:sz w:val="44"/>
      <w:szCs w:val="44"/>
      <w:lang w:val="zh-TW" w:eastAsia="zh-TW"/>
    </w:rPr>
  </w:style>
  <w:style w:type="character" w:customStyle="1" w:styleId="Headerorfooter2">
    <w:name w:val="Header or footer|2_"/>
    <w:basedOn w:val="a1"/>
    <w:link w:val="Headerorfooter20"/>
    <w:uiPriority w:val="99"/>
    <w:qFormat/>
    <w:locked/>
    <w:rsid w:val="004D6B48"/>
    <w:rPr>
      <w:lang w:val="zh-TW" w:eastAsia="zh-TW"/>
    </w:rPr>
  </w:style>
  <w:style w:type="paragraph" w:customStyle="1" w:styleId="Headerorfooter20">
    <w:name w:val="Header or footer|2"/>
    <w:basedOn w:val="a"/>
    <w:link w:val="Headerorfooter2"/>
    <w:uiPriority w:val="99"/>
    <w:qFormat/>
    <w:rsid w:val="004D6B48"/>
    <w:pPr>
      <w:jc w:val="left"/>
    </w:pPr>
    <w:rPr>
      <w:rFonts w:ascii="Times New Roman" w:hAnsi="Times New Roman" w:cs="Times New Roman"/>
      <w:kern w:val="0"/>
      <w:sz w:val="20"/>
      <w:szCs w:val="20"/>
      <w:lang w:val="zh-TW" w:eastAsia="zh-TW"/>
    </w:rPr>
  </w:style>
  <w:style w:type="character" w:customStyle="1" w:styleId="Bodytext3">
    <w:name w:val="Body text|3_"/>
    <w:basedOn w:val="a1"/>
    <w:link w:val="Bodytext30"/>
    <w:uiPriority w:val="99"/>
    <w:qFormat/>
    <w:locked/>
    <w:rsid w:val="004D6B48"/>
    <w:rPr>
      <w:sz w:val="32"/>
      <w:szCs w:val="32"/>
    </w:rPr>
  </w:style>
  <w:style w:type="paragraph" w:customStyle="1" w:styleId="Bodytext30">
    <w:name w:val="Body text|3"/>
    <w:basedOn w:val="a"/>
    <w:link w:val="Bodytext3"/>
    <w:uiPriority w:val="99"/>
    <w:qFormat/>
    <w:rsid w:val="004D6B48"/>
    <w:pPr>
      <w:spacing w:after="470"/>
      <w:jc w:val="left"/>
    </w:pPr>
    <w:rPr>
      <w:rFonts w:ascii="Times New Roman" w:hAnsi="Times New Roman" w:cs="Times New Roman"/>
      <w:kern w:val="0"/>
      <w:sz w:val="32"/>
      <w:szCs w:val="32"/>
    </w:rPr>
  </w:style>
  <w:style w:type="character" w:customStyle="1" w:styleId="Tablecaption1">
    <w:name w:val="Table caption|1_"/>
    <w:basedOn w:val="a1"/>
    <w:link w:val="Tablecaption10"/>
    <w:uiPriority w:val="99"/>
    <w:qFormat/>
    <w:locked/>
    <w:rsid w:val="004D6B48"/>
    <w:rPr>
      <w:rFonts w:ascii="宋体" w:eastAsia="宋体" w:hAnsi="宋体" w:cs="宋体"/>
      <w:sz w:val="28"/>
      <w:szCs w:val="28"/>
      <w:lang w:val="zh-TW" w:eastAsia="zh-TW"/>
    </w:rPr>
  </w:style>
  <w:style w:type="paragraph" w:customStyle="1" w:styleId="Tablecaption10">
    <w:name w:val="Table caption|1"/>
    <w:basedOn w:val="a"/>
    <w:link w:val="Tablecaption1"/>
    <w:uiPriority w:val="99"/>
    <w:rsid w:val="004D6B48"/>
    <w:pPr>
      <w:jc w:val="left"/>
    </w:pPr>
    <w:rPr>
      <w:rFonts w:ascii="宋体" w:hAnsi="宋体" w:cs="宋体"/>
      <w:kern w:val="0"/>
      <w:sz w:val="28"/>
      <w:szCs w:val="28"/>
      <w:lang w:val="zh-TW" w:eastAsia="zh-TW"/>
    </w:rPr>
  </w:style>
  <w:style w:type="character" w:customStyle="1" w:styleId="Headerorfooter1">
    <w:name w:val="Header or footer|1_"/>
    <w:basedOn w:val="a1"/>
    <w:link w:val="Headerorfooter10"/>
    <w:uiPriority w:val="99"/>
    <w:qFormat/>
    <w:locked/>
    <w:rsid w:val="004D6B48"/>
  </w:style>
  <w:style w:type="paragraph" w:customStyle="1" w:styleId="Headerorfooter10">
    <w:name w:val="Header or footer|1"/>
    <w:basedOn w:val="a"/>
    <w:link w:val="Headerorfooter1"/>
    <w:uiPriority w:val="99"/>
    <w:qFormat/>
    <w:rsid w:val="004D6B48"/>
    <w:pPr>
      <w:jc w:val="left"/>
    </w:pPr>
    <w:rPr>
      <w:rFonts w:ascii="Times New Roman" w:hAnsi="Times New Roman" w:cs="Times New Roman"/>
      <w:kern w:val="0"/>
      <w:sz w:val="20"/>
      <w:szCs w:val="20"/>
    </w:rPr>
  </w:style>
  <w:style w:type="character" w:customStyle="1" w:styleId="Picturecaption1">
    <w:name w:val="Picture caption|1_"/>
    <w:basedOn w:val="a1"/>
    <w:link w:val="Picturecaption10"/>
    <w:uiPriority w:val="99"/>
    <w:qFormat/>
    <w:locked/>
    <w:rsid w:val="004D6B48"/>
    <w:rPr>
      <w:rFonts w:ascii="宋体" w:eastAsia="宋体" w:hAnsi="宋体" w:cs="宋体"/>
      <w:sz w:val="28"/>
      <w:szCs w:val="28"/>
      <w:lang w:val="zh-TW" w:eastAsia="zh-TW"/>
    </w:rPr>
  </w:style>
  <w:style w:type="paragraph" w:customStyle="1" w:styleId="Picturecaption10">
    <w:name w:val="Picture caption|1"/>
    <w:basedOn w:val="a"/>
    <w:link w:val="Picturecaption1"/>
    <w:uiPriority w:val="99"/>
    <w:qFormat/>
    <w:rsid w:val="004D6B48"/>
    <w:pPr>
      <w:jc w:val="left"/>
    </w:pPr>
    <w:rPr>
      <w:rFonts w:ascii="宋体" w:hAnsi="宋体" w:cs="宋体"/>
      <w:kern w:val="0"/>
      <w:sz w:val="28"/>
      <w:szCs w:val="28"/>
      <w:lang w:val="zh-TW" w:eastAsia="zh-TW"/>
    </w:rPr>
  </w:style>
  <w:style w:type="character" w:customStyle="1" w:styleId="Bodytext2">
    <w:name w:val="Body text|2_"/>
    <w:basedOn w:val="a1"/>
    <w:link w:val="Bodytext20"/>
    <w:uiPriority w:val="99"/>
    <w:qFormat/>
    <w:locked/>
    <w:rsid w:val="004D6B48"/>
    <w:rPr>
      <w:rFonts w:ascii="宋体" w:eastAsia="宋体" w:hAnsi="宋体" w:cs="宋体"/>
      <w:sz w:val="32"/>
      <w:szCs w:val="32"/>
      <w:lang w:val="zh-TW" w:eastAsia="zh-TW"/>
    </w:rPr>
  </w:style>
  <w:style w:type="paragraph" w:customStyle="1" w:styleId="Bodytext20">
    <w:name w:val="Body text|2"/>
    <w:basedOn w:val="a"/>
    <w:link w:val="Bodytext2"/>
    <w:uiPriority w:val="99"/>
    <w:qFormat/>
    <w:rsid w:val="004D6B48"/>
    <w:pPr>
      <w:spacing w:line="603" w:lineRule="exact"/>
      <w:ind w:firstLine="650"/>
      <w:jc w:val="left"/>
    </w:pPr>
    <w:rPr>
      <w:rFonts w:ascii="宋体" w:hAnsi="宋体" w:cs="宋体"/>
      <w:kern w:val="0"/>
      <w:sz w:val="32"/>
      <w:szCs w:val="32"/>
      <w:lang w:val="zh-TW" w:eastAsia="zh-TW"/>
    </w:rPr>
  </w:style>
  <w:style w:type="character" w:customStyle="1" w:styleId="Other2">
    <w:name w:val="Other|2_"/>
    <w:basedOn w:val="a1"/>
    <w:link w:val="Other20"/>
    <w:uiPriority w:val="99"/>
    <w:qFormat/>
    <w:locked/>
    <w:rsid w:val="004D6B48"/>
    <w:rPr>
      <w:rFonts w:ascii="宋体" w:eastAsia="宋体" w:hAnsi="宋体" w:cs="宋体"/>
      <w:color w:val="DE1926"/>
      <w:sz w:val="86"/>
      <w:szCs w:val="86"/>
      <w:lang w:val="zh-TW" w:eastAsia="zh-TW"/>
    </w:rPr>
  </w:style>
  <w:style w:type="paragraph" w:customStyle="1" w:styleId="Other20">
    <w:name w:val="Other|2"/>
    <w:basedOn w:val="a"/>
    <w:link w:val="Other2"/>
    <w:uiPriority w:val="99"/>
    <w:qFormat/>
    <w:rsid w:val="004D6B48"/>
    <w:pPr>
      <w:spacing w:line="192" w:lineRule="auto"/>
      <w:jc w:val="left"/>
    </w:pPr>
    <w:rPr>
      <w:rFonts w:ascii="宋体" w:hAnsi="宋体" w:cs="宋体"/>
      <w:color w:val="DE1926"/>
      <w:kern w:val="0"/>
      <w:sz w:val="86"/>
      <w:szCs w:val="86"/>
      <w:lang w:val="zh-TW" w:eastAsia="zh-TW"/>
    </w:rPr>
  </w:style>
  <w:style w:type="character" w:customStyle="1" w:styleId="Bodytext5">
    <w:name w:val="Body text|5_"/>
    <w:basedOn w:val="a1"/>
    <w:link w:val="Bodytext50"/>
    <w:uiPriority w:val="99"/>
    <w:qFormat/>
    <w:locked/>
    <w:rsid w:val="004D6B48"/>
    <w:rPr>
      <w:lang w:val="zh-TW" w:eastAsia="zh-TW"/>
    </w:rPr>
  </w:style>
  <w:style w:type="paragraph" w:customStyle="1" w:styleId="Bodytext50">
    <w:name w:val="Body text|5"/>
    <w:basedOn w:val="a"/>
    <w:link w:val="Bodytext5"/>
    <w:uiPriority w:val="99"/>
    <w:qFormat/>
    <w:rsid w:val="004D6B48"/>
    <w:pPr>
      <w:spacing w:after="100"/>
      <w:jc w:val="right"/>
    </w:pPr>
    <w:rPr>
      <w:rFonts w:ascii="Times New Roman" w:hAnsi="Times New Roman" w:cs="Times New Roman"/>
      <w:kern w:val="0"/>
      <w:sz w:val="20"/>
      <w:szCs w:val="20"/>
      <w:lang w:val="zh-TW" w:eastAsia="zh-TW"/>
    </w:rPr>
  </w:style>
  <w:style w:type="character" w:customStyle="1" w:styleId="Bodytext7">
    <w:name w:val="Body text|7_"/>
    <w:basedOn w:val="a1"/>
    <w:link w:val="Bodytext70"/>
    <w:uiPriority w:val="99"/>
    <w:qFormat/>
    <w:locked/>
    <w:rsid w:val="004D6B48"/>
    <w:rPr>
      <w:sz w:val="13"/>
      <w:szCs w:val="13"/>
      <w:lang w:val="zh-TW" w:eastAsia="zh-TW"/>
    </w:rPr>
  </w:style>
  <w:style w:type="paragraph" w:customStyle="1" w:styleId="Bodytext70">
    <w:name w:val="Body text|7"/>
    <w:basedOn w:val="a"/>
    <w:link w:val="Bodytext7"/>
    <w:uiPriority w:val="99"/>
    <w:qFormat/>
    <w:rsid w:val="004D6B48"/>
    <w:pPr>
      <w:spacing w:line="230" w:lineRule="auto"/>
      <w:jc w:val="center"/>
    </w:pPr>
    <w:rPr>
      <w:rFonts w:ascii="Times New Roman" w:hAnsi="Times New Roman" w:cs="Times New Roman"/>
      <w:kern w:val="0"/>
      <w:sz w:val="13"/>
      <w:szCs w:val="13"/>
      <w:lang w:val="zh-TW" w:eastAsia="zh-TW"/>
    </w:rPr>
  </w:style>
  <w:style w:type="character" w:customStyle="1" w:styleId="Bodytext1">
    <w:name w:val="Body text|1_"/>
    <w:basedOn w:val="a1"/>
    <w:link w:val="Bodytext10"/>
    <w:uiPriority w:val="99"/>
    <w:qFormat/>
    <w:locked/>
    <w:rsid w:val="004D6B48"/>
    <w:rPr>
      <w:rFonts w:ascii="宋体" w:eastAsia="宋体" w:hAnsi="宋体" w:cs="宋体"/>
      <w:sz w:val="28"/>
      <w:szCs w:val="28"/>
      <w:lang w:val="zh-TW" w:eastAsia="zh-TW"/>
    </w:rPr>
  </w:style>
  <w:style w:type="paragraph" w:customStyle="1" w:styleId="Bodytext10">
    <w:name w:val="Body text|1"/>
    <w:basedOn w:val="a"/>
    <w:link w:val="Bodytext1"/>
    <w:uiPriority w:val="99"/>
    <w:qFormat/>
    <w:rsid w:val="004D6B48"/>
    <w:pPr>
      <w:spacing w:line="454" w:lineRule="auto"/>
      <w:ind w:firstLine="400"/>
      <w:jc w:val="left"/>
    </w:pPr>
    <w:rPr>
      <w:rFonts w:ascii="宋体" w:hAnsi="宋体" w:cs="宋体"/>
      <w:kern w:val="0"/>
      <w:sz w:val="28"/>
      <w:szCs w:val="28"/>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437</Words>
  <Characters>2491</Characters>
  <Application>Microsoft Office Word</Application>
  <DocSecurity>0</DocSecurity>
  <Lines>20</Lines>
  <Paragraphs>5</Paragraphs>
  <ScaleCrop>false</ScaleCrop>
  <Company>CHINA</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达州市公共资源交易服务中心文件</dc:title>
  <dc:creator>NTKO</dc:creator>
  <cp:lastModifiedBy>NTKO</cp:lastModifiedBy>
  <cp:revision>3</cp:revision>
  <cp:lastPrinted>2021-10-09T08:06:00Z</cp:lastPrinted>
  <dcterms:created xsi:type="dcterms:W3CDTF">2021-10-18T02:46:00Z</dcterms:created>
  <dcterms:modified xsi:type="dcterms:W3CDTF">2021-10-18T03:07:00Z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953F5EDF2D7F41DAA3AEBEC36AFB340F</vt:lpwstr>
  </property>
</Properties>
</file>