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1080" w:lineRule="exact"/>
        <w:jc w:val="center"/>
        <w:rPr>
          <w:rFonts w:eastAsia="方正小标宋简体"/>
          <w:kern w:val="0"/>
          <w:sz w:val="84"/>
          <w:szCs w:val="84"/>
          <w:lang w:val="zh-CN"/>
        </w:rPr>
      </w:pPr>
      <w:bookmarkStart w:id="0" w:name="OLE_LINK4"/>
      <w:r>
        <w:rPr>
          <w:rFonts w:eastAsia="方正小标宋简体"/>
          <w:kern w:val="0"/>
          <w:sz w:val="84"/>
          <w:szCs w:val="84"/>
          <w:lang w:val="zh-CN"/>
        </w:rPr>
        <w:t>政府采购</w:t>
      </w:r>
    </w:p>
    <w:p>
      <w:pPr>
        <w:autoSpaceDE w:val="0"/>
        <w:autoSpaceDN w:val="0"/>
        <w:adjustRightInd w:val="0"/>
        <w:spacing w:line="1080" w:lineRule="exact"/>
        <w:jc w:val="center"/>
        <w:rPr>
          <w:rFonts w:eastAsia="方正小标宋简体"/>
          <w:kern w:val="0"/>
          <w:sz w:val="84"/>
          <w:szCs w:val="84"/>
        </w:rPr>
      </w:pPr>
      <w:r>
        <w:rPr>
          <w:rFonts w:hint="eastAsia" w:eastAsia="方正小标宋简体"/>
          <w:kern w:val="0"/>
          <w:sz w:val="84"/>
          <w:szCs w:val="84"/>
        </w:rPr>
        <w:t>在线开标系统</w:t>
      </w:r>
    </w:p>
    <w:p>
      <w:pPr>
        <w:autoSpaceDE w:val="0"/>
        <w:autoSpaceDN w:val="0"/>
        <w:adjustRightInd w:val="0"/>
        <w:spacing w:line="1080" w:lineRule="exact"/>
        <w:jc w:val="center"/>
        <w:rPr>
          <w:rFonts w:eastAsia="方正小标宋简体"/>
          <w:kern w:val="0"/>
          <w:sz w:val="84"/>
          <w:szCs w:val="84"/>
        </w:rPr>
      </w:pPr>
    </w:p>
    <w:p>
      <w:pPr>
        <w:autoSpaceDE w:val="0"/>
        <w:autoSpaceDN w:val="0"/>
        <w:adjustRightInd w:val="0"/>
        <w:spacing w:line="1080" w:lineRule="exact"/>
        <w:jc w:val="center"/>
        <w:rPr>
          <w:rFonts w:eastAsia="方正小标宋简体"/>
          <w:kern w:val="0"/>
          <w:sz w:val="84"/>
          <w:szCs w:val="84"/>
          <w:lang w:val="zh-CN"/>
        </w:rPr>
      </w:pPr>
      <w:r>
        <w:rPr>
          <w:rFonts w:hint="eastAsia" w:eastAsia="方正小标宋简体"/>
          <w:kern w:val="0"/>
          <w:sz w:val="84"/>
          <w:szCs w:val="84"/>
          <w:lang w:val="zh-CN"/>
        </w:rPr>
        <w:t>供</w:t>
      </w:r>
    </w:p>
    <w:p>
      <w:pPr>
        <w:autoSpaceDE w:val="0"/>
        <w:autoSpaceDN w:val="0"/>
        <w:adjustRightInd w:val="0"/>
        <w:spacing w:line="1080" w:lineRule="exact"/>
        <w:jc w:val="center"/>
        <w:rPr>
          <w:rFonts w:eastAsia="方正小标宋简体"/>
          <w:kern w:val="0"/>
          <w:sz w:val="84"/>
          <w:szCs w:val="84"/>
          <w:lang w:val="zh-CN"/>
        </w:rPr>
      </w:pPr>
      <w:r>
        <w:rPr>
          <w:rFonts w:hint="eastAsia" w:eastAsia="方正小标宋简体"/>
          <w:kern w:val="0"/>
          <w:sz w:val="84"/>
          <w:szCs w:val="84"/>
          <w:lang w:val="zh-CN"/>
        </w:rPr>
        <w:t>应</w:t>
      </w:r>
    </w:p>
    <w:p>
      <w:pPr>
        <w:autoSpaceDE w:val="0"/>
        <w:autoSpaceDN w:val="0"/>
        <w:adjustRightInd w:val="0"/>
        <w:spacing w:line="1080" w:lineRule="exact"/>
        <w:jc w:val="center"/>
        <w:rPr>
          <w:rFonts w:eastAsia="方正小标宋简体"/>
          <w:kern w:val="0"/>
          <w:sz w:val="84"/>
          <w:szCs w:val="84"/>
          <w:lang w:val="zh-CN"/>
        </w:rPr>
      </w:pPr>
      <w:r>
        <w:rPr>
          <w:rFonts w:hint="eastAsia" w:eastAsia="方正小标宋简体"/>
          <w:kern w:val="0"/>
          <w:sz w:val="84"/>
          <w:szCs w:val="84"/>
          <w:lang w:val="zh-CN"/>
        </w:rPr>
        <w:t>商</w:t>
      </w:r>
    </w:p>
    <w:p>
      <w:pPr>
        <w:autoSpaceDE w:val="0"/>
        <w:autoSpaceDN w:val="0"/>
        <w:adjustRightInd w:val="0"/>
        <w:spacing w:line="1080" w:lineRule="exact"/>
        <w:jc w:val="center"/>
        <w:rPr>
          <w:rFonts w:eastAsia="方正小标宋简体"/>
          <w:kern w:val="0"/>
          <w:sz w:val="84"/>
          <w:szCs w:val="84"/>
          <w:lang w:val="zh-CN"/>
        </w:rPr>
      </w:pPr>
      <w:r>
        <w:rPr>
          <w:rFonts w:eastAsia="方正小标宋简体"/>
          <w:kern w:val="0"/>
          <w:sz w:val="84"/>
          <w:szCs w:val="84"/>
          <w:lang w:val="zh-CN"/>
        </w:rPr>
        <w:t>操</w:t>
      </w:r>
    </w:p>
    <w:p>
      <w:pPr>
        <w:autoSpaceDE w:val="0"/>
        <w:autoSpaceDN w:val="0"/>
        <w:adjustRightInd w:val="0"/>
        <w:spacing w:line="1080" w:lineRule="exact"/>
        <w:jc w:val="center"/>
        <w:rPr>
          <w:rFonts w:eastAsia="方正小标宋简体"/>
          <w:kern w:val="0"/>
          <w:sz w:val="84"/>
          <w:szCs w:val="84"/>
          <w:lang w:val="zh-CN"/>
        </w:rPr>
      </w:pPr>
      <w:r>
        <w:rPr>
          <w:rFonts w:eastAsia="方正小标宋简体"/>
          <w:kern w:val="0"/>
          <w:sz w:val="84"/>
          <w:szCs w:val="84"/>
          <w:lang w:val="zh-CN"/>
        </w:rPr>
        <w:t>作</w:t>
      </w:r>
    </w:p>
    <w:p>
      <w:pPr>
        <w:autoSpaceDE w:val="0"/>
        <w:autoSpaceDN w:val="0"/>
        <w:adjustRightInd w:val="0"/>
        <w:spacing w:line="1080" w:lineRule="exact"/>
        <w:jc w:val="center"/>
        <w:rPr>
          <w:rFonts w:eastAsia="方正小标宋简体"/>
          <w:kern w:val="0"/>
          <w:sz w:val="84"/>
          <w:szCs w:val="84"/>
          <w:lang w:val="zh-CN"/>
        </w:rPr>
      </w:pPr>
      <w:r>
        <w:rPr>
          <w:rFonts w:hint="eastAsia" w:eastAsia="方正小标宋简体"/>
          <w:kern w:val="0"/>
          <w:sz w:val="84"/>
          <w:szCs w:val="84"/>
          <w:lang w:val="zh-CN"/>
        </w:rPr>
        <w:t>指</w:t>
      </w:r>
    </w:p>
    <w:p>
      <w:pPr>
        <w:autoSpaceDE w:val="0"/>
        <w:autoSpaceDN w:val="0"/>
        <w:adjustRightInd w:val="0"/>
        <w:spacing w:line="1080" w:lineRule="exact"/>
        <w:jc w:val="center"/>
        <w:rPr>
          <w:b/>
          <w:sz w:val="84"/>
          <w:szCs w:val="84"/>
        </w:rPr>
      </w:pPr>
      <w:r>
        <w:rPr>
          <w:rFonts w:hint="eastAsia" w:eastAsia="方正小标宋简体"/>
          <w:kern w:val="0"/>
          <w:sz w:val="84"/>
          <w:szCs w:val="84"/>
          <w:lang w:val="zh-CN"/>
        </w:rPr>
        <w:t>南</w:t>
      </w:r>
    </w:p>
    <w:p>
      <w:pPr>
        <w:spacing w:line="1080" w:lineRule="exact"/>
        <w:jc w:val="center"/>
        <w:rPr>
          <w:b/>
          <w:sz w:val="84"/>
          <w:szCs w:val="84"/>
        </w:rPr>
      </w:pPr>
    </w:p>
    <w:p/>
    <w:p>
      <w:pPr>
        <w:ind w:firstLine="1325" w:firstLineChars="300"/>
        <w:rPr>
          <w:rFonts w:asciiTheme="minorEastAsia" w:hAnsiTheme="minorEastAsia" w:cstheme="minorEastAsia"/>
          <w:b/>
          <w:sz w:val="44"/>
          <w:szCs w:val="44"/>
        </w:rPr>
      </w:pPr>
      <w:r>
        <w:rPr>
          <w:rFonts w:hint="eastAsia" w:asciiTheme="minorEastAsia" w:hAnsiTheme="minorEastAsia" w:cstheme="minorEastAsia"/>
          <w:b/>
          <w:sz w:val="44"/>
          <w:szCs w:val="44"/>
        </w:rPr>
        <w:t>达州市公共资源交易服务中心</w:t>
      </w:r>
    </w:p>
    <w:p>
      <w:pPr>
        <w:ind w:firstLine="3092" w:firstLineChars="700"/>
        <w:rPr>
          <w:rFonts w:asciiTheme="minorEastAsia" w:hAnsiTheme="minorEastAsia" w:cstheme="minorEastAsia"/>
          <w:b/>
          <w:sz w:val="44"/>
          <w:szCs w:val="44"/>
        </w:rPr>
      </w:pPr>
    </w:p>
    <w:bookmarkEnd w:id="0"/>
    <w:p>
      <w:pPr>
        <w:numPr>
          <w:ilvl w:val="0"/>
          <w:numId w:val="1"/>
        </w:numPr>
        <w:spacing w:line="560" w:lineRule="exact"/>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lang w:val="en-US" w:eastAsia="zh-CN"/>
        </w:rPr>
        <w:t>系统登陆，访问达州市公共资源交易服务网（http://www.dzggzy.cn/dzsggzy/）从【用户注册登陆】进入登陆页面</w:t>
      </w:r>
    </w:p>
    <w:p>
      <w:pPr>
        <w:numPr>
          <w:ilvl w:val="0"/>
          <w:numId w:val="0"/>
        </w:numPr>
        <w:spacing w:line="240" w:lineRule="auto"/>
        <w:rPr>
          <w:rFonts w:ascii="Times New Roman" w:hAnsi="Times New Roman" w:eastAsia="宋体" w:cs="Times New Roman"/>
          <w:b/>
          <w:bCs/>
          <w:kern w:val="44"/>
          <w:sz w:val="28"/>
          <w:szCs w:val="28"/>
        </w:rPr>
      </w:pPr>
      <w:bookmarkStart w:id="1" w:name="_GoBack"/>
      <w:r>
        <w:rPr>
          <w:rFonts w:hint="eastAsia" w:ascii="Times New Roman" w:hAnsi="Times New Roman" w:eastAsia="宋体" w:cs="Times New Roman"/>
          <w:b/>
          <w:bCs/>
          <w:kern w:val="44"/>
          <w:sz w:val="28"/>
          <w:szCs w:val="28"/>
          <w:lang w:eastAsia="zh-CN"/>
        </w:rPr>
        <w:drawing>
          <wp:inline distT="0" distB="0" distL="114300" distR="114300">
            <wp:extent cx="5267325" cy="2771140"/>
            <wp:effectExtent l="0" t="0" r="3175" b="10160"/>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5"/>
                    <a:stretch>
                      <a:fillRect/>
                    </a:stretch>
                  </pic:blipFill>
                  <pic:spPr>
                    <a:xfrm>
                      <a:off x="0" y="0"/>
                      <a:ext cx="5267325" cy="2771140"/>
                    </a:xfrm>
                    <a:prstGeom prst="rect">
                      <a:avLst/>
                    </a:prstGeom>
                  </pic:spPr>
                </pic:pic>
              </a:graphicData>
            </a:graphic>
          </wp:inline>
        </w:drawing>
      </w:r>
      <w:bookmarkEnd w:id="1"/>
    </w:p>
    <w:p>
      <w:pPr>
        <w:numPr>
          <w:ilvl w:val="0"/>
          <w:numId w:val="1"/>
        </w:numPr>
        <w:spacing w:line="560" w:lineRule="exact"/>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lang w:val="en-US" w:eastAsia="zh-CN"/>
        </w:rPr>
        <w:t>可以选择用户名密码或者公司cfca证书（证书须在系统中激活）登陆系统。</w:t>
      </w:r>
    </w:p>
    <w:p>
      <w:pPr>
        <w:widowControl w:val="0"/>
        <w:numPr>
          <w:ilvl w:val="0"/>
          <w:numId w:val="0"/>
        </w:numPr>
        <w:spacing w:line="240" w:lineRule="auto"/>
        <w:jc w:val="both"/>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lang w:eastAsia="zh-CN"/>
        </w:rPr>
        <w:drawing>
          <wp:inline distT="0" distB="0" distL="114300" distR="114300">
            <wp:extent cx="5271770" cy="2774315"/>
            <wp:effectExtent l="0" t="0" r="11430" b="6985"/>
            <wp:docPr id="24" name="图片 2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2"/>
                    <pic:cNvPicPr>
                      <a:picLocks noChangeAspect="1"/>
                    </pic:cNvPicPr>
                  </pic:nvPicPr>
                  <pic:blipFill>
                    <a:blip r:embed="rId6"/>
                    <a:stretch>
                      <a:fillRect/>
                    </a:stretch>
                  </pic:blipFill>
                  <pic:spPr>
                    <a:xfrm>
                      <a:off x="0" y="0"/>
                      <a:ext cx="5271770" cy="2774315"/>
                    </a:xfrm>
                    <a:prstGeom prst="rect">
                      <a:avLst/>
                    </a:prstGeom>
                  </pic:spPr>
                </pic:pic>
              </a:graphicData>
            </a:graphic>
          </wp:inline>
        </w:drawing>
      </w:r>
    </w:p>
    <w:p>
      <w:pPr>
        <w:numPr>
          <w:ilvl w:val="0"/>
          <w:numId w:val="1"/>
        </w:numPr>
        <w:spacing w:line="560" w:lineRule="exact"/>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lang w:val="en-US" w:eastAsia="zh-CN"/>
        </w:rPr>
        <w:t>登陆系统后，</w:t>
      </w:r>
      <w:r>
        <w:rPr>
          <w:rFonts w:hint="eastAsia" w:ascii="Times New Roman" w:hAnsi="Times New Roman" w:eastAsia="宋体" w:cs="Times New Roman"/>
          <w:b/>
          <w:bCs/>
          <w:kern w:val="44"/>
          <w:sz w:val="28"/>
          <w:szCs w:val="28"/>
        </w:rPr>
        <w:t>点击“开标签到解密”菜单，可打开今日开标的项目。点击对应项目后面的“服务大厅”按钮，进入服务大厅。如图1-1所示（服务大厅如图2-1）</w:t>
      </w:r>
    </w:p>
    <w:p>
      <w:pPr>
        <w:spacing w:line="560" w:lineRule="exact"/>
        <w:rPr>
          <w:rFonts w:hint="eastAsia" w:ascii="Times New Roman" w:hAnsi="Times New Roman" w:eastAsia="宋体" w:cs="Times New Roman"/>
          <w:b/>
          <w:bCs/>
          <w:color w:val="FF0000"/>
          <w:kern w:val="44"/>
          <w:sz w:val="28"/>
          <w:szCs w:val="28"/>
        </w:rPr>
      </w:pPr>
      <w:r>
        <w:rPr>
          <w:rFonts w:hint="eastAsia" w:ascii="Times New Roman" w:hAnsi="Times New Roman" w:eastAsia="宋体" w:cs="Times New Roman"/>
          <w:b/>
          <w:bCs/>
          <w:color w:val="FF0000"/>
          <w:kern w:val="44"/>
          <w:sz w:val="28"/>
          <w:szCs w:val="28"/>
        </w:rPr>
        <w:t>注：请在开标前30分钟内进入服务大厅</w:t>
      </w:r>
    </w:p>
    <w:p>
      <w:pPr>
        <w:spacing w:line="560" w:lineRule="exact"/>
        <w:rPr>
          <w:rFonts w:hint="eastAsia" w:ascii="Times New Roman" w:hAnsi="Times New Roman" w:eastAsia="宋体" w:cs="Times New Roman"/>
          <w:b/>
          <w:bCs/>
          <w:color w:val="FF0000"/>
          <w:kern w:val="44"/>
          <w:sz w:val="28"/>
          <w:szCs w:val="28"/>
        </w:rPr>
      </w:pPr>
    </w:p>
    <w:p>
      <w:pPr>
        <w:spacing w:line="560" w:lineRule="exact"/>
        <w:rPr>
          <w:rFonts w:ascii="Times New Roman" w:hAnsi="Times New Roman" w:eastAsia="宋体" w:cs="Times New Roman"/>
          <w:b/>
          <w:bCs/>
          <w:kern w:val="44"/>
          <w:sz w:val="28"/>
          <w:szCs w:val="28"/>
        </w:rPr>
      </w:pPr>
      <w:r>
        <w:rPr>
          <w:rFonts w:ascii="Times New Roman" w:hAnsi="Times New Roman" w:eastAsia="宋体" w:cs="Times New Roman"/>
          <w:b/>
          <w:bCs/>
          <w:color w:val="FF0000"/>
          <w:kern w:val="44"/>
          <w:sz w:val="28"/>
          <w:szCs w:val="28"/>
        </w:rPr>
        <w:drawing>
          <wp:anchor distT="0" distB="0" distL="114300" distR="114300" simplePos="0" relativeHeight="251658240" behindDoc="0" locked="0" layoutInCell="1" allowOverlap="1">
            <wp:simplePos x="0" y="0"/>
            <wp:positionH relativeFrom="column">
              <wp:posOffset>-635</wp:posOffset>
            </wp:positionH>
            <wp:positionV relativeFrom="paragraph">
              <wp:posOffset>135890</wp:posOffset>
            </wp:positionV>
            <wp:extent cx="5264785" cy="2294890"/>
            <wp:effectExtent l="0" t="0" r="12065" b="10160"/>
            <wp:wrapTopAndBottom/>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 cstate="print"/>
                    <a:stretch>
                      <a:fillRect/>
                    </a:stretch>
                  </pic:blipFill>
                  <pic:spPr>
                    <a:xfrm>
                      <a:off x="0" y="0"/>
                      <a:ext cx="5264785" cy="2294890"/>
                    </a:xfrm>
                    <a:prstGeom prst="rect">
                      <a:avLst/>
                    </a:prstGeom>
                    <a:noFill/>
                    <a:ln w="9525">
                      <a:noFill/>
                    </a:ln>
                  </pic:spPr>
                </pic:pic>
              </a:graphicData>
            </a:graphic>
          </wp:anchor>
        </w:drawing>
      </w:r>
      <w:r>
        <w:rPr>
          <w:rFonts w:hint="eastAsia" w:ascii="Times New Roman" w:hAnsi="Times New Roman" w:eastAsia="宋体" w:cs="Times New Roman"/>
          <w:b/>
          <w:bCs/>
          <w:kern w:val="44"/>
          <w:sz w:val="28"/>
          <w:szCs w:val="28"/>
        </w:rPr>
        <w:t xml:space="preserve">                         图1-1</w:t>
      </w:r>
    </w:p>
    <w:p>
      <w:pPr>
        <w:numPr>
          <w:ilvl w:val="0"/>
          <w:numId w:val="1"/>
        </w:numPr>
        <w:spacing w:line="560" w:lineRule="exact"/>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rPr>
        <w:t>点击服务大厅开标项目列表中“项目信息”进入到该项目的“网上开标系统”（网上开标系统如图2-2）</w:t>
      </w:r>
    </w:p>
    <w:p>
      <w:pPr>
        <w:spacing w:line="560" w:lineRule="exact"/>
        <w:rPr>
          <w:rFonts w:ascii="Times New Roman" w:hAnsi="Times New Roman" w:eastAsia="宋体" w:cs="Times New Roman"/>
          <w:b/>
          <w:bCs/>
          <w:kern w:val="44"/>
          <w:sz w:val="28"/>
          <w:szCs w:val="28"/>
        </w:rPr>
      </w:pPr>
      <w:r>
        <w:drawing>
          <wp:anchor distT="0" distB="0" distL="114300" distR="114300" simplePos="0" relativeHeight="251659264" behindDoc="0" locked="0" layoutInCell="1" allowOverlap="1">
            <wp:simplePos x="0" y="0"/>
            <wp:positionH relativeFrom="column">
              <wp:posOffset>-63500</wp:posOffset>
            </wp:positionH>
            <wp:positionV relativeFrom="paragraph">
              <wp:posOffset>234950</wp:posOffset>
            </wp:positionV>
            <wp:extent cx="5268595" cy="2460625"/>
            <wp:effectExtent l="0" t="0" r="8255" b="15875"/>
            <wp:wrapTopAndBottom/>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8" cstate="print"/>
                    <a:stretch>
                      <a:fillRect/>
                    </a:stretch>
                  </pic:blipFill>
                  <pic:spPr>
                    <a:xfrm>
                      <a:off x="0" y="0"/>
                      <a:ext cx="5268595" cy="2460625"/>
                    </a:xfrm>
                    <a:prstGeom prst="rect">
                      <a:avLst/>
                    </a:prstGeom>
                    <a:noFill/>
                    <a:ln w="9525">
                      <a:noFill/>
                    </a:ln>
                  </pic:spPr>
                </pic:pic>
              </a:graphicData>
            </a:graphic>
          </wp:anchor>
        </w:drawing>
      </w:r>
      <w:r>
        <w:rPr>
          <w:rFonts w:hint="eastAsia" w:ascii="Times New Roman" w:hAnsi="Times New Roman" w:eastAsia="宋体" w:cs="Times New Roman"/>
          <w:b/>
          <w:bCs/>
          <w:kern w:val="44"/>
          <w:sz w:val="28"/>
          <w:szCs w:val="28"/>
        </w:rPr>
        <w:t xml:space="preserve">                         图2-1</w:t>
      </w:r>
    </w:p>
    <w:p>
      <w:pPr>
        <w:spacing w:line="560" w:lineRule="exact"/>
        <w:rPr>
          <w:rFonts w:ascii="Times New Roman" w:hAnsi="Times New Roman" w:eastAsia="宋体" w:cs="Times New Roman"/>
          <w:b/>
          <w:bCs/>
          <w:kern w:val="44"/>
          <w:sz w:val="28"/>
          <w:szCs w:val="28"/>
        </w:rPr>
      </w:pPr>
      <w:r>
        <w:drawing>
          <wp:anchor distT="0" distB="0" distL="114300" distR="114300" simplePos="0" relativeHeight="251660288" behindDoc="0" locked="0" layoutInCell="1" allowOverlap="1">
            <wp:simplePos x="0" y="0"/>
            <wp:positionH relativeFrom="column">
              <wp:posOffset>-119380</wp:posOffset>
            </wp:positionH>
            <wp:positionV relativeFrom="paragraph">
              <wp:posOffset>68580</wp:posOffset>
            </wp:positionV>
            <wp:extent cx="5264785" cy="2272665"/>
            <wp:effectExtent l="0" t="0" r="12065" b="13335"/>
            <wp:wrapTopAndBottom/>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9" cstate="print"/>
                    <a:stretch>
                      <a:fillRect/>
                    </a:stretch>
                  </pic:blipFill>
                  <pic:spPr>
                    <a:xfrm>
                      <a:off x="0" y="0"/>
                      <a:ext cx="5264785" cy="2272665"/>
                    </a:xfrm>
                    <a:prstGeom prst="rect">
                      <a:avLst/>
                    </a:prstGeom>
                    <a:noFill/>
                    <a:ln w="9525">
                      <a:noFill/>
                    </a:ln>
                  </pic:spPr>
                </pic:pic>
              </a:graphicData>
            </a:graphic>
          </wp:anchor>
        </w:drawing>
      </w:r>
      <w:r>
        <w:rPr>
          <w:rFonts w:hint="eastAsia" w:ascii="Times New Roman" w:hAnsi="Times New Roman" w:eastAsia="宋体" w:cs="Times New Roman"/>
          <w:b/>
          <w:bCs/>
          <w:kern w:val="44"/>
          <w:sz w:val="28"/>
          <w:szCs w:val="28"/>
        </w:rPr>
        <w:t xml:space="preserve">                         图2-2</w:t>
      </w:r>
    </w:p>
    <w:p>
      <w:pPr>
        <w:numPr>
          <w:ilvl w:val="0"/>
          <w:numId w:val="1"/>
        </w:numPr>
        <w:spacing w:line="560" w:lineRule="exact"/>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rPr>
        <w:t>该页面上我要签到功能需要在开标时间前30分钟内进行签到，开标时间到了即签到时间截止。签到成功会有如图3-1所示的红字提示；</w:t>
      </w:r>
    </w:p>
    <w:p>
      <w:pPr>
        <w:spacing w:line="560" w:lineRule="exact"/>
        <w:rPr>
          <w:rFonts w:ascii="Times New Roman" w:hAnsi="Times New Roman" w:eastAsia="宋体" w:cs="Times New Roman"/>
          <w:b/>
          <w:bCs/>
          <w:color w:val="FF0000"/>
          <w:kern w:val="44"/>
          <w:sz w:val="28"/>
          <w:szCs w:val="28"/>
        </w:rPr>
      </w:pPr>
      <w:r>
        <w:rPr>
          <w:rFonts w:hint="eastAsia" w:ascii="Times New Roman" w:hAnsi="Times New Roman" w:eastAsia="宋体" w:cs="Times New Roman"/>
          <w:b/>
          <w:bCs/>
          <w:color w:val="FF0000"/>
          <w:kern w:val="44"/>
          <w:sz w:val="28"/>
          <w:szCs w:val="28"/>
        </w:rPr>
        <w:t>注：请在开标前30分钟内进行签到，开标时间过了则无法进行签到了。</w:t>
      </w:r>
    </w:p>
    <w:p>
      <w:pPr>
        <w:spacing w:line="560" w:lineRule="exact"/>
        <w:rPr>
          <w:rFonts w:ascii="Times New Roman" w:hAnsi="Times New Roman" w:eastAsia="宋体" w:cs="Times New Roman"/>
          <w:b/>
          <w:bCs/>
          <w:kern w:val="44"/>
          <w:sz w:val="28"/>
          <w:szCs w:val="28"/>
        </w:rPr>
      </w:pPr>
      <w:r>
        <w:drawing>
          <wp:anchor distT="0" distB="0" distL="114300" distR="114300" simplePos="0" relativeHeight="251661312" behindDoc="0" locked="0" layoutInCell="1" allowOverlap="1">
            <wp:simplePos x="0" y="0"/>
            <wp:positionH relativeFrom="column">
              <wp:posOffset>-146685</wp:posOffset>
            </wp:positionH>
            <wp:positionV relativeFrom="paragraph">
              <wp:posOffset>326390</wp:posOffset>
            </wp:positionV>
            <wp:extent cx="5269230" cy="2691765"/>
            <wp:effectExtent l="0" t="0" r="7620" b="13335"/>
            <wp:wrapTopAndBottom/>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0" cstate="print"/>
                    <a:stretch>
                      <a:fillRect/>
                    </a:stretch>
                  </pic:blipFill>
                  <pic:spPr>
                    <a:xfrm>
                      <a:off x="0" y="0"/>
                      <a:ext cx="5269230" cy="2691765"/>
                    </a:xfrm>
                    <a:prstGeom prst="rect">
                      <a:avLst/>
                    </a:prstGeom>
                    <a:noFill/>
                    <a:ln w="9525">
                      <a:noFill/>
                    </a:ln>
                  </pic:spPr>
                </pic:pic>
              </a:graphicData>
            </a:graphic>
          </wp:anchor>
        </w:drawing>
      </w:r>
      <w:r>
        <w:rPr>
          <w:rFonts w:hint="eastAsia" w:ascii="Times New Roman" w:hAnsi="Times New Roman" w:eastAsia="宋体" w:cs="Times New Roman"/>
          <w:b/>
          <w:bCs/>
          <w:kern w:val="44"/>
          <w:sz w:val="28"/>
          <w:szCs w:val="28"/>
        </w:rPr>
        <w:t xml:space="preserve">                        图3-1</w:t>
      </w:r>
    </w:p>
    <w:p>
      <w:pPr>
        <w:numPr>
          <w:ilvl w:val="0"/>
          <w:numId w:val="1"/>
        </w:numPr>
        <w:spacing w:line="560" w:lineRule="exact"/>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rPr>
        <w:t>现场视频，需要在开标时间到了并且开标管理员已经公布了投标人之后才可以进入。</w:t>
      </w:r>
    </w:p>
    <w:p>
      <w:pPr>
        <w:numPr>
          <w:ilvl w:val="0"/>
          <w:numId w:val="1"/>
        </w:numPr>
        <w:spacing w:line="560" w:lineRule="exact"/>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rPr>
        <w:t>进入房间之后可在如图5-1的位置输入消息（</w:t>
      </w:r>
      <w:r>
        <w:rPr>
          <w:rFonts w:hint="eastAsia" w:ascii="Times New Roman" w:hAnsi="Times New Roman" w:eastAsia="宋体" w:cs="Times New Roman"/>
          <w:b/>
          <w:bCs/>
          <w:color w:val="FF0000"/>
          <w:kern w:val="44"/>
          <w:sz w:val="28"/>
          <w:szCs w:val="28"/>
        </w:rPr>
        <w:t>该消息所有投标单位可见</w:t>
      </w:r>
      <w:r>
        <w:rPr>
          <w:rFonts w:hint="eastAsia" w:ascii="Times New Roman" w:hAnsi="Times New Roman" w:eastAsia="宋体" w:cs="Times New Roman"/>
          <w:b/>
          <w:bCs/>
          <w:kern w:val="44"/>
          <w:sz w:val="28"/>
          <w:szCs w:val="28"/>
        </w:rPr>
        <w:t>），打开摄像头，关闭摄像头，打开麦克风，关闭麦克风，打开扬声器，关闭扬声器等都是字面意思；</w:t>
      </w:r>
    </w:p>
    <w:p>
      <w:pPr>
        <w:spacing w:line="560" w:lineRule="exact"/>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rPr>
        <w:drawing>
          <wp:anchor distT="0" distB="0" distL="114300" distR="114300" simplePos="0" relativeHeight="251662336" behindDoc="0" locked="0" layoutInCell="1" allowOverlap="1">
            <wp:simplePos x="0" y="0"/>
            <wp:positionH relativeFrom="column">
              <wp:posOffset>36195</wp:posOffset>
            </wp:positionH>
            <wp:positionV relativeFrom="paragraph">
              <wp:posOffset>165100</wp:posOffset>
            </wp:positionV>
            <wp:extent cx="5266055" cy="2889250"/>
            <wp:effectExtent l="19050" t="0" r="0" b="0"/>
            <wp:wrapTopAndBottom/>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1" cstate="print"/>
                    <a:stretch>
                      <a:fillRect/>
                    </a:stretch>
                  </pic:blipFill>
                  <pic:spPr>
                    <a:xfrm>
                      <a:off x="0" y="0"/>
                      <a:ext cx="5266055" cy="2889250"/>
                    </a:xfrm>
                    <a:prstGeom prst="rect">
                      <a:avLst/>
                    </a:prstGeom>
                    <a:noFill/>
                    <a:ln w="9525">
                      <a:noFill/>
                    </a:ln>
                  </pic:spPr>
                </pic:pic>
              </a:graphicData>
            </a:graphic>
          </wp:anchor>
        </w:drawing>
      </w:r>
      <w:r>
        <w:rPr>
          <w:rFonts w:hint="eastAsia" w:ascii="Times New Roman" w:hAnsi="Times New Roman" w:eastAsia="宋体" w:cs="Times New Roman"/>
          <w:b/>
          <w:bCs/>
          <w:kern w:val="44"/>
          <w:sz w:val="28"/>
          <w:szCs w:val="28"/>
        </w:rPr>
        <w:t xml:space="preserve">                          图 5-1</w:t>
      </w:r>
    </w:p>
    <w:p>
      <w:pPr>
        <w:numPr>
          <w:ilvl w:val="0"/>
          <w:numId w:val="1"/>
        </w:numPr>
        <w:spacing w:line="560" w:lineRule="exact"/>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rPr>
        <w:t>视频会议页面向下拖动滚动条可看到开标管理员共享的电脑桌面（如图6-1）</w:t>
      </w:r>
    </w:p>
    <w:p>
      <w:pPr>
        <w:spacing w:line="560" w:lineRule="exact"/>
        <w:rPr>
          <w:rFonts w:ascii="Times New Roman" w:hAnsi="Times New Roman" w:eastAsia="宋体" w:cs="Times New Roman"/>
          <w:b/>
          <w:bCs/>
          <w:kern w:val="44"/>
          <w:sz w:val="28"/>
          <w:szCs w:val="28"/>
        </w:rPr>
      </w:pPr>
      <w:r>
        <w:drawing>
          <wp:anchor distT="0" distB="0" distL="114300" distR="114300" simplePos="0" relativeHeight="251664384" behindDoc="0" locked="0" layoutInCell="1" allowOverlap="1">
            <wp:simplePos x="0" y="0"/>
            <wp:positionH relativeFrom="column">
              <wp:posOffset>36830</wp:posOffset>
            </wp:positionH>
            <wp:positionV relativeFrom="paragraph">
              <wp:posOffset>230505</wp:posOffset>
            </wp:positionV>
            <wp:extent cx="5272405" cy="2839085"/>
            <wp:effectExtent l="0" t="0" r="4445" b="18415"/>
            <wp:wrapTopAndBottom/>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2" cstate="print"/>
                    <a:stretch>
                      <a:fillRect/>
                    </a:stretch>
                  </pic:blipFill>
                  <pic:spPr>
                    <a:xfrm>
                      <a:off x="0" y="0"/>
                      <a:ext cx="5272405" cy="2839085"/>
                    </a:xfrm>
                    <a:prstGeom prst="rect">
                      <a:avLst/>
                    </a:prstGeom>
                    <a:noFill/>
                    <a:ln w="9525">
                      <a:noFill/>
                    </a:ln>
                  </pic:spPr>
                </pic:pic>
              </a:graphicData>
            </a:graphic>
          </wp:anchor>
        </w:drawing>
      </w:r>
      <w:r>
        <w:rPr>
          <w:rFonts w:hint="eastAsia" w:ascii="Times New Roman" w:hAnsi="Times New Roman" w:eastAsia="宋体" w:cs="Times New Roman"/>
          <w:b/>
          <w:bCs/>
          <w:kern w:val="44"/>
          <w:sz w:val="28"/>
          <w:szCs w:val="28"/>
        </w:rPr>
        <w:t xml:space="preserve">                           图 6-1</w:t>
      </w:r>
    </w:p>
    <w:p>
      <w:pPr>
        <w:pStyle w:val="39"/>
        <w:numPr>
          <w:ilvl w:val="0"/>
          <w:numId w:val="1"/>
        </w:numPr>
        <w:spacing w:line="560" w:lineRule="exact"/>
        <w:ind w:firstLineChars="0"/>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rPr>
        <w:t>如果需要上麦与开标管理员进行对话，可在消息框中输入上麦请求消息，开标管理员邀请供应商后，供应商会收到如图7-1所示的提示，点击确定则进入上麦状态；</w:t>
      </w:r>
    </w:p>
    <w:p>
      <w:pPr>
        <w:pStyle w:val="39"/>
        <w:spacing w:line="560" w:lineRule="exact"/>
        <w:ind w:left="420" w:firstLine="0" w:firstLineChars="0"/>
        <w:rPr>
          <w:rFonts w:ascii="Times New Roman" w:hAnsi="Times New Roman" w:eastAsia="宋体" w:cs="Times New Roman"/>
          <w:b/>
          <w:bCs/>
          <w:color w:val="FF0000"/>
          <w:kern w:val="44"/>
          <w:sz w:val="28"/>
          <w:szCs w:val="28"/>
        </w:rPr>
      </w:pPr>
      <w:r>
        <w:rPr>
          <w:rFonts w:hint="eastAsia" w:ascii="Times New Roman" w:hAnsi="Times New Roman" w:eastAsia="宋体" w:cs="Times New Roman"/>
          <w:b/>
          <w:bCs/>
          <w:color w:val="FF0000"/>
          <w:kern w:val="44"/>
          <w:sz w:val="28"/>
          <w:szCs w:val="28"/>
        </w:rPr>
        <w:t>注：上麦供应商的声音是所有供应商都可以听见；</w:t>
      </w:r>
    </w:p>
    <w:p>
      <w:pPr>
        <w:spacing w:line="560" w:lineRule="exact"/>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rPr>
        <w:drawing>
          <wp:anchor distT="0" distB="0" distL="114300" distR="114300" simplePos="0" relativeHeight="251666432" behindDoc="0" locked="0" layoutInCell="1" allowOverlap="1">
            <wp:simplePos x="0" y="0"/>
            <wp:positionH relativeFrom="column">
              <wp:posOffset>-17780</wp:posOffset>
            </wp:positionH>
            <wp:positionV relativeFrom="paragraph">
              <wp:posOffset>173355</wp:posOffset>
            </wp:positionV>
            <wp:extent cx="5266055" cy="2468880"/>
            <wp:effectExtent l="19050" t="0" r="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3" cstate="print"/>
                    <a:srcRect/>
                    <a:stretch>
                      <a:fillRect/>
                    </a:stretch>
                  </pic:blipFill>
                  <pic:spPr>
                    <a:xfrm>
                      <a:off x="0" y="0"/>
                      <a:ext cx="5266055" cy="2468880"/>
                    </a:xfrm>
                    <a:prstGeom prst="rect">
                      <a:avLst/>
                    </a:prstGeom>
                    <a:noFill/>
                    <a:ln w="9525">
                      <a:noFill/>
                      <a:miter lim="800000"/>
                      <a:headEnd/>
                      <a:tailEnd/>
                    </a:ln>
                  </pic:spPr>
                </pic:pic>
              </a:graphicData>
            </a:graphic>
          </wp:anchor>
        </w:drawing>
      </w:r>
      <w:r>
        <w:rPr>
          <w:rFonts w:hint="eastAsia" w:ascii="Times New Roman" w:hAnsi="Times New Roman" w:eastAsia="宋体" w:cs="Times New Roman"/>
          <w:b/>
          <w:bCs/>
          <w:kern w:val="44"/>
          <w:sz w:val="28"/>
          <w:szCs w:val="28"/>
        </w:rPr>
        <w:t xml:space="preserve">                          图 7-1</w:t>
      </w:r>
    </w:p>
    <w:p>
      <w:pPr>
        <w:pStyle w:val="39"/>
        <w:numPr>
          <w:ilvl w:val="0"/>
          <w:numId w:val="1"/>
        </w:numPr>
        <w:spacing w:line="560" w:lineRule="exact"/>
        <w:ind w:firstLineChars="0"/>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rPr>
        <w:drawing>
          <wp:anchor distT="0" distB="0" distL="114300" distR="114300" simplePos="0" relativeHeight="251667456" behindDoc="0" locked="0" layoutInCell="1" allowOverlap="1">
            <wp:simplePos x="0" y="0"/>
            <wp:positionH relativeFrom="column">
              <wp:posOffset>-19050</wp:posOffset>
            </wp:positionH>
            <wp:positionV relativeFrom="paragraph">
              <wp:posOffset>1000125</wp:posOffset>
            </wp:positionV>
            <wp:extent cx="5267325" cy="2916555"/>
            <wp:effectExtent l="19050" t="0" r="952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srcRect/>
                    <a:stretch>
                      <a:fillRect/>
                    </a:stretch>
                  </pic:blipFill>
                  <pic:spPr>
                    <a:xfrm>
                      <a:off x="0" y="0"/>
                      <a:ext cx="5267325" cy="2916555"/>
                    </a:xfrm>
                    <a:prstGeom prst="rect">
                      <a:avLst/>
                    </a:prstGeom>
                    <a:noFill/>
                    <a:ln w="9525">
                      <a:noFill/>
                      <a:miter lim="800000"/>
                      <a:headEnd/>
                      <a:tailEnd/>
                    </a:ln>
                  </pic:spPr>
                </pic:pic>
              </a:graphicData>
            </a:graphic>
          </wp:anchor>
        </w:drawing>
      </w:r>
      <w:r>
        <w:rPr>
          <w:rFonts w:hint="eastAsia" w:ascii="Times New Roman" w:hAnsi="Times New Roman" w:eastAsia="宋体" w:cs="Times New Roman"/>
          <w:b/>
          <w:bCs/>
          <w:kern w:val="44"/>
          <w:sz w:val="28"/>
          <w:szCs w:val="28"/>
        </w:rPr>
        <w:t>在会议室中听到开标管理员让解密投标文件，只需要切换到“网上开标系统”点击如图8-1所示解密按钮即可完成解密；</w:t>
      </w:r>
    </w:p>
    <w:p>
      <w:pPr>
        <w:pStyle w:val="39"/>
        <w:spacing w:line="560" w:lineRule="exact"/>
        <w:ind w:left="420" w:firstLine="0" w:firstLineChars="0"/>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rPr>
        <w:t xml:space="preserve">                       图8-1</w:t>
      </w:r>
    </w:p>
    <w:p>
      <w:pPr>
        <w:pStyle w:val="39"/>
        <w:numPr>
          <w:ilvl w:val="0"/>
          <w:numId w:val="1"/>
        </w:numPr>
        <w:spacing w:line="560" w:lineRule="exact"/>
        <w:ind w:firstLineChars="0"/>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rPr>
        <w:t>接下来只需要跟着开标管理员的提示一步一步操作即可，如果有异议可在线提出，也可电话联系交易中心提出；</w:t>
      </w:r>
    </w:p>
    <w:p>
      <w:pPr>
        <w:spacing w:line="560" w:lineRule="exact"/>
        <w:rPr>
          <w:rFonts w:ascii="Times New Roman" w:hAnsi="Times New Roman" w:eastAsia="宋体" w:cs="Times New Roman"/>
          <w:b/>
          <w:bCs/>
          <w:kern w:val="44"/>
          <w:sz w:val="28"/>
          <w:szCs w:val="28"/>
        </w:rPr>
      </w:pPr>
    </w:p>
    <w:p>
      <w:pPr>
        <w:spacing w:line="560" w:lineRule="exact"/>
        <w:rPr>
          <w:rFonts w:ascii="Times New Roman" w:hAnsi="Times New Roman" w:eastAsia="宋体" w:cs="Times New Roman"/>
          <w:b/>
          <w:bCs/>
          <w:color w:val="FF0000"/>
          <w:kern w:val="44"/>
          <w:sz w:val="28"/>
          <w:szCs w:val="28"/>
        </w:rPr>
      </w:pPr>
      <w:r>
        <w:rPr>
          <w:rFonts w:hint="eastAsia" w:ascii="Times New Roman" w:hAnsi="Times New Roman" w:eastAsia="宋体" w:cs="Times New Roman"/>
          <w:b/>
          <w:bCs/>
          <w:color w:val="FF0000"/>
          <w:kern w:val="44"/>
          <w:sz w:val="28"/>
          <w:szCs w:val="28"/>
        </w:rPr>
        <w:t>着重提醒：</w:t>
      </w:r>
    </w:p>
    <w:p>
      <w:pPr>
        <w:spacing w:line="560" w:lineRule="exact"/>
        <w:rPr>
          <w:rFonts w:ascii="Times New Roman" w:hAnsi="Times New Roman" w:eastAsia="宋体" w:cs="Times New Roman"/>
          <w:b/>
          <w:bCs/>
          <w:color w:val="FF0000"/>
          <w:kern w:val="44"/>
          <w:sz w:val="28"/>
          <w:szCs w:val="28"/>
        </w:rPr>
      </w:pPr>
      <w:r>
        <w:rPr>
          <w:rFonts w:hint="eastAsia" w:ascii="Times New Roman" w:hAnsi="Times New Roman" w:eastAsia="宋体" w:cs="Times New Roman"/>
          <w:b/>
          <w:bCs/>
          <w:color w:val="FF0000"/>
          <w:kern w:val="44"/>
          <w:sz w:val="28"/>
          <w:szCs w:val="28"/>
        </w:rPr>
        <w:t>1、签到时间：开标前30分钟内进行签到；</w:t>
      </w:r>
    </w:p>
    <w:p>
      <w:pPr>
        <w:spacing w:line="560" w:lineRule="exact"/>
        <w:rPr>
          <w:rFonts w:ascii="Times New Roman" w:hAnsi="Times New Roman" w:eastAsia="宋体" w:cs="Times New Roman"/>
          <w:b/>
          <w:bCs/>
          <w:color w:val="FF0000"/>
          <w:kern w:val="44"/>
          <w:sz w:val="28"/>
          <w:szCs w:val="28"/>
        </w:rPr>
      </w:pPr>
      <w:r>
        <w:rPr>
          <w:rFonts w:hint="eastAsia" w:ascii="Times New Roman" w:hAnsi="Times New Roman" w:eastAsia="宋体" w:cs="Times New Roman"/>
          <w:b/>
          <w:bCs/>
          <w:color w:val="FF0000"/>
          <w:kern w:val="44"/>
          <w:sz w:val="28"/>
          <w:szCs w:val="28"/>
        </w:rPr>
        <w:t>2、在线开标系统和视频会议系统是不同的2个网页；</w:t>
      </w:r>
    </w:p>
    <w:p>
      <w:pPr>
        <w:spacing w:line="560" w:lineRule="exact"/>
        <w:rPr>
          <w:rFonts w:ascii="Times New Roman" w:hAnsi="Times New Roman" w:eastAsia="宋体" w:cs="Times New Roman"/>
          <w:b/>
          <w:bCs/>
          <w:color w:val="FF0000"/>
          <w:kern w:val="44"/>
          <w:sz w:val="28"/>
          <w:szCs w:val="28"/>
        </w:rPr>
      </w:pPr>
      <w:r>
        <w:rPr>
          <w:rFonts w:hint="eastAsia" w:ascii="Times New Roman" w:hAnsi="Times New Roman" w:eastAsia="宋体" w:cs="Times New Roman"/>
          <w:b/>
          <w:bCs/>
          <w:color w:val="FF0000"/>
          <w:kern w:val="44"/>
          <w:sz w:val="28"/>
          <w:szCs w:val="28"/>
        </w:rPr>
        <w:t>3、视频会议系统需要在开标时间到了并且开标管理员公布了投标人名单才可进入；</w:t>
      </w:r>
    </w:p>
    <w:p>
      <w:pPr>
        <w:spacing w:line="560" w:lineRule="exact"/>
        <w:rPr>
          <w:rFonts w:ascii="Times New Roman" w:hAnsi="Times New Roman" w:eastAsia="宋体" w:cs="Times New Roman"/>
          <w:b/>
          <w:bCs/>
          <w:kern w:val="44"/>
          <w:sz w:val="28"/>
          <w:szCs w:val="28"/>
        </w:rPr>
      </w:pPr>
    </w:p>
    <w:p>
      <w:pPr>
        <w:spacing w:line="560" w:lineRule="exact"/>
        <w:rPr>
          <w:rFonts w:ascii="Times New Roman" w:hAnsi="Times New Roman" w:eastAsia="宋体" w:cs="Times New Roman"/>
          <w:b/>
          <w:bCs/>
          <w:kern w:val="44"/>
          <w:sz w:val="28"/>
          <w:szCs w:val="28"/>
        </w:rPr>
      </w:pPr>
    </w:p>
    <w:p>
      <w:pPr>
        <w:spacing w:line="560" w:lineRule="exact"/>
        <w:rPr>
          <w:rFonts w:ascii="Times New Roman" w:hAnsi="Times New Roman" w:eastAsia="宋体" w:cs="Times New Roman"/>
          <w:b/>
          <w:bCs/>
          <w:kern w:val="44"/>
          <w:sz w:val="28"/>
          <w:szCs w:val="28"/>
        </w:rPr>
      </w:pPr>
    </w:p>
    <w:p>
      <w:pPr>
        <w:spacing w:line="560" w:lineRule="exact"/>
        <w:rPr>
          <w:rFonts w:ascii="Times New Roman" w:hAnsi="Times New Roman" w:eastAsia="宋体" w:cs="Times New Roman"/>
          <w:b/>
          <w:bCs/>
          <w:kern w:val="44"/>
          <w:sz w:val="28"/>
          <w:szCs w:val="28"/>
        </w:rPr>
      </w:pPr>
    </w:p>
    <w:p>
      <w:pPr>
        <w:spacing w:line="560" w:lineRule="exact"/>
        <w:rPr>
          <w:rFonts w:ascii="Times New Roman" w:hAnsi="Times New Roman" w:eastAsia="宋体" w:cs="Times New Roman"/>
          <w:b/>
          <w:bCs/>
          <w:kern w:val="44"/>
          <w:sz w:val="28"/>
          <w:szCs w:val="28"/>
        </w:rPr>
      </w:pPr>
    </w:p>
    <w:p>
      <w:pPr>
        <w:spacing w:line="560" w:lineRule="exact"/>
        <w:rPr>
          <w:rFonts w:ascii="Times New Roman" w:hAnsi="Times New Roman" w:eastAsia="宋体" w:cs="Times New Roman"/>
          <w:b/>
          <w:bCs/>
          <w:kern w:val="44"/>
          <w:sz w:val="28"/>
          <w:szCs w:val="28"/>
        </w:rPr>
      </w:pPr>
    </w:p>
    <w:p>
      <w:pPr>
        <w:spacing w:line="560" w:lineRule="exact"/>
        <w:rPr>
          <w:rFonts w:ascii="Times New Roman" w:hAnsi="Times New Roman" w:eastAsia="宋体" w:cs="Times New Roman"/>
          <w:b/>
          <w:bCs/>
          <w:kern w:val="44"/>
          <w:sz w:val="28"/>
          <w:szCs w:val="28"/>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方正小标宋简体">
    <w:altName w:val="黑体"/>
    <w:panose1 w:val="03000509000000000000"/>
    <w:charset w:val="86"/>
    <w:family w:val="script"/>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73434B"/>
    <w:multiLevelType w:val="singleLevel"/>
    <w:tmpl w:val="3A73434B"/>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F76"/>
    <w:rsid w:val="000022DC"/>
    <w:rsid w:val="00003D25"/>
    <w:rsid w:val="00016A61"/>
    <w:rsid w:val="00016CA9"/>
    <w:rsid w:val="00022D15"/>
    <w:rsid w:val="00024A15"/>
    <w:rsid w:val="00025043"/>
    <w:rsid w:val="000417BC"/>
    <w:rsid w:val="00044CB3"/>
    <w:rsid w:val="000501B4"/>
    <w:rsid w:val="00053E64"/>
    <w:rsid w:val="00056A85"/>
    <w:rsid w:val="00060BC2"/>
    <w:rsid w:val="00075930"/>
    <w:rsid w:val="000A3A2C"/>
    <w:rsid w:val="000B039B"/>
    <w:rsid w:val="000B13F1"/>
    <w:rsid w:val="000B1466"/>
    <w:rsid w:val="000B39F5"/>
    <w:rsid w:val="000B423C"/>
    <w:rsid w:val="000B45E8"/>
    <w:rsid w:val="000B4A15"/>
    <w:rsid w:val="000D0657"/>
    <w:rsid w:val="000D5BD9"/>
    <w:rsid w:val="000E3CD1"/>
    <w:rsid w:val="000F083C"/>
    <w:rsid w:val="000F0EDF"/>
    <w:rsid w:val="000F5532"/>
    <w:rsid w:val="000F7A62"/>
    <w:rsid w:val="00104362"/>
    <w:rsid w:val="00112AC0"/>
    <w:rsid w:val="00115C62"/>
    <w:rsid w:val="00122966"/>
    <w:rsid w:val="00126CEA"/>
    <w:rsid w:val="00130591"/>
    <w:rsid w:val="0013223D"/>
    <w:rsid w:val="001375C8"/>
    <w:rsid w:val="00137D8C"/>
    <w:rsid w:val="001433A0"/>
    <w:rsid w:val="00145AF1"/>
    <w:rsid w:val="00157AB6"/>
    <w:rsid w:val="00163BD4"/>
    <w:rsid w:val="00163D6D"/>
    <w:rsid w:val="00164721"/>
    <w:rsid w:val="00171396"/>
    <w:rsid w:val="00173210"/>
    <w:rsid w:val="00174425"/>
    <w:rsid w:val="00194C04"/>
    <w:rsid w:val="001A51FF"/>
    <w:rsid w:val="001B1810"/>
    <w:rsid w:val="001D72BC"/>
    <w:rsid w:val="001E4F62"/>
    <w:rsid w:val="001E5B6B"/>
    <w:rsid w:val="001F04A0"/>
    <w:rsid w:val="00201C6D"/>
    <w:rsid w:val="00206A9D"/>
    <w:rsid w:val="00212763"/>
    <w:rsid w:val="00240940"/>
    <w:rsid w:val="00245E45"/>
    <w:rsid w:val="00253977"/>
    <w:rsid w:val="00260761"/>
    <w:rsid w:val="002622C6"/>
    <w:rsid w:val="00266F7B"/>
    <w:rsid w:val="0027375C"/>
    <w:rsid w:val="00294968"/>
    <w:rsid w:val="002A04D7"/>
    <w:rsid w:val="002A27AB"/>
    <w:rsid w:val="002A7FC2"/>
    <w:rsid w:val="002C04E2"/>
    <w:rsid w:val="002C69F6"/>
    <w:rsid w:val="002D29E8"/>
    <w:rsid w:val="002D42F5"/>
    <w:rsid w:val="002E3A52"/>
    <w:rsid w:val="002E7929"/>
    <w:rsid w:val="00303BA9"/>
    <w:rsid w:val="00316C9C"/>
    <w:rsid w:val="003234BC"/>
    <w:rsid w:val="003316B8"/>
    <w:rsid w:val="00335399"/>
    <w:rsid w:val="0034185E"/>
    <w:rsid w:val="00350D95"/>
    <w:rsid w:val="00351B86"/>
    <w:rsid w:val="00363F8A"/>
    <w:rsid w:val="00372465"/>
    <w:rsid w:val="00385C76"/>
    <w:rsid w:val="00394AA3"/>
    <w:rsid w:val="003B450B"/>
    <w:rsid w:val="003B7575"/>
    <w:rsid w:val="003E0107"/>
    <w:rsid w:val="003E0E37"/>
    <w:rsid w:val="003E5CF1"/>
    <w:rsid w:val="00422439"/>
    <w:rsid w:val="00450C55"/>
    <w:rsid w:val="0047293B"/>
    <w:rsid w:val="00473172"/>
    <w:rsid w:val="00476CB0"/>
    <w:rsid w:val="00481096"/>
    <w:rsid w:val="00494C4F"/>
    <w:rsid w:val="004A2E9B"/>
    <w:rsid w:val="004A5819"/>
    <w:rsid w:val="004A62EF"/>
    <w:rsid w:val="004C6376"/>
    <w:rsid w:val="004E4A69"/>
    <w:rsid w:val="004E607E"/>
    <w:rsid w:val="004F1FD3"/>
    <w:rsid w:val="00503260"/>
    <w:rsid w:val="00507F8D"/>
    <w:rsid w:val="00515B1A"/>
    <w:rsid w:val="00536534"/>
    <w:rsid w:val="00563E37"/>
    <w:rsid w:val="00571D86"/>
    <w:rsid w:val="005832A9"/>
    <w:rsid w:val="0059560C"/>
    <w:rsid w:val="00596C30"/>
    <w:rsid w:val="00597B6E"/>
    <w:rsid w:val="00597BDB"/>
    <w:rsid w:val="005C332B"/>
    <w:rsid w:val="005E029B"/>
    <w:rsid w:val="005F3B7F"/>
    <w:rsid w:val="005F7DE1"/>
    <w:rsid w:val="006051FB"/>
    <w:rsid w:val="00607D96"/>
    <w:rsid w:val="00612374"/>
    <w:rsid w:val="00625AF7"/>
    <w:rsid w:val="006260E3"/>
    <w:rsid w:val="00633454"/>
    <w:rsid w:val="00634CE8"/>
    <w:rsid w:val="00640CEA"/>
    <w:rsid w:val="006510C8"/>
    <w:rsid w:val="00654114"/>
    <w:rsid w:val="00664420"/>
    <w:rsid w:val="00674646"/>
    <w:rsid w:val="00690221"/>
    <w:rsid w:val="00690279"/>
    <w:rsid w:val="00692633"/>
    <w:rsid w:val="006B5C69"/>
    <w:rsid w:val="006C1AFF"/>
    <w:rsid w:val="006D0965"/>
    <w:rsid w:val="006F67DA"/>
    <w:rsid w:val="00710E6E"/>
    <w:rsid w:val="0071271C"/>
    <w:rsid w:val="00712E51"/>
    <w:rsid w:val="00715494"/>
    <w:rsid w:val="0072684C"/>
    <w:rsid w:val="00726D22"/>
    <w:rsid w:val="00727F25"/>
    <w:rsid w:val="00733055"/>
    <w:rsid w:val="0073596D"/>
    <w:rsid w:val="0074465A"/>
    <w:rsid w:val="00750ED4"/>
    <w:rsid w:val="007604F7"/>
    <w:rsid w:val="00770A61"/>
    <w:rsid w:val="00776C2B"/>
    <w:rsid w:val="00781150"/>
    <w:rsid w:val="00791106"/>
    <w:rsid w:val="007934A8"/>
    <w:rsid w:val="007A5D60"/>
    <w:rsid w:val="007A69BE"/>
    <w:rsid w:val="007B5E3A"/>
    <w:rsid w:val="007E19B5"/>
    <w:rsid w:val="007F41DC"/>
    <w:rsid w:val="007F6083"/>
    <w:rsid w:val="00811FFE"/>
    <w:rsid w:val="00820EB2"/>
    <w:rsid w:val="00831007"/>
    <w:rsid w:val="0083437B"/>
    <w:rsid w:val="008361EB"/>
    <w:rsid w:val="008504EB"/>
    <w:rsid w:val="0085579D"/>
    <w:rsid w:val="008641BE"/>
    <w:rsid w:val="00864EBF"/>
    <w:rsid w:val="00881216"/>
    <w:rsid w:val="00886391"/>
    <w:rsid w:val="00894697"/>
    <w:rsid w:val="008A1035"/>
    <w:rsid w:val="008A26CD"/>
    <w:rsid w:val="008B3F76"/>
    <w:rsid w:val="008D1E2B"/>
    <w:rsid w:val="008D2929"/>
    <w:rsid w:val="008F09DC"/>
    <w:rsid w:val="008F0AF8"/>
    <w:rsid w:val="008F28E6"/>
    <w:rsid w:val="00902AD1"/>
    <w:rsid w:val="009073B7"/>
    <w:rsid w:val="009126AA"/>
    <w:rsid w:val="0091488A"/>
    <w:rsid w:val="00923C3D"/>
    <w:rsid w:val="00935A12"/>
    <w:rsid w:val="009529C8"/>
    <w:rsid w:val="00954F39"/>
    <w:rsid w:val="009567EF"/>
    <w:rsid w:val="00957EB4"/>
    <w:rsid w:val="0096152F"/>
    <w:rsid w:val="00963B5D"/>
    <w:rsid w:val="009663B5"/>
    <w:rsid w:val="00966568"/>
    <w:rsid w:val="00970ECC"/>
    <w:rsid w:val="00981CE0"/>
    <w:rsid w:val="009838BE"/>
    <w:rsid w:val="009967CB"/>
    <w:rsid w:val="009A7673"/>
    <w:rsid w:val="009B23AB"/>
    <w:rsid w:val="009C5049"/>
    <w:rsid w:val="009C5DB7"/>
    <w:rsid w:val="009C6A27"/>
    <w:rsid w:val="009D5697"/>
    <w:rsid w:val="009E0B5E"/>
    <w:rsid w:val="009E0CEC"/>
    <w:rsid w:val="009E4E30"/>
    <w:rsid w:val="009F76C1"/>
    <w:rsid w:val="009F7BDC"/>
    <w:rsid w:val="00A10EB5"/>
    <w:rsid w:val="00A11D68"/>
    <w:rsid w:val="00A13AC1"/>
    <w:rsid w:val="00A146C8"/>
    <w:rsid w:val="00A14CFE"/>
    <w:rsid w:val="00A3373D"/>
    <w:rsid w:val="00A44A17"/>
    <w:rsid w:val="00A46164"/>
    <w:rsid w:val="00A500C2"/>
    <w:rsid w:val="00A505D9"/>
    <w:rsid w:val="00A51CBC"/>
    <w:rsid w:val="00A57B8A"/>
    <w:rsid w:val="00A64CC8"/>
    <w:rsid w:val="00A71C4F"/>
    <w:rsid w:val="00A9624F"/>
    <w:rsid w:val="00AA1ACC"/>
    <w:rsid w:val="00AE15EA"/>
    <w:rsid w:val="00AE515F"/>
    <w:rsid w:val="00AF5032"/>
    <w:rsid w:val="00B00E36"/>
    <w:rsid w:val="00B0474E"/>
    <w:rsid w:val="00B07C81"/>
    <w:rsid w:val="00B242CB"/>
    <w:rsid w:val="00B34C86"/>
    <w:rsid w:val="00B425DD"/>
    <w:rsid w:val="00B50D1C"/>
    <w:rsid w:val="00B54BF6"/>
    <w:rsid w:val="00B649E3"/>
    <w:rsid w:val="00B65B52"/>
    <w:rsid w:val="00B65D75"/>
    <w:rsid w:val="00B845CB"/>
    <w:rsid w:val="00B86B6E"/>
    <w:rsid w:val="00BA22A9"/>
    <w:rsid w:val="00BB0903"/>
    <w:rsid w:val="00BB5571"/>
    <w:rsid w:val="00BC0631"/>
    <w:rsid w:val="00BC5437"/>
    <w:rsid w:val="00BC6ECA"/>
    <w:rsid w:val="00BD02B9"/>
    <w:rsid w:val="00BE2672"/>
    <w:rsid w:val="00BE6CCB"/>
    <w:rsid w:val="00BF2ACC"/>
    <w:rsid w:val="00C00A8C"/>
    <w:rsid w:val="00C111AB"/>
    <w:rsid w:val="00C1273F"/>
    <w:rsid w:val="00C4080E"/>
    <w:rsid w:val="00C62481"/>
    <w:rsid w:val="00C67974"/>
    <w:rsid w:val="00C67CB3"/>
    <w:rsid w:val="00CB1407"/>
    <w:rsid w:val="00CB66C1"/>
    <w:rsid w:val="00CB6885"/>
    <w:rsid w:val="00CB6B60"/>
    <w:rsid w:val="00CC18A2"/>
    <w:rsid w:val="00CC2E56"/>
    <w:rsid w:val="00CD0B70"/>
    <w:rsid w:val="00CE0421"/>
    <w:rsid w:val="00CE4CAA"/>
    <w:rsid w:val="00D14A23"/>
    <w:rsid w:val="00D22006"/>
    <w:rsid w:val="00D22BA2"/>
    <w:rsid w:val="00D3642C"/>
    <w:rsid w:val="00D37313"/>
    <w:rsid w:val="00D417F2"/>
    <w:rsid w:val="00D51332"/>
    <w:rsid w:val="00D536D9"/>
    <w:rsid w:val="00D71AA5"/>
    <w:rsid w:val="00D83118"/>
    <w:rsid w:val="00D861C4"/>
    <w:rsid w:val="00D91D2A"/>
    <w:rsid w:val="00D91E52"/>
    <w:rsid w:val="00DA1846"/>
    <w:rsid w:val="00DB2819"/>
    <w:rsid w:val="00DC0E74"/>
    <w:rsid w:val="00DF65CD"/>
    <w:rsid w:val="00E15998"/>
    <w:rsid w:val="00E16E04"/>
    <w:rsid w:val="00E17F1F"/>
    <w:rsid w:val="00E20CB5"/>
    <w:rsid w:val="00E3282D"/>
    <w:rsid w:val="00E36EFA"/>
    <w:rsid w:val="00E54A12"/>
    <w:rsid w:val="00E71D28"/>
    <w:rsid w:val="00E72C83"/>
    <w:rsid w:val="00E901AE"/>
    <w:rsid w:val="00E90776"/>
    <w:rsid w:val="00E94B5C"/>
    <w:rsid w:val="00EA3680"/>
    <w:rsid w:val="00EB1936"/>
    <w:rsid w:val="00EB7D43"/>
    <w:rsid w:val="00EC3945"/>
    <w:rsid w:val="00ED3906"/>
    <w:rsid w:val="00ED3A4F"/>
    <w:rsid w:val="00ED589D"/>
    <w:rsid w:val="00ED589E"/>
    <w:rsid w:val="00EF64CC"/>
    <w:rsid w:val="00F014F8"/>
    <w:rsid w:val="00F11708"/>
    <w:rsid w:val="00F163F2"/>
    <w:rsid w:val="00F2021A"/>
    <w:rsid w:val="00F31F98"/>
    <w:rsid w:val="00F355E7"/>
    <w:rsid w:val="00F56D06"/>
    <w:rsid w:val="00F61E23"/>
    <w:rsid w:val="00F76D48"/>
    <w:rsid w:val="00F8021D"/>
    <w:rsid w:val="00F8043E"/>
    <w:rsid w:val="00F91B80"/>
    <w:rsid w:val="00FA1740"/>
    <w:rsid w:val="00FB4BFF"/>
    <w:rsid w:val="00FD2728"/>
    <w:rsid w:val="00FD2D27"/>
    <w:rsid w:val="00FF2B40"/>
    <w:rsid w:val="038E06D5"/>
    <w:rsid w:val="04EE5D27"/>
    <w:rsid w:val="064D6E62"/>
    <w:rsid w:val="07115CA7"/>
    <w:rsid w:val="098A7725"/>
    <w:rsid w:val="0B180F02"/>
    <w:rsid w:val="0BA320D9"/>
    <w:rsid w:val="0BAB2B32"/>
    <w:rsid w:val="0C60355A"/>
    <w:rsid w:val="0D094D23"/>
    <w:rsid w:val="0F130732"/>
    <w:rsid w:val="0FEF02B3"/>
    <w:rsid w:val="10005FCF"/>
    <w:rsid w:val="11C80D2F"/>
    <w:rsid w:val="12CF64CA"/>
    <w:rsid w:val="14FC0333"/>
    <w:rsid w:val="18137DE7"/>
    <w:rsid w:val="184B771C"/>
    <w:rsid w:val="185C5EF5"/>
    <w:rsid w:val="18EF0876"/>
    <w:rsid w:val="1B841B34"/>
    <w:rsid w:val="1C3F2267"/>
    <w:rsid w:val="1DC34CBF"/>
    <w:rsid w:val="1E1D321D"/>
    <w:rsid w:val="1F0E2DF2"/>
    <w:rsid w:val="20D21CE6"/>
    <w:rsid w:val="21B86BD1"/>
    <w:rsid w:val="22F733E5"/>
    <w:rsid w:val="234E7E7B"/>
    <w:rsid w:val="23500862"/>
    <w:rsid w:val="25E74C49"/>
    <w:rsid w:val="275A3C06"/>
    <w:rsid w:val="27CC16F7"/>
    <w:rsid w:val="281B09D9"/>
    <w:rsid w:val="28C05F70"/>
    <w:rsid w:val="2C36021E"/>
    <w:rsid w:val="2DFE336D"/>
    <w:rsid w:val="2EB0580E"/>
    <w:rsid w:val="2F455F0C"/>
    <w:rsid w:val="301C48FC"/>
    <w:rsid w:val="3359621B"/>
    <w:rsid w:val="33B92B69"/>
    <w:rsid w:val="34FB25EA"/>
    <w:rsid w:val="35A4398E"/>
    <w:rsid w:val="396644AA"/>
    <w:rsid w:val="3A1C55F2"/>
    <w:rsid w:val="3A5630C0"/>
    <w:rsid w:val="3BEF1864"/>
    <w:rsid w:val="3DE27716"/>
    <w:rsid w:val="402740CC"/>
    <w:rsid w:val="405B0B05"/>
    <w:rsid w:val="407035C7"/>
    <w:rsid w:val="46D033B9"/>
    <w:rsid w:val="471A5C34"/>
    <w:rsid w:val="48794DE4"/>
    <w:rsid w:val="48D6398B"/>
    <w:rsid w:val="49BA2D04"/>
    <w:rsid w:val="4AEF796F"/>
    <w:rsid w:val="4C0D7738"/>
    <w:rsid w:val="4CD3485F"/>
    <w:rsid w:val="4E4D17BD"/>
    <w:rsid w:val="4EDE25A2"/>
    <w:rsid w:val="4FE83829"/>
    <w:rsid w:val="51481FE6"/>
    <w:rsid w:val="51F56365"/>
    <w:rsid w:val="53C46FFC"/>
    <w:rsid w:val="55330BCD"/>
    <w:rsid w:val="55820257"/>
    <w:rsid w:val="5612081B"/>
    <w:rsid w:val="578E4E34"/>
    <w:rsid w:val="58514AE8"/>
    <w:rsid w:val="5A170C5A"/>
    <w:rsid w:val="5A6B39CA"/>
    <w:rsid w:val="5B177AB4"/>
    <w:rsid w:val="5F2B41CB"/>
    <w:rsid w:val="617D4615"/>
    <w:rsid w:val="623B0A18"/>
    <w:rsid w:val="625F5632"/>
    <w:rsid w:val="63F6448F"/>
    <w:rsid w:val="64444760"/>
    <w:rsid w:val="64614758"/>
    <w:rsid w:val="667557A7"/>
    <w:rsid w:val="67AA71B9"/>
    <w:rsid w:val="69640E3E"/>
    <w:rsid w:val="6A565A61"/>
    <w:rsid w:val="6B1E73CA"/>
    <w:rsid w:val="6CB225F8"/>
    <w:rsid w:val="6D0F7B79"/>
    <w:rsid w:val="6D381B83"/>
    <w:rsid w:val="6E4459F8"/>
    <w:rsid w:val="6F877612"/>
    <w:rsid w:val="71290C33"/>
    <w:rsid w:val="713B5F46"/>
    <w:rsid w:val="75E3369E"/>
    <w:rsid w:val="76182206"/>
    <w:rsid w:val="763A0087"/>
    <w:rsid w:val="76FF7B36"/>
    <w:rsid w:val="7744378B"/>
    <w:rsid w:val="77B93FBB"/>
    <w:rsid w:val="77F339C2"/>
    <w:rsid w:val="784A7A67"/>
    <w:rsid w:val="7928279E"/>
    <w:rsid w:val="79851D6D"/>
    <w:rsid w:val="7A286A5A"/>
    <w:rsid w:val="7ADF0D25"/>
    <w:rsid w:val="7C4B2587"/>
    <w:rsid w:val="7CDD5DBF"/>
    <w:rsid w:val="7D1C02CF"/>
    <w:rsid w:val="7D215CA4"/>
    <w:rsid w:val="7F2C39A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8"/>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36"/>
    <w:unhideWhenUsed/>
    <w:qFormat/>
    <w:uiPriority w:val="99"/>
    <w:rPr>
      <w:rFonts w:ascii="宋体" w:eastAsia="宋体"/>
      <w:sz w:val="18"/>
      <w:szCs w:val="18"/>
    </w:rPr>
  </w:style>
  <w:style w:type="paragraph" w:styleId="6">
    <w:name w:val="toc 3"/>
    <w:basedOn w:val="1"/>
    <w:next w:val="1"/>
    <w:unhideWhenUsed/>
    <w:qFormat/>
    <w:uiPriority w:val="39"/>
    <w:pPr>
      <w:widowControl/>
      <w:spacing w:after="100" w:line="276" w:lineRule="auto"/>
      <w:ind w:left="440"/>
      <w:jc w:val="left"/>
    </w:pPr>
    <w:rPr>
      <w:kern w:val="0"/>
      <w:sz w:val="22"/>
    </w:rPr>
  </w:style>
  <w:style w:type="paragraph" w:styleId="7">
    <w:name w:val="Date"/>
    <w:basedOn w:val="1"/>
    <w:next w:val="1"/>
    <w:link w:val="32"/>
    <w:unhideWhenUsed/>
    <w:qFormat/>
    <w:uiPriority w:val="99"/>
    <w:pPr>
      <w:ind w:left="100" w:leftChars="2500"/>
    </w:pPr>
  </w:style>
  <w:style w:type="paragraph" w:styleId="8">
    <w:name w:val="Balloon Text"/>
    <w:basedOn w:val="1"/>
    <w:link w:val="30"/>
    <w:unhideWhenUsed/>
    <w:qFormat/>
    <w:uiPriority w:val="99"/>
    <w:rPr>
      <w:sz w:val="18"/>
      <w:szCs w:val="18"/>
    </w:rPr>
  </w:style>
  <w:style w:type="paragraph" w:styleId="9">
    <w:name w:val="footer"/>
    <w:basedOn w:val="1"/>
    <w:link w:val="29"/>
    <w:unhideWhenUsed/>
    <w:qFormat/>
    <w:uiPriority w:val="99"/>
    <w:pPr>
      <w:tabs>
        <w:tab w:val="center" w:pos="4153"/>
        <w:tab w:val="right" w:pos="8306"/>
      </w:tabs>
      <w:snapToGrid w:val="0"/>
      <w:jc w:val="left"/>
    </w:pPr>
    <w:rPr>
      <w:sz w:val="18"/>
      <w:szCs w:val="18"/>
    </w:rPr>
  </w:style>
  <w:style w:type="paragraph" w:styleId="10">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76" w:lineRule="auto"/>
      <w:jc w:val="left"/>
    </w:pPr>
    <w:rPr>
      <w:kern w:val="0"/>
      <w:sz w:val="22"/>
    </w:rPr>
  </w:style>
  <w:style w:type="paragraph" w:styleId="12">
    <w:name w:val="Subtitle"/>
    <w:basedOn w:val="1"/>
    <w:next w:val="1"/>
    <w:link w:val="31"/>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3">
    <w:name w:val="toc 2"/>
    <w:basedOn w:val="1"/>
    <w:next w:val="1"/>
    <w:unhideWhenUsed/>
    <w:qFormat/>
    <w:uiPriority w:val="39"/>
    <w:pPr>
      <w:widowControl/>
      <w:tabs>
        <w:tab w:val="right" w:leader="dot" w:pos="8296"/>
      </w:tabs>
      <w:spacing w:after="100" w:line="276" w:lineRule="auto"/>
      <w:ind w:left="220"/>
      <w:jc w:val="left"/>
    </w:pPr>
    <w:rPr>
      <w:rFonts w:ascii="Times New Roman" w:hAnsi="Times New Roman" w:eastAsia="宋体" w:cs="Times New Roman"/>
      <w:b/>
      <w:kern w:val="0"/>
      <w:sz w:val="22"/>
    </w:rPr>
  </w:style>
  <w:style w:type="character" w:styleId="16">
    <w:name w:val="Strong"/>
    <w:basedOn w:val="15"/>
    <w:qFormat/>
    <w:uiPriority w:val="22"/>
  </w:style>
  <w:style w:type="character" w:styleId="17">
    <w:name w:val="FollowedHyperlink"/>
    <w:basedOn w:val="15"/>
    <w:unhideWhenUsed/>
    <w:qFormat/>
    <w:uiPriority w:val="99"/>
    <w:rPr>
      <w:color w:val="333333"/>
      <w:u w:val="none"/>
    </w:rPr>
  </w:style>
  <w:style w:type="character" w:styleId="18">
    <w:name w:val="Emphasis"/>
    <w:basedOn w:val="15"/>
    <w:qFormat/>
    <w:uiPriority w:val="20"/>
  </w:style>
  <w:style w:type="character" w:styleId="19">
    <w:name w:val="HTML Definition"/>
    <w:basedOn w:val="15"/>
    <w:unhideWhenUsed/>
    <w:qFormat/>
    <w:uiPriority w:val="99"/>
  </w:style>
  <w:style w:type="character" w:styleId="20">
    <w:name w:val="HTML Typewriter"/>
    <w:basedOn w:val="15"/>
    <w:unhideWhenUsed/>
    <w:qFormat/>
    <w:uiPriority w:val="99"/>
    <w:rPr>
      <w:rFonts w:hint="default" w:ascii="monospace" w:hAnsi="monospace" w:eastAsia="monospace" w:cs="monospace"/>
      <w:sz w:val="20"/>
    </w:rPr>
  </w:style>
  <w:style w:type="character" w:styleId="21">
    <w:name w:val="HTML Acronym"/>
    <w:basedOn w:val="15"/>
    <w:unhideWhenUsed/>
    <w:qFormat/>
    <w:uiPriority w:val="99"/>
  </w:style>
  <w:style w:type="character" w:styleId="22">
    <w:name w:val="HTML Variable"/>
    <w:basedOn w:val="15"/>
    <w:unhideWhenUsed/>
    <w:qFormat/>
    <w:uiPriority w:val="99"/>
  </w:style>
  <w:style w:type="character" w:styleId="23">
    <w:name w:val="Hyperlink"/>
    <w:basedOn w:val="15"/>
    <w:unhideWhenUsed/>
    <w:qFormat/>
    <w:uiPriority w:val="99"/>
    <w:rPr>
      <w:color w:val="0000FF" w:themeColor="hyperlink"/>
      <w:u w:val="single"/>
    </w:rPr>
  </w:style>
  <w:style w:type="character" w:styleId="24">
    <w:name w:val="HTML Code"/>
    <w:basedOn w:val="15"/>
    <w:unhideWhenUsed/>
    <w:qFormat/>
    <w:uiPriority w:val="99"/>
    <w:rPr>
      <w:rFonts w:hint="default" w:ascii="monospace" w:hAnsi="monospace" w:eastAsia="monospace" w:cs="monospace"/>
      <w:sz w:val="20"/>
    </w:rPr>
  </w:style>
  <w:style w:type="character" w:styleId="25">
    <w:name w:val="HTML Cite"/>
    <w:basedOn w:val="15"/>
    <w:unhideWhenUsed/>
    <w:qFormat/>
    <w:uiPriority w:val="99"/>
  </w:style>
  <w:style w:type="character" w:styleId="26">
    <w:name w:val="HTML Keyboard"/>
    <w:basedOn w:val="15"/>
    <w:unhideWhenUsed/>
    <w:qFormat/>
    <w:uiPriority w:val="99"/>
    <w:rPr>
      <w:rFonts w:hint="default" w:ascii="monospace" w:hAnsi="monospace" w:eastAsia="monospace" w:cs="monospace"/>
      <w:sz w:val="20"/>
    </w:rPr>
  </w:style>
  <w:style w:type="character" w:styleId="27">
    <w:name w:val="HTML Sample"/>
    <w:basedOn w:val="15"/>
    <w:unhideWhenUsed/>
    <w:qFormat/>
    <w:uiPriority w:val="99"/>
    <w:rPr>
      <w:rFonts w:ascii="monospace" w:hAnsi="monospace" w:eastAsia="monospace" w:cs="monospace"/>
    </w:rPr>
  </w:style>
  <w:style w:type="character" w:customStyle="1" w:styleId="28">
    <w:name w:val="页眉 Char"/>
    <w:basedOn w:val="15"/>
    <w:link w:val="10"/>
    <w:qFormat/>
    <w:uiPriority w:val="99"/>
    <w:rPr>
      <w:sz w:val="18"/>
      <w:szCs w:val="18"/>
    </w:rPr>
  </w:style>
  <w:style w:type="character" w:customStyle="1" w:styleId="29">
    <w:name w:val="页脚 Char"/>
    <w:basedOn w:val="15"/>
    <w:link w:val="9"/>
    <w:qFormat/>
    <w:uiPriority w:val="99"/>
    <w:rPr>
      <w:sz w:val="18"/>
      <w:szCs w:val="18"/>
    </w:rPr>
  </w:style>
  <w:style w:type="character" w:customStyle="1" w:styleId="30">
    <w:name w:val="批注框文本 Char"/>
    <w:basedOn w:val="15"/>
    <w:link w:val="8"/>
    <w:semiHidden/>
    <w:qFormat/>
    <w:uiPriority w:val="99"/>
    <w:rPr>
      <w:sz w:val="18"/>
      <w:szCs w:val="18"/>
    </w:rPr>
  </w:style>
  <w:style w:type="character" w:customStyle="1" w:styleId="31">
    <w:name w:val="副标题 Char"/>
    <w:basedOn w:val="15"/>
    <w:link w:val="12"/>
    <w:qFormat/>
    <w:uiPriority w:val="11"/>
    <w:rPr>
      <w:rFonts w:eastAsia="宋体" w:asciiTheme="majorHAnsi" w:hAnsiTheme="majorHAnsi" w:cstheme="majorBidi"/>
      <w:b/>
      <w:bCs/>
      <w:kern w:val="28"/>
      <w:sz w:val="32"/>
      <w:szCs w:val="32"/>
    </w:rPr>
  </w:style>
  <w:style w:type="character" w:customStyle="1" w:styleId="32">
    <w:name w:val="日期 Char"/>
    <w:basedOn w:val="15"/>
    <w:link w:val="7"/>
    <w:semiHidden/>
    <w:qFormat/>
    <w:uiPriority w:val="99"/>
    <w:rPr>
      <w:kern w:val="2"/>
      <w:sz w:val="21"/>
      <w:szCs w:val="22"/>
    </w:rPr>
  </w:style>
  <w:style w:type="paragraph" w:customStyle="1" w:styleId="33">
    <w:name w:val="列出段落1"/>
    <w:basedOn w:val="1"/>
    <w:unhideWhenUsed/>
    <w:qFormat/>
    <w:uiPriority w:val="99"/>
    <w:pPr>
      <w:ind w:firstLine="420" w:firstLineChars="200"/>
    </w:pPr>
  </w:style>
  <w:style w:type="character" w:customStyle="1" w:styleId="34">
    <w:name w:val="标题 1 Char"/>
    <w:basedOn w:val="15"/>
    <w:link w:val="2"/>
    <w:qFormat/>
    <w:uiPriority w:val="9"/>
    <w:rPr>
      <w:b/>
      <w:bCs/>
      <w:kern w:val="44"/>
      <w:sz w:val="44"/>
      <w:szCs w:val="44"/>
    </w:rPr>
  </w:style>
  <w:style w:type="character" w:customStyle="1" w:styleId="35">
    <w:name w:val="标题 2 Char"/>
    <w:basedOn w:val="15"/>
    <w:link w:val="3"/>
    <w:semiHidden/>
    <w:qFormat/>
    <w:uiPriority w:val="9"/>
    <w:rPr>
      <w:rFonts w:asciiTheme="majorHAnsi" w:hAnsiTheme="majorHAnsi" w:eastAsiaTheme="majorEastAsia" w:cstheme="majorBidi"/>
      <w:b/>
      <w:bCs/>
      <w:kern w:val="2"/>
      <w:sz w:val="32"/>
      <w:szCs w:val="32"/>
    </w:rPr>
  </w:style>
  <w:style w:type="character" w:customStyle="1" w:styleId="36">
    <w:name w:val="文档结构图 Char"/>
    <w:basedOn w:val="15"/>
    <w:link w:val="5"/>
    <w:semiHidden/>
    <w:qFormat/>
    <w:uiPriority w:val="99"/>
    <w:rPr>
      <w:rFonts w:ascii="宋体" w:eastAsia="宋体"/>
      <w:kern w:val="2"/>
      <w:sz w:val="18"/>
      <w:szCs w:val="18"/>
    </w:rPr>
  </w:style>
  <w:style w:type="paragraph" w:customStyle="1" w:styleId="37">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8">
    <w:name w:val="标题 3 Char"/>
    <w:basedOn w:val="15"/>
    <w:link w:val="4"/>
    <w:qFormat/>
    <w:uiPriority w:val="9"/>
    <w:rPr>
      <w:rFonts w:asciiTheme="minorHAnsi" w:hAnsiTheme="minorHAnsi" w:eastAsiaTheme="minorEastAsia" w:cstheme="minorBidi"/>
      <w:b/>
      <w:bCs/>
      <w:kern w:val="2"/>
      <w:sz w:val="32"/>
      <w:szCs w:val="32"/>
    </w:rPr>
  </w:style>
  <w:style w:type="paragraph" w:styleId="3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E33BCA-B38C-44AF-B96F-DCC9AFB19457}">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Pages>
  <Words>490</Words>
  <Characters>510</Characters>
  <Lines>85</Lines>
  <Paragraphs>90</Paragraphs>
  <TotalTime>23</TotalTime>
  <ScaleCrop>false</ScaleCrop>
  <LinksUpToDate>false</LinksUpToDate>
  <CharactersWithSpaces>910</CharactersWithSpaces>
  <Application>WPS Office_11.1.0.10228_F1E327BC-269C-435d-A152-05C5408002CA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2019-02-11T03:12:00Z</dcterms:created>
  <dc:creator>USER</dc:creator>
  <cp:lastModifiedBy>wyl</cp:lastModifiedBy>
  <dcterms:modified xsi:type="dcterms:W3CDTF">2021-01-04T06:14:51Z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