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b/>
          <w:bCs/>
          <w:color w:val="000000" w:themeColor="text1"/>
          <w:sz w:val="36"/>
          <w:szCs w:val="36"/>
        </w:rPr>
      </w:pPr>
      <w:bookmarkStart w:id="0" w:name="_Toc60391708"/>
      <w:r>
        <w:rPr>
          <w:b/>
          <w:bCs/>
          <w:color w:val="000000" w:themeColor="text1"/>
          <w:sz w:val="36"/>
          <w:szCs w:val="36"/>
        </w:rPr>
        <w:t>采购项目编号：</w:t>
      </w:r>
      <w:bookmarkEnd w:id="0"/>
      <w:r>
        <w:rPr>
          <w:b/>
          <w:bCs/>
          <w:color w:val="000000" w:themeColor="text1"/>
          <w:sz w:val="36"/>
          <w:szCs w:val="36"/>
        </w:rPr>
        <w:t xml:space="preserve"> </w:t>
      </w:r>
    </w:p>
    <w:p>
      <w:pPr>
        <w:pStyle w:val="2"/>
        <w:ind w:left="2168" w:hanging="2160" w:hangingChars="600"/>
        <w:jc w:val="both"/>
        <w:rPr>
          <w:rFonts w:hint="default"/>
          <w:b/>
          <w:bCs/>
          <w:color w:val="000000" w:themeColor="text1"/>
          <w:sz w:val="36"/>
          <w:szCs w:val="36"/>
        </w:rPr>
      </w:pPr>
      <w:r>
        <w:rPr>
          <w:b/>
          <w:bCs/>
          <w:color w:val="000000" w:themeColor="text1"/>
          <w:sz w:val="36"/>
          <w:szCs w:val="36"/>
        </w:rPr>
        <w:t>采购项目名称</w:t>
      </w:r>
      <w:r>
        <w:rPr>
          <w:rFonts w:asciiTheme="minorEastAsia" w:hAnsiTheme="minorEastAsia" w:eastAsiaTheme="minorEastAsia"/>
          <w:b/>
          <w:bCs/>
          <w:color w:val="000000" w:themeColor="text1"/>
          <w:sz w:val="28"/>
          <w:szCs w:val="28"/>
        </w:rPr>
        <w:t>：</w:t>
      </w:r>
      <w:r>
        <w:rPr>
          <w:rFonts w:ascii="黑体" w:hAnsi="黑体" w:eastAsia="黑体"/>
          <w:color w:val="333333"/>
          <w:sz w:val="32"/>
          <w:szCs w:val="32"/>
        </w:rPr>
        <w:t>东城街道二马路社区老旧建筑消防安全隐患2020年度整改工程</w:t>
      </w:r>
    </w:p>
    <w:p>
      <w:pPr>
        <w:spacing w:line="360" w:lineRule="auto"/>
        <w:jc w:val="center"/>
        <w:rPr>
          <w:rFonts w:ascii="黑体" w:hAnsi="黑体" w:eastAsia="黑体" w:cs="黑体"/>
          <w:color w:val="000000" w:themeColor="text1"/>
          <w:sz w:val="52"/>
          <w:szCs w:val="52"/>
        </w:rPr>
      </w:pPr>
      <w:r>
        <w:rPr>
          <w:rFonts w:hint="eastAsia" w:ascii="黑体" w:hAnsi="黑体" w:eastAsia="黑体" w:cs="黑体"/>
          <w:color w:val="000000" w:themeColor="text1"/>
          <w:sz w:val="52"/>
          <w:szCs w:val="52"/>
        </w:rPr>
        <w:t>资</w:t>
      </w:r>
    </w:p>
    <w:p>
      <w:pPr>
        <w:spacing w:line="360" w:lineRule="auto"/>
        <w:jc w:val="center"/>
        <w:rPr>
          <w:rFonts w:ascii="黑体" w:hAnsi="黑体" w:eastAsia="黑体" w:cs="黑体"/>
          <w:color w:val="000000" w:themeColor="text1"/>
          <w:sz w:val="52"/>
          <w:szCs w:val="52"/>
        </w:rPr>
      </w:pPr>
      <w:r>
        <w:rPr>
          <w:rFonts w:hint="eastAsia" w:ascii="黑体" w:hAnsi="黑体" w:eastAsia="黑体" w:cs="黑体"/>
          <w:color w:val="000000" w:themeColor="text1"/>
          <w:sz w:val="52"/>
          <w:szCs w:val="52"/>
        </w:rPr>
        <w:t>格</w:t>
      </w:r>
    </w:p>
    <w:p>
      <w:pPr>
        <w:spacing w:line="360" w:lineRule="auto"/>
        <w:jc w:val="center"/>
        <w:rPr>
          <w:rFonts w:ascii="黑体" w:hAnsi="黑体" w:eastAsia="黑体" w:cs="黑体"/>
          <w:color w:val="000000" w:themeColor="text1"/>
          <w:sz w:val="52"/>
          <w:szCs w:val="52"/>
        </w:rPr>
      </w:pPr>
      <w:r>
        <w:rPr>
          <w:rFonts w:hint="eastAsia" w:ascii="黑体" w:hAnsi="黑体" w:eastAsia="黑体" w:cs="黑体"/>
          <w:color w:val="000000" w:themeColor="text1"/>
          <w:sz w:val="52"/>
          <w:szCs w:val="52"/>
        </w:rPr>
        <w:t>预</w:t>
      </w:r>
    </w:p>
    <w:p>
      <w:pPr>
        <w:spacing w:line="360" w:lineRule="auto"/>
        <w:jc w:val="center"/>
        <w:rPr>
          <w:rFonts w:ascii="黑体" w:hAnsi="黑体" w:eastAsia="黑体"/>
          <w:color w:val="000000" w:themeColor="text1"/>
          <w:sz w:val="52"/>
          <w:szCs w:val="52"/>
        </w:rPr>
      </w:pPr>
      <w:r>
        <w:rPr>
          <w:rFonts w:hint="eastAsia" w:ascii="黑体" w:hAnsi="黑体" w:eastAsia="黑体" w:cs="黑体"/>
          <w:color w:val="000000" w:themeColor="text1"/>
          <w:sz w:val="52"/>
          <w:szCs w:val="52"/>
        </w:rPr>
        <w:t>审</w:t>
      </w:r>
    </w:p>
    <w:p>
      <w:pPr>
        <w:spacing w:line="360" w:lineRule="auto"/>
        <w:jc w:val="center"/>
        <w:rPr>
          <w:rFonts w:ascii="黑体" w:hAnsi="黑体" w:eastAsia="黑体"/>
          <w:color w:val="000000" w:themeColor="text1"/>
          <w:sz w:val="52"/>
          <w:szCs w:val="52"/>
        </w:rPr>
      </w:pPr>
      <w:r>
        <w:rPr>
          <w:rFonts w:hint="eastAsia" w:ascii="黑体" w:hAnsi="黑体" w:eastAsia="黑体" w:cs="黑体"/>
          <w:color w:val="000000" w:themeColor="text1"/>
          <w:sz w:val="52"/>
          <w:szCs w:val="52"/>
        </w:rPr>
        <w:t>文</w:t>
      </w:r>
    </w:p>
    <w:p>
      <w:pPr>
        <w:spacing w:line="360" w:lineRule="auto"/>
        <w:jc w:val="center"/>
        <w:rPr>
          <w:rFonts w:ascii="黑体" w:hAnsi="黑体" w:eastAsia="黑体"/>
          <w:color w:val="000000" w:themeColor="text1"/>
          <w:sz w:val="52"/>
          <w:szCs w:val="52"/>
        </w:rPr>
      </w:pPr>
      <w:r>
        <w:rPr>
          <w:rFonts w:hint="eastAsia" w:ascii="黑体" w:hAnsi="黑体" w:eastAsia="黑体" w:cs="黑体"/>
          <w:color w:val="000000" w:themeColor="text1"/>
          <w:sz w:val="52"/>
          <w:szCs w:val="52"/>
        </w:rPr>
        <w:t>件</w:t>
      </w:r>
    </w:p>
    <w:p>
      <w:pPr>
        <w:spacing w:line="360" w:lineRule="auto"/>
        <w:rPr>
          <w:rFonts w:ascii="黑体" w:hAnsi="黑体" w:eastAsia="黑体"/>
          <w:color w:val="000000" w:themeColor="text1"/>
          <w:sz w:val="32"/>
          <w:szCs w:val="32"/>
        </w:rPr>
      </w:pPr>
    </w:p>
    <w:p>
      <w:pPr>
        <w:jc w:val="center"/>
        <w:rPr>
          <w:b/>
          <w:bCs/>
          <w:color w:val="000000" w:themeColor="text1"/>
          <w:sz w:val="36"/>
          <w:szCs w:val="36"/>
        </w:rPr>
      </w:pPr>
      <w:bookmarkStart w:id="1" w:name="PO_年份小写_1"/>
      <w:r>
        <w:rPr>
          <w:rFonts w:hint="eastAsia"/>
          <w:b/>
          <w:bCs/>
          <w:color w:val="000000" w:themeColor="text1"/>
          <w:sz w:val="32"/>
          <w:szCs w:val="32"/>
        </w:rPr>
        <w:t>中国·四川·达州市</w:t>
      </w:r>
    </w:p>
    <w:p>
      <w:pPr>
        <w:jc w:val="center"/>
        <w:rPr>
          <w:b/>
          <w:bCs/>
          <w:color w:val="000000" w:themeColor="text1"/>
          <w:sz w:val="32"/>
          <w:szCs w:val="32"/>
        </w:rPr>
      </w:pPr>
    </w:p>
    <w:p/>
    <w:tbl>
      <w:tblPr>
        <w:tblStyle w:val="22"/>
        <w:tblW w:w="10260"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30"/>
        <w:gridCol w:w="513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0" w:type="dxa"/>
            <w:tcBorders>
              <w:top w:val="nil"/>
              <w:left w:val="nil"/>
              <w:bottom w:val="nil"/>
              <w:right w:val="nil"/>
            </w:tcBorders>
          </w:tcPr>
          <w:p>
            <w:pPr>
              <w:rPr>
                <w:color w:val="000000" w:themeColor="text1"/>
                <w:sz w:val="28"/>
                <w:szCs w:val="28"/>
              </w:rPr>
            </w:pPr>
            <w:bookmarkStart w:id="2" w:name="_Toc60399669"/>
            <w:bookmarkStart w:id="3" w:name="_Toc60391709"/>
          </w:p>
          <w:p>
            <w:pPr>
              <w:rPr>
                <w:color w:val="000000" w:themeColor="text1"/>
                <w:sz w:val="28"/>
                <w:szCs w:val="28"/>
              </w:rPr>
            </w:pPr>
          </w:p>
          <w:p>
            <w:pPr>
              <w:ind w:left="3920" w:hanging="3920" w:hangingChars="1400"/>
              <w:rPr>
                <w:rFonts w:ascii="宋体" w:hAnsi="宋体" w:cs="宋体"/>
                <w:b/>
                <w:bCs/>
                <w:sz w:val="24"/>
              </w:rPr>
            </w:pPr>
            <w:r>
              <w:rPr>
                <w:rFonts w:hint="eastAsia"/>
                <w:color w:val="000000" w:themeColor="text1"/>
                <w:sz w:val="28"/>
                <w:szCs w:val="28"/>
              </w:rPr>
              <w:t xml:space="preserve">   </w:t>
            </w:r>
            <w:bookmarkEnd w:id="2"/>
            <w:bookmarkEnd w:id="3"/>
            <w:r>
              <w:rPr>
                <w:rFonts w:hint="eastAsia"/>
                <w:color w:val="000000" w:themeColor="text1"/>
                <w:sz w:val="28"/>
                <w:szCs w:val="28"/>
              </w:rPr>
              <w:t>采购人：</w:t>
            </w:r>
            <w:r>
              <w:rPr>
                <w:rFonts w:hint="eastAsia" w:ascii="微软雅黑" w:hAnsi="微软雅黑" w:eastAsia="微软雅黑"/>
                <w:color w:val="000000" w:themeColor="text1"/>
                <w:spacing w:val="-4"/>
                <w:szCs w:val="21"/>
              </w:rPr>
              <w:t>达州市通川区人民政府东城街道办事处</w:t>
            </w:r>
          </w:p>
        </w:tc>
        <w:tc>
          <w:tcPr>
            <w:tcW w:w="5130" w:type="dxa"/>
            <w:vMerge w:val="restart"/>
            <w:tcBorders>
              <w:top w:val="nil"/>
              <w:left w:val="nil"/>
              <w:bottom w:val="nil"/>
              <w:right w:val="nil"/>
            </w:tcBorders>
          </w:tcPr>
          <w:p>
            <w:pPr>
              <w:pStyle w:val="2"/>
              <w:rPr>
                <w:rFonts w:hint="default"/>
              </w:rPr>
            </w:pPr>
          </w:p>
          <w:p>
            <w:pPr>
              <w:rPr>
                <w:color w:val="000000" w:themeColor="text1"/>
              </w:rPr>
            </w:pPr>
          </w:p>
          <w:p>
            <w:pPr>
              <w:rPr>
                <w:color w:val="000000" w:themeColor="text1"/>
              </w:rPr>
            </w:pPr>
          </w:p>
          <w:p>
            <w:pPr>
              <w:ind w:firstLine="1600" w:firstLineChars="500"/>
              <w:rPr>
                <w:color w:val="000000" w:themeColor="text1"/>
                <w:sz w:val="32"/>
                <w:szCs w:val="32"/>
              </w:rPr>
            </w:pPr>
          </w:p>
          <w:p>
            <w:pPr>
              <w:ind w:firstLine="1600" w:firstLineChars="500"/>
              <w:rPr>
                <w:color w:val="000000" w:themeColor="text1"/>
                <w:sz w:val="32"/>
                <w:szCs w:val="32"/>
              </w:rPr>
            </w:pPr>
            <w:r>
              <w:rPr>
                <w:rFonts w:hint="eastAsia"/>
                <w:color w:val="000000" w:themeColor="text1"/>
                <w:sz w:val="32"/>
                <w:szCs w:val="32"/>
              </w:rPr>
              <w:t>共同编制</w:t>
            </w:r>
          </w:p>
          <w:p>
            <w:pPr>
              <w:rPr>
                <w:color w:val="000000" w:themeColor="text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130" w:type="dxa"/>
            <w:tcBorders>
              <w:top w:val="nil"/>
              <w:left w:val="nil"/>
              <w:bottom w:val="nil"/>
              <w:right w:val="nil"/>
            </w:tcBorders>
          </w:tcPr>
          <w:p>
            <w:pPr>
              <w:rPr>
                <w:color w:val="000000" w:themeColor="text1"/>
                <w:sz w:val="28"/>
                <w:szCs w:val="28"/>
              </w:rPr>
            </w:pPr>
            <w:bookmarkStart w:id="4" w:name="_Toc60399670"/>
            <w:bookmarkStart w:id="5" w:name="_Toc60391710"/>
            <w:r>
              <w:rPr>
                <w:rFonts w:hint="eastAsia"/>
                <w:color w:val="000000" w:themeColor="text1"/>
                <w:sz w:val="28"/>
                <w:szCs w:val="28"/>
              </w:rPr>
              <w:t xml:space="preserve">   采购代理机构： </w:t>
            </w:r>
            <w:bookmarkEnd w:id="4"/>
            <w:bookmarkEnd w:id="5"/>
            <w:r>
              <w:rPr>
                <w:rFonts w:hint="eastAsia"/>
                <w:color w:val="000000" w:themeColor="text1"/>
                <w:sz w:val="28"/>
                <w:szCs w:val="28"/>
              </w:rPr>
              <w:t>达州市政府采购中心</w:t>
            </w:r>
          </w:p>
        </w:tc>
        <w:tc>
          <w:tcPr>
            <w:tcW w:w="5130" w:type="dxa"/>
            <w:vMerge w:val="continue"/>
            <w:tcBorders>
              <w:top w:val="nil"/>
              <w:left w:val="nil"/>
              <w:bottom w:val="nil"/>
              <w:right w:val="nil"/>
            </w:tcBorders>
            <w:vAlign w:val="center"/>
          </w:tcPr>
          <w:p>
            <w:pPr>
              <w:rPr>
                <w:color w:val="000000" w:themeColor="text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0" w:type="dxa"/>
            <w:tcBorders>
              <w:top w:val="nil"/>
              <w:left w:val="nil"/>
              <w:bottom w:val="nil"/>
              <w:right w:val="nil"/>
            </w:tcBorders>
          </w:tcPr>
          <w:p>
            <w:pPr>
              <w:rPr>
                <w:color w:val="000000" w:themeColor="text1"/>
              </w:rPr>
            </w:pPr>
          </w:p>
        </w:tc>
        <w:tc>
          <w:tcPr>
            <w:tcW w:w="5130" w:type="dxa"/>
            <w:tcBorders>
              <w:top w:val="nil"/>
              <w:left w:val="nil"/>
              <w:bottom w:val="nil"/>
              <w:right w:val="nil"/>
            </w:tcBorders>
            <w:vAlign w:val="center"/>
          </w:tcPr>
          <w:p>
            <w:pPr>
              <w:rPr>
                <w:color w:val="000000" w:themeColor="text1"/>
              </w:rPr>
            </w:pPr>
          </w:p>
        </w:tc>
      </w:tr>
    </w:tbl>
    <w:p>
      <w:pPr>
        <w:autoSpaceDE w:val="0"/>
        <w:autoSpaceDN w:val="0"/>
        <w:spacing w:line="480" w:lineRule="auto"/>
        <w:jc w:val="center"/>
        <w:rPr>
          <w:rFonts w:ascii="黑体" w:hAnsi="黑体" w:eastAsia="黑体" w:cs="仿宋"/>
          <w:color w:val="000000" w:themeColor="text1"/>
          <w:sz w:val="36"/>
          <w:szCs w:val="36"/>
        </w:rPr>
      </w:pPr>
      <w:r>
        <w:rPr>
          <w:rFonts w:hint="eastAsia" w:ascii="黑体" w:hAnsi="黑体" w:eastAsia="黑体" w:cs="黑体"/>
          <w:color w:val="000000" w:themeColor="text1"/>
          <w:sz w:val="32"/>
          <w:szCs w:val="32"/>
        </w:rPr>
        <w:t>2021</w:t>
      </w:r>
      <w:r>
        <w:rPr>
          <w:rFonts w:hint="eastAsia" w:ascii="黑体" w:hAnsi="黑体" w:eastAsia="黑体" w:cs="黑体"/>
          <w:color w:val="000000" w:themeColor="text1"/>
          <w:sz w:val="32"/>
          <w:szCs w:val="32"/>
          <w:lang w:val="zh-CN"/>
        </w:rPr>
        <w:t>年</w:t>
      </w:r>
      <w:bookmarkEnd w:id="1"/>
      <w:bookmarkStart w:id="6" w:name="PO_月份小写_1"/>
      <w:r>
        <w:rPr>
          <w:rFonts w:hint="eastAsia" w:ascii="黑体" w:hAnsi="黑体" w:eastAsia="黑体" w:cs="黑体"/>
          <w:color w:val="000000" w:themeColor="text1"/>
          <w:sz w:val="32"/>
          <w:szCs w:val="32"/>
        </w:rPr>
        <w:t>9</w:t>
      </w:r>
      <w:r>
        <w:rPr>
          <w:rFonts w:hint="eastAsia" w:ascii="黑体" w:hAnsi="黑体" w:eastAsia="黑体" w:cs="黑体"/>
          <w:color w:val="000000" w:themeColor="text1"/>
          <w:sz w:val="32"/>
          <w:szCs w:val="32"/>
          <w:lang w:val="zh-CN"/>
        </w:rPr>
        <w:t>月</w:t>
      </w:r>
      <w:bookmarkEnd w:id="6"/>
      <w:r>
        <w:rPr>
          <w:rFonts w:hint="eastAsia" w:ascii="宋体" w:hAnsi="宋体"/>
          <w:color w:val="000000" w:themeColor="text1"/>
        </w:rPr>
        <w:br w:type="page"/>
      </w:r>
      <w:r>
        <w:rPr>
          <w:rFonts w:hint="eastAsia" w:ascii="黑体" w:hAnsi="黑体" w:eastAsia="黑体" w:cs="仿宋"/>
          <w:color w:val="000000" w:themeColor="text1"/>
          <w:kern w:val="0"/>
          <w:sz w:val="36"/>
          <w:szCs w:val="36"/>
        </w:rPr>
        <w:t>目    录</w:t>
      </w:r>
    </w:p>
    <w:p>
      <w:pPr>
        <w:pStyle w:val="12"/>
        <w:tabs>
          <w:tab w:val="right" w:leader="dot" w:pos="9061"/>
        </w:tabs>
        <w:rPr>
          <w:color w:val="000000" w:themeColor="text1"/>
          <w:szCs w:val="22"/>
        </w:rPr>
      </w:pPr>
      <w:r>
        <w:rPr>
          <w:rFonts w:hint="eastAsia" w:cs="仿宋"/>
          <w:color w:val="000000" w:themeColor="text1"/>
          <w:sz w:val="28"/>
          <w:szCs w:val="28"/>
        </w:rPr>
        <w:fldChar w:fldCharType="begin"/>
      </w:r>
      <w:r>
        <w:rPr>
          <w:rFonts w:cs="仿宋"/>
          <w:color w:val="000000" w:themeColor="text1"/>
          <w:sz w:val="28"/>
          <w:szCs w:val="28"/>
        </w:rPr>
        <w:instrText xml:space="preserve">TOC \o "1-3" \h \u </w:instrText>
      </w:r>
      <w:r>
        <w:rPr>
          <w:rFonts w:hint="eastAsia" w:cs="仿宋"/>
          <w:color w:val="000000" w:themeColor="text1"/>
          <w:sz w:val="28"/>
          <w:szCs w:val="28"/>
        </w:rPr>
        <w:fldChar w:fldCharType="separate"/>
      </w:r>
    </w:p>
    <w:p>
      <w:pPr>
        <w:pStyle w:val="16"/>
        <w:tabs>
          <w:tab w:val="left" w:pos="1050"/>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"_Toc60399671" </w:instrText>
      </w:r>
      <w:r>
        <w:fldChar w:fldCharType="separate"/>
      </w:r>
      <w:r>
        <w:rPr>
          <w:rStyle w:val="28"/>
          <w:rFonts w:ascii="黑体" w:hAnsi="黑体" w:eastAsia="黑体" w:cs="仿宋"/>
          <w:color w:val="000000" w:themeColor="text1"/>
        </w:rPr>
        <w:t>第一章</w:t>
      </w:r>
      <w:r>
        <w:rPr>
          <w:rFonts w:hint="default" w:asciiTheme="minorHAnsi" w:hAnsiTheme="minorHAnsi" w:eastAsiaTheme="minorEastAsia" w:cstheme="minorBidi"/>
          <w:color w:val="000000" w:themeColor="text1"/>
          <w:kern w:val="2"/>
          <w:sz w:val="21"/>
        </w:rPr>
        <w:tab/>
      </w:r>
      <w:r>
        <w:rPr>
          <w:rStyle w:val="28"/>
          <w:rFonts w:ascii="黑体" w:hAnsi="黑体" w:eastAsia="黑体" w:cs="仿宋"/>
          <w:color w:val="000000" w:themeColor="text1"/>
        </w:rPr>
        <w:t>资格预审公告</w:t>
      </w:r>
      <w:r>
        <w:rPr>
          <w:color w:val="000000" w:themeColor="text1"/>
        </w:rPr>
        <w:tab/>
      </w:r>
      <w:r>
        <w:rPr>
          <w:color w:val="000000" w:themeColor="text1"/>
        </w:rPr>
        <w:fldChar w:fldCharType="begin"/>
      </w:r>
      <w:r>
        <w:rPr>
          <w:color w:val="000000" w:themeColor="text1"/>
        </w:rPr>
        <w:instrText xml:space="preserve"> PAGEREF _Toc60399671 \h </w:instrText>
      </w:r>
      <w:r>
        <w:rPr>
          <w:color w:val="000000" w:themeColor="text1"/>
        </w:rPr>
        <w:fldChar w:fldCharType="separate"/>
      </w:r>
      <w:r>
        <w:rPr>
          <w:rFonts w:hint="default"/>
          <w:color w:val="000000" w:themeColor="text1"/>
        </w:rPr>
        <w:t>2</w:t>
      </w:r>
      <w:r>
        <w:rPr>
          <w:color w:val="000000" w:themeColor="text1"/>
        </w:rPr>
        <w:fldChar w:fldCharType="end"/>
      </w:r>
      <w:r>
        <w:rPr>
          <w:color w:val="000000" w:themeColor="text1"/>
        </w:rPr>
        <w:fldChar w:fldCharType="end"/>
      </w:r>
    </w:p>
    <w:p>
      <w:pPr>
        <w:pStyle w:val="16"/>
        <w:tabs>
          <w:tab w:val="left" w:pos="1050"/>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"_Toc60399672" </w:instrText>
      </w:r>
      <w:r>
        <w:fldChar w:fldCharType="separate"/>
      </w:r>
      <w:r>
        <w:rPr>
          <w:rStyle w:val="28"/>
          <w:rFonts w:ascii="黑体" w:hAnsi="黑体" w:eastAsia="黑体" w:cs="仿宋"/>
          <w:color w:val="000000" w:themeColor="text1"/>
        </w:rPr>
        <w:t>第二章</w:t>
      </w:r>
      <w:r>
        <w:rPr>
          <w:rFonts w:hint="default" w:asciiTheme="minorHAnsi" w:hAnsiTheme="minorHAnsi" w:eastAsiaTheme="minorEastAsia" w:cstheme="minorBidi"/>
          <w:color w:val="000000" w:themeColor="text1"/>
          <w:kern w:val="2"/>
          <w:sz w:val="21"/>
        </w:rPr>
        <w:tab/>
      </w:r>
      <w:r>
        <w:rPr>
          <w:rStyle w:val="28"/>
          <w:rFonts w:ascii="黑体" w:hAnsi="黑体" w:eastAsia="黑体" w:cs="仿宋"/>
          <w:color w:val="000000" w:themeColor="text1"/>
        </w:rPr>
        <w:t>资格预审供应商须知</w:t>
      </w:r>
      <w:r>
        <w:rPr>
          <w:color w:val="000000" w:themeColor="text1"/>
        </w:rPr>
        <w:tab/>
      </w:r>
      <w:r>
        <w:rPr>
          <w:color w:val="000000" w:themeColor="text1"/>
        </w:rPr>
        <w:fldChar w:fldCharType="begin"/>
      </w:r>
      <w:r>
        <w:rPr>
          <w:color w:val="000000" w:themeColor="text1"/>
        </w:rPr>
        <w:instrText xml:space="preserve"> PAGEREF _Toc60399672 \h </w:instrText>
      </w:r>
      <w:r>
        <w:rPr>
          <w:color w:val="000000" w:themeColor="text1"/>
        </w:rPr>
        <w:fldChar w:fldCharType="separate"/>
      </w:r>
      <w:r>
        <w:rPr>
          <w:rFonts w:hint="default"/>
          <w:color w:val="000000" w:themeColor="text1"/>
        </w:rPr>
        <w:t>7</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"_Toc60399673" </w:instrText>
      </w:r>
      <w:r>
        <w:fldChar w:fldCharType="separate"/>
      </w:r>
      <w:r>
        <w:rPr>
          <w:rStyle w:val="28"/>
          <w:rFonts w:ascii="黑体" w:hAnsi="黑体" w:eastAsia="黑体" w:cs="仿宋"/>
          <w:color w:val="000000" w:themeColor="text1"/>
        </w:rPr>
        <w:t>一、资格预审供应商须知前附表</w:t>
      </w:r>
      <w:r>
        <w:rPr>
          <w:color w:val="000000" w:themeColor="text1"/>
        </w:rPr>
        <w:tab/>
      </w:r>
      <w:r>
        <w:rPr>
          <w:color w:val="000000" w:themeColor="text1"/>
        </w:rPr>
        <w:fldChar w:fldCharType="begin"/>
      </w:r>
      <w:r>
        <w:rPr>
          <w:color w:val="000000" w:themeColor="text1"/>
        </w:rPr>
        <w:instrText xml:space="preserve"> PAGEREF _Toc60399673 \h </w:instrText>
      </w:r>
      <w:r>
        <w:rPr>
          <w:color w:val="000000" w:themeColor="text1"/>
        </w:rPr>
        <w:fldChar w:fldCharType="separate"/>
      </w:r>
      <w:r>
        <w:rPr>
          <w:rFonts w:hint="default"/>
          <w:color w:val="000000" w:themeColor="text1"/>
        </w:rPr>
        <w:t>7</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"_Toc60399674" </w:instrText>
      </w:r>
      <w:r>
        <w:fldChar w:fldCharType="separate"/>
      </w:r>
      <w:r>
        <w:rPr>
          <w:rStyle w:val="28"/>
          <w:rFonts w:ascii="黑体" w:hAnsi="黑体" w:eastAsia="黑体" w:cs="仿宋"/>
          <w:color w:val="000000" w:themeColor="text1"/>
        </w:rPr>
        <w:t>二、总  则</w:t>
      </w:r>
      <w:r>
        <w:rPr>
          <w:color w:val="000000" w:themeColor="text1"/>
        </w:rPr>
        <w:tab/>
      </w:r>
      <w:r>
        <w:rPr>
          <w:color w:val="000000" w:themeColor="text1"/>
        </w:rPr>
        <w:fldChar w:fldCharType="begin"/>
      </w:r>
      <w:r>
        <w:rPr>
          <w:color w:val="000000" w:themeColor="text1"/>
        </w:rPr>
        <w:instrText xml:space="preserve"> PAGEREF _Toc60399674 \h </w:instrText>
      </w:r>
      <w:r>
        <w:rPr>
          <w:color w:val="000000" w:themeColor="text1"/>
        </w:rPr>
        <w:fldChar w:fldCharType="separate"/>
      </w:r>
      <w:r>
        <w:rPr>
          <w:rFonts w:hint="default"/>
          <w:color w:val="000000" w:themeColor="text1"/>
        </w:rPr>
        <w:t>10</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"_Toc60399675" </w:instrText>
      </w:r>
      <w:r>
        <w:fldChar w:fldCharType="separate"/>
      </w:r>
      <w:r>
        <w:rPr>
          <w:rStyle w:val="28"/>
          <w:rFonts w:ascii="黑体" w:hAnsi="黑体" w:eastAsia="黑体" w:cs="仿宋"/>
          <w:color w:val="000000" w:themeColor="text1"/>
        </w:rPr>
        <w:t>三、资格预审文件</w:t>
      </w:r>
      <w:r>
        <w:rPr>
          <w:color w:val="000000" w:themeColor="text1"/>
        </w:rPr>
        <w:tab/>
      </w:r>
      <w:r>
        <w:rPr>
          <w:color w:val="000000" w:themeColor="text1"/>
        </w:rPr>
        <w:fldChar w:fldCharType="begin"/>
      </w:r>
      <w:r>
        <w:rPr>
          <w:color w:val="000000" w:themeColor="text1"/>
        </w:rPr>
        <w:instrText xml:space="preserve"> PAGEREF _Toc60399675 \h </w:instrText>
      </w:r>
      <w:r>
        <w:rPr>
          <w:color w:val="000000" w:themeColor="text1"/>
        </w:rPr>
        <w:fldChar w:fldCharType="separate"/>
      </w:r>
      <w:r>
        <w:rPr>
          <w:rFonts w:hint="default"/>
          <w:color w:val="000000" w:themeColor="text1"/>
        </w:rPr>
        <w:t>13</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"_Toc60399676" </w:instrText>
      </w:r>
      <w:r>
        <w:fldChar w:fldCharType="separate"/>
      </w:r>
      <w:r>
        <w:rPr>
          <w:rStyle w:val="28"/>
          <w:rFonts w:ascii="黑体" w:hAnsi="黑体" w:eastAsia="黑体" w:cs="仿宋"/>
          <w:color w:val="000000" w:themeColor="text1"/>
        </w:rPr>
        <w:t>四、资格预审申请文件的编制</w:t>
      </w:r>
      <w:r>
        <w:rPr>
          <w:color w:val="000000" w:themeColor="text1"/>
        </w:rPr>
        <w:tab/>
      </w:r>
      <w:r>
        <w:rPr>
          <w:color w:val="000000" w:themeColor="text1"/>
        </w:rPr>
        <w:fldChar w:fldCharType="begin"/>
      </w:r>
      <w:r>
        <w:rPr>
          <w:color w:val="000000" w:themeColor="text1"/>
        </w:rPr>
        <w:instrText xml:space="preserve"> PAGEREF _Toc60399676 \h </w:instrText>
      </w:r>
      <w:r>
        <w:rPr>
          <w:color w:val="000000" w:themeColor="text1"/>
        </w:rPr>
        <w:fldChar w:fldCharType="separate"/>
      </w:r>
      <w:r>
        <w:rPr>
          <w:rFonts w:hint="default"/>
          <w:color w:val="000000" w:themeColor="text1"/>
        </w:rPr>
        <w:t>13</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"_Toc60399677" </w:instrText>
      </w:r>
      <w:r>
        <w:fldChar w:fldCharType="separate"/>
      </w:r>
      <w:r>
        <w:rPr>
          <w:rStyle w:val="28"/>
          <w:rFonts w:ascii="黑体" w:hAnsi="黑体" w:eastAsia="黑体" w:cs="仿宋"/>
          <w:color w:val="000000" w:themeColor="text1"/>
        </w:rPr>
        <w:t>五、资格预审申请文件的审查</w:t>
      </w:r>
      <w:r>
        <w:rPr>
          <w:color w:val="000000" w:themeColor="text1"/>
        </w:rPr>
        <w:tab/>
      </w:r>
      <w:r>
        <w:rPr>
          <w:color w:val="000000" w:themeColor="text1"/>
        </w:rPr>
        <w:fldChar w:fldCharType="begin"/>
      </w:r>
      <w:r>
        <w:rPr>
          <w:color w:val="000000" w:themeColor="text1"/>
        </w:rPr>
        <w:instrText xml:space="preserve"> PAGEREF _Toc60399677 \h </w:instrText>
      </w:r>
      <w:r>
        <w:rPr>
          <w:color w:val="000000" w:themeColor="text1"/>
        </w:rPr>
        <w:fldChar w:fldCharType="separate"/>
      </w:r>
      <w:r>
        <w:rPr>
          <w:rFonts w:hint="default"/>
          <w:color w:val="000000" w:themeColor="text1"/>
        </w:rPr>
        <w:t>15</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"_Toc60399678" </w:instrText>
      </w:r>
      <w:r>
        <w:fldChar w:fldCharType="separate"/>
      </w:r>
      <w:r>
        <w:rPr>
          <w:rStyle w:val="28"/>
          <w:rFonts w:ascii="黑体" w:hAnsi="黑体" w:eastAsia="黑体" w:cs="仿宋"/>
          <w:color w:val="000000" w:themeColor="text1"/>
        </w:rPr>
        <w:t>六、资格预审结果</w:t>
      </w:r>
      <w:r>
        <w:rPr>
          <w:color w:val="000000" w:themeColor="text1"/>
        </w:rPr>
        <w:tab/>
      </w:r>
      <w:r>
        <w:rPr>
          <w:color w:val="000000" w:themeColor="text1"/>
        </w:rPr>
        <w:fldChar w:fldCharType="begin"/>
      </w:r>
      <w:r>
        <w:rPr>
          <w:color w:val="000000" w:themeColor="text1"/>
        </w:rPr>
        <w:instrText xml:space="preserve"> PAGEREF _Toc60399678 \h </w:instrText>
      </w:r>
      <w:r>
        <w:rPr>
          <w:color w:val="000000" w:themeColor="text1"/>
        </w:rPr>
        <w:fldChar w:fldCharType="separate"/>
      </w:r>
      <w:r>
        <w:rPr>
          <w:rFonts w:hint="default"/>
          <w:color w:val="000000" w:themeColor="text1"/>
        </w:rPr>
        <w:t>15</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"_Toc60399679" </w:instrText>
      </w:r>
      <w:r>
        <w:fldChar w:fldCharType="separate"/>
      </w:r>
      <w:r>
        <w:rPr>
          <w:rStyle w:val="28"/>
          <w:rFonts w:ascii="黑体" w:hAnsi="黑体" w:eastAsia="黑体" w:cs="仿宋"/>
          <w:color w:val="000000" w:themeColor="text1"/>
        </w:rPr>
        <w:t>七、资格预审纪律要求</w:t>
      </w:r>
      <w:r>
        <w:rPr>
          <w:color w:val="000000" w:themeColor="text1"/>
        </w:rPr>
        <w:tab/>
      </w:r>
      <w:r>
        <w:rPr>
          <w:color w:val="000000" w:themeColor="text1"/>
        </w:rPr>
        <w:fldChar w:fldCharType="begin"/>
      </w:r>
      <w:r>
        <w:rPr>
          <w:color w:val="000000" w:themeColor="text1"/>
        </w:rPr>
        <w:instrText xml:space="preserve"> PAGEREF _Toc60399679 \h </w:instrText>
      </w:r>
      <w:r>
        <w:rPr>
          <w:color w:val="000000" w:themeColor="text1"/>
        </w:rPr>
        <w:fldChar w:fldCharType="separate"/>
      </w:r>
      <w:r>
        <w:rPr>
          <w:rFonts w:hint="default"/>
          <w:color w:val="000000" w:themeColor="text1"/>
        </w:rPr>
        <w:t>15</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"_Toc60399680" </w:instrText>
      </w:r>
      <w:r>
        <w:fldChar w:fldCharType="separate"/>
      </w:r>
      <w:r>
        <w:rPr>
          <w:rStyle w:val="28"/>
          <w:rFonts w:ascii="黑体" w:hAnsi="黑体" w:eastAsia="黑体" w:cs="仿宋"/>
          <w:color w:val="000000" w:themeColor="text1"/>
        </w:rPr>
        <w:t>八、询问、质疑和投诉</w:t>
      </w:r>
      <w:r>
        <w:rPr>
          <w:color w:val="000000" w:themeColor="text1"/>
        </w:rPr>
        <w:tab/>
      </w:r>
      <w:r>
        <w:rPr>
          <w:color w:val="000000" w:themeColor="text1"/>
        </w:rPr>
        <w:fldChar w:fldCharType="begin"/>
      </w:r>
      <w:r>
        <w:rPr>
          <w:color w:val="000000" w:themeColor="text1"/>
        </w:rPr>
        <w:instrText xml:space="preserve"> PAGEREF _Toc60399680 \h </w:instrText>
      </w:r>
      <w:r>
        <w:rPr>
          <w:color w:val="000000" w:themeColor="text1"/>
        </w:rPr>
        <w:fldChar w:fldCharType="separate"/>
      </w:r>
      <w:r>
        <w:rPr>
          <w:rFonts w:hint="default"/>
          <w:color w:val="000000" w:themeColor="text1"/>
        </w:rPr>
        <w:t>16</w:t>
      </w:r>
      <w:r>
        <w:rPr>
          <w:color w:val="000000" w:themeColor="text1"/>
        </w:rPr>
        <w:fldChar w:fldCharType="end"/>
      </w:r>
      <w:r>
        <w:rPr>
          <w:color w:val="000000" w:themeColor="text1"/>
        </w:rPr>
        <w:fldChar w:fldCharType="end"/>
      </w:r>
    </w:p>
    <w:p>
      <w:pPr>
        <w:pStyle w:val="17"/>
        <w:tabs>
          <w:tab w:val="right" w:leader="dot" w:pos="9061"/>
        </w:tabs>
        <w:rPr>
          <w:rFonts w:hint="default"/>
          <w:color w:val="000000" w:themeColor="text1"/>
        </w:rPr>
      </w:pPr>
      <w:r>
        <w:fldChar w:fldCharType="begin"/>
      </w:r>
      <w:r>
        <w:instrText xml:space="preserve"> HYPERLINK \l "_Toc60399681" </w:instrText>
      </w:r>
      <w:r>
        <w:fldChar w:fldCharType="separate"/>
      </w:r>
      <w:r>
        <w:rPr>
          <w:rStyle w:val="28"/>
          <w:rFonts w:ascii="黑体" w:hAnsi="黑体" w:eastAsia="黑体" w:cs="仿宋"/>
          <w:color w:val="000000" w:themeColor="text1"/>
        </w:rPr>
        <w:t>九、其  他</w:t>
      </w:r>
      <w:r>
        <w:rPr>
          <w:color w:val="000000" w:themeColor="text1"/>
        </w:rPr>
        <w:tab/>
      </w:r>
      <w:r>
        <w:rPr>
          <w:color w:val="000000" w:themeColor="text1"/>
        </w:rPr>
        <w:fldChar w:fldCharType="begin"/>
      </w:r>
      <w:r>
        <w:rPr>
          <w:color w:val="000000" w:themeColor="text1"/>
        </w:rPr>
        <w:instrText xml:space="preserve"> PAGEREF _Toc60399681 \h </w:instrText>
      </w:r>
      <w:r>
        <w:rPr>
          <w:color w:val="000000" w:themeColor="text1"/>
        </w:rPr>
        <w:fldChar w:fldCharType="separate"/>
      </w:r>
      <w:r>
        <w:rPr>
          <w:rFonts w:hint="default"/>
          <w:color w:val="000000" w:themeColor="text1"/>
        </w:rPr>
        <w:t>16</w:t>
      </w:r>
      <w:r>
        <w:rPr>
          <w:color w:val="000000" w:themeColor="text1"/>
        </w:rPr>
        <w:fldChar w:fldCharType="end"/>
      </w:r>
      <w:r>
        <w:rPr>
          <w:color w:val="000000" w:themeColor="text1"/>
        </w:rPr>
        <w:fldChar w:fldCharType="end"/>
      </w:r>
    </w:p>
    <w:p>
      <w:pPr>
        <w:pStyle w:val="2"/>
        <w:rPr>
          <w:rStyle w:val="28"/>
          <w:rFonts w:hint="default" w:ascii="黑体" w:hAnsi="黑体" w:eastAsia="黑体" w:cs="仿宋"/>
          <w:color w:val="000000" w:themeColor="text1"/>
        </w:rPr>
      </w:pPr>
      <w:r>
        <w:rPr>
          <w:rStyle w:val="28"/>
          <w:rFonts w:ascii="黑体" w:hAnsi="黑体" w:eastAsia="黑体" w:cs="仿宋"/>
          <w:color w:val="000000" w:themeColor="text1"/>
        </w:rPr>
        <w:t>第三章   供应商资格资质性及其他类似效力要求与应提供的相关证明材料……………………</w:t>
      </w:r>
    </w:p>
    <w:p>
      <w:pPr>
        <w:pStyle w:val="2"/>
        <w:ind w:left="440" w:hanging="440" w:hangingChars="200"/>
        <w:rPr>
          <w:rStyle w:val="28"/>
          <w:rFonts w:hint="default" w:ascii="黑体" w:hAnsi="黑体" w:eastAsia="黑体" w:cs="仿宋"/>
          <w:color w:val="000000" w:themeColor="text1"/>
        </w:rPr>
      </w:pPr>
      <w:r>
        <w:fldChar w:fldCharType="begin"/>
      </w:r>
      <w:r>
        <w:instrText xml:space="preserve"> HYPERLINK \l "_Toc60399690" </w:instrText>
      </w:r>
      <w:r>
        <w:fldChar w:fldCharType="separate"/>
      </w:r>
      <w:r>
        <w:rPr>
          <w:rStyle w:val="28"/>
          <w:rFonts w:ascii="黑体" w:hAnsi="黑体" w:eastAsia="黑体" w:cs="仿宋"/>
          <w:color w:val="000000" w:themeColor="text1"/>
        </w:rPr>
        <w:t>第四章</w:t>
      </w:r>
      <w:r>
        <w:rPr>
          <w:rFonts w:hint="default" w:asciiTheme="minorHAnsi" w:hAnsiTheme="minorHAnsi" w:eastAsiaTheme="minorEastAsia" w:cstheme="minorBidi"/>
          <w:color w:val="000000" w:themeColor="text1"/>
          <w:kern w:val="2"/>
          <w:sz w:val="21"/>
        </w:rPr>
        <w:tab/>
      </w:r>
      <w:r>
        <w:rPr>
          <w:rStyle w:val="28"/>
          <w:rFonts w:ascii="黑体" w:hAnsi="黑体" w:eastAsia="黑体" w:cs="仿宋"/>
          <w:color w:val="000000" w:themeColor="text1"/>
        </w:rPr>
        <w:t>资格预审申请文件格式……………………………………………………………………</w:t>
      </w:r>
      <w:r>
        <w:rPr>
          <w:color w:val="000000" w:themeColor="text1"/>
        </w:rPr>
        <w:fldChar w:fldCharType="begin"/>
      </w:r>
      <w:r>
        <w:rPr>
          <w:color w:val="000000" w:themeColor="text1"/>
        </w:rPr>
        <w:instrText xml:space="preserve"> PAGEREF _Toc60399690 \h </w:instrText>
      </w:r>
      <w:r>
        <w:rPr>
          <w:color w:val="000000" w:themeColor="text1"/>
        </w:rPr>
        <w:fldChar w:fldCharType="separate"/>
      </w:r>
      <w:r>
        <w:rPr>
          <w:rFonts w:hint="default"/>
          <w:color w:val="000000" w:themeColor="text1"/>
        </w:rPr>
        <w:t>20</w:t>
      </w:r>
      <w:r>
        <w:rPr>
          <w:color w:val="000000" w:themeColor="text1"/>
        </w:rPr>
        <w:fldChar w:fldCharType="end"/>
      </w:r>
      <w:r>
        <w:rPr>
          <w:color w:val="000000" w:themeColor="text1"/>
        </w:rPr>
        <w:fldChar w:fldCharType="end"/>
      </w:r>
      <w:r>
        <w:rPr>
          <w:color w:val="000000" w:themeColor="text1"/>
        </w:rPr>
        <w:t xml:space="preserve"> </w:t>
      </w:r>
      <w:r>
        <w:rPr>
          <w:rStyle w:val="28"/>
          <w:rFonts w:ascii="黑体" w:hAnsi="黑体" w:eastAsia="黑体" w:cs="仿宋"/>
          <w:color w:val="000000" w:themeColor="text1"/>
        </w:rPr>
        <w:t>一、法定代表人（负责人）授权书（格式）………………………………………………………</w:t>
      </w:r>
    </w:p>
    <w:p>
      <w:pPr>
        <w:pStyle w:val="2"/>
        <w:ind w:left="436" w:leftChars="208"/>
        <w:rPr>
          <w:rStyle w:val="28"/>
          <w:rFonts w:hint="default" w:ascii="黑体" w:hAnsi="黑体" w:eastAsia="黑体" w:cs="仿宋"/>
          <w:color w:val="000000" w:themeColor="text1"/>
        </w:rPr>
      </w:pPr>
      <w:r>
        <w:fldChar w:fldCharType="begin"/>
      </w:r>
      <w:r>
        <w:instrText xml:space="preserve"> HYPERLINK \l "_Toc60399691" </w:instrText>
      </w:r>
      <w:r>
        <w:fldChar w:fldCharType="separate"/>
      </w:r>
      <w:r>
        <w:rPr>
          <w:rStyle w:val="28"/>
          <w:rFonts w:ascii="黑体" w:hAnsi="黑体" w:eastAsia="黑体" w:cs="仿宋"/>
          <w:color w:val="000000" w:themeColor="text1"/>
        </w:rPr>
        <w:t>二、承诺函（实质性要求）…………………</w:t>
      </w:r>
      <w:r>
        <w:rPr>
          <w:rStyle w:val="28"/>
          <w:rFonts w:ascii="黑体" w:hAnsi="黑体" w:eastAsia="黑体" w:cs="仿宋"/>
          <w:color w:val="000000" w:themeColor="text1"/>
        </w:rPr>
        <w:fldChar w:fldCharType="end"/>
      </w:r>
      <w:r>
        <w:rPr>
          <w:rStyle w:val="28"/>
          <w:rFonts w:ascii="黑体" w:hAnsi="黑体" w:eastAsia="黑体" w:cs="仿宋"/>
          <w:color w:val="000000" w:themeColor="text1"/>
        </w:rPr>
        <w:t>………………………………………………………</w:t>
      </w:r>
    </w:p>
    <w:p>
      <w:pPr>
        <w:pStyle w:val="2"/>
        <w:ind w:left="436" w:leftChars="208"/>
        <w:rPr>
          <w:rFonts w:hint="default"/>
          <w:color w:val="000000" w:themeColor="text1"/>
        </w:rPr>
      </w:pPr>
      <w:r>
        <w:rPr>
          <w:rStyle w:val="28"/>
          <w:rFonts w:ascii="黑体" w:hAnsi="黑体" w:eastAsia="黑体" w:cs="仿宋"/>
          <w:color w:val="000000" w:themeColor="text1"/>
        </w:rPr>
        <w:t>三、供应商资格资质性及其他类似效力要求与应提供的相关证明材料………………………</w:t>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"_Toc60399692" </w:instrText>
      </w:r>
      <w:r>
        <w:fldChar w:fldCharType="separate"/>
      </w:r>
      <w:r>
        <w:rPr>
          <w:rStyle w:val="28"/>
          <w:rFonts w:ascii="黑体" w:hAnsi="黑体" w:eastAsia="黑体" w:cs="仿宋"/>
          <w:color w:val="000000" w:themeColor="text1"/>
        </w:rPr>
        <w:t>四、法律、行政法规规定的其他条件（如有）</w:t>
      </w:r>
      <w:r>
        <w:rPr>
          <w:color w:val="000000" w:themeColor="text1"/>
        </w:rPr>
        <w:tab/>
      </w:r>
      <w:r>
        <w:rPr>
          <w:color w:val="000000" w:themeColor="text1"/>
        </w:rPr>
        <w:fldChar w:fldCharType="begin"/>
      </w:r>
      <w:r>
        <w:rPr>
          <w:color w:val="000000" w:themeColor="text1"/>
        </w:rPr>
        <w:instrText xml:space="preserve"> PAGEREF _Toc60399692 \h </w:instrText>
      </w:r>
      <w:r>
        <w:rPr>
          <w:color w:val="000000" w:themeColor="text1"/>
        </w:rPr>
        <w:fldChar w:fldCharType="separate"/>
      </w:r>
      <w:r>
        <w:rPr>
          <w:rFonts w:hint="default"/>
          <w:color w:val="000000" w:themeColor="text1"/>
        </w:rPr>
        <w:t>26</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"_Toc60399693" </w:instrText>
      </w:r>
      <w:r>
        <w:fldChar w:fldCharType="separate"/>
      </w:r>
      <w:r>
        <w:rPr>
          <w:rStyle w:val="28"/>
          <w:rFonts w:ascii="黑体" w:hAnsi="黑体" w:eastAsia="黑体" w:cs="仿宋"/>
          <w:color w:val="000000" w:themeColor="text1"/>
        </w:rPr>
        <w:t>五、中小企业声明函（专门面向中小企业项目适用）</w:t>
      </w:r>
      <w:r>
        <w:rPr>
          <w:color w:val="000000" w:themeColor="text1"/>
        </w:rPr>
        <w:tab/>
      </w:r>
      <w:r>
        <w:rPr>
          <w:color w:val="000000" w:themeColor="text1"/>
        </w:rPr>
        <w:fldChar w:fldCharType="begin"/>
      </w:r>
      <w:r>
        <w:rPr>
          <w:color w:val="000000" w:themeColor="text1"/>
        </w:rPr>
        <w:instrText xml:space="preserve"> PAGEREF _Toc60399693 \h </w:instrText>
      </w:r>
      <w:r>
        <w:rPr>
          <w:color w:val="000000" w:themeColor="text1"/>
        </w:rPr>
        <w:fldChar w:fldCharType="separate"/>
      </w:r>
      <w:r>
        <w:rPr>
          <w:rFonts w:hint="default"/>
          <w:color w:val="000000" w:themeColor="text1"/>
        </w:rPr>
        <w:t>26</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"_Toc60399694" </w:instrText>
      </w:r>
      <w:r>
        <w:fldChar w:fldCharType="separate"/>
      </w:r>
      <w:r>
        <w:rPr>
          <w:rStyle w:val="28"/>
          <w:rFonts w:ascii="黑体" w:hAnsi="黑体" w:eastAsia="黑体" w:cs="仿宋"/>
          <w:color w:val="000000" w:themeColor="text1"/>
        </w:rPr>
        <w:t>六、残疾人福利性单位声明函（专门面向中小企业项目适用）</w:t>
      </w:r>
      <w:r>
        <w:rPr>
          <w:color w:val="000000" w:themeColor="text1"/>
        </w:rPr>
        <w:tab/>
      </w:r>
      <w:r>
        <w:rPr>
          <w:color w:val="000000" w:themeColor="text1"/>
        </w:rPr>
        <w:fldChar w:fldCharType="begin"/>
      </w:r>
      <w:r>
        <w:rPr>
          <w:color w:val="000000" w:themeColor="text1"/>
        </w:rPr>
        <w:instrText xml:space="preserve"> PAGEREF _Toc60399694 \h </w:instrText>
      </w:r>
      <w:r>
        <w:rPr>
          <w:color w:val="000000" w:themeColor="text1"/>
        </w:rPr>
        <w:fldChar w:fldCharType="separate"/>
      </w:r>
      <w:r>
        <w:rPr>
          <w:rFonts w:hint="default"/>
          <w:color w:val="000000" w:themeColor="text1"/>
        </w:rPr>
        <w:t>28</w:t>
      </w:r>
      <w:r>
        <w:rPr>
          <w:color w:val="000000" w:themeColor="text1"/>
        </w:rPr>
        <w:fldChar w:fldCharType="end"/>
      </w:r>
      <w:r>
        <w:rPr>
          <w:color w:val="000000" w:themeColor="text1"/>
        </w:rPr>
        <w:fldChar w:fldCharType="end"/>
      </w:r>
    </w:p>
    <w:p>
      <w:pPr>
        <w:pStyle w:val="17"/>
        <w:tabs>
          <w:tab w:val="right" w:leader="dot" w:pos="9061"/>
        </w:tabs>
        <w:rPr>
          <w:rFonts w:hint="default"/>
          <w:color w:val="000000" w:themeColor="text1"/>
        </w:rPr>
      </w:pPr>
      <w:r>
        <w:fldChar w:fldCharType="begin"/>
      </w:r>
      <w:r>
        <w:instrText xml:space="preserve"> HYPERLINK \l "_Toc60399695" </w:instrText>
      </w:r>
      <w:r>
        <w:fldChar w:fldCharType="separate"/>
      </w:r>
      <w:r>
        <w:rPr>
          <w:rStyle w:val="28"/>
          <w:rFonts w:ascii="黑体" w:hAnsi="黑体" w:eastAsia="黑体" w:cs="仿宋"/>
          <w:color w:val="000000" w:themeColor="text1"/>
        </w:rPr>
        <w:t>七、监狱企业的证明文件（非专门面向中小企业项目适用）</w:t>
      </w:r>
      <w:r>
        <w:rPr>
          <w:color w:val="000000" w:themeColor="text1"/>
        </w:rPr>
        <w:tab/>
      </w:r>
      <w:r>
        <w:rPr>
          <w:color w:val="000000" w:themeColor="text1"/>
        </w:rPr>
        <w:fldChar w:fldCharType="begin"/>
      </w:r>
      <w:r>
        <w:rPr>
          <w:color w:val="000000" w:themeColor="text1"/>
        </w:rPr>
        <w:instrText xml:space="preserve"> PAGEREF _Toc60399695 \h </w:instrText>
      </w:r>
      <w:r>
        <w:rPr>
          <w:color w:val="000000" w:themeColor="text1"/>
        </w:rPr>
        <w:fldChar w:fldCharType="separate"/>
      </w:r>
      <w:r>
        <w:rPr>
          <w:rFonts w:hint="default"/>
          <w:color w:val="000000" w:themeColor="text1"/>
        </w:rPr>
        <w:t>29</w:t>
      </w:r>
      <w:r>
        <w:rPr>
          <w:color w:val="000000" w:themeColor="text1"/>
        </w:rPr>
        <w:fldChar w:fldCharType="end"/>
      </w:r>
      <w:r>
        <w:rPr>
          <w:color w:val="000000" w:themeColor="text1"/>
        </w:rPr>
        <w:fldChar w:fldCharType="end"/>
      </w:r>
    </w:p>
    <w:p>
      <w:pPr>
        <w:ind w:firstLine="440" w:firstLineChars="200"/>
        <w:rPr>
          <w:rStyle w:val="28"/>
          <w:rFonts w:ascii="黑体" w:hAnsi="黑体" w:eastAsia="黑体" w:cs="仿宋"/>
          <w:color w:val="000000" w:themeColor="text1"/>
          <w:kern w:val="0"/>
          <w:sz w:val="22"/>
          <w:szCs w:val="22"/>
          <w:lang w:val="zh-CN"/>
        </w:rPr>
      </w:pPr>
      <w:r>
        <w:rPr>
          <w:rStyle w:val="28"/>
          <w:rFonts w:hint="eastAsia" w:ascii="黑体" w:hAnsi="黑体" w:eastAsia="黑体" w:cs="仿宋"/>
          <w:color w:val="000000" w:themeColor="text1"/>
          <w:kern w:val="0"/>
          <w:sz w:val="22"/>
          <w:szCs w:val="22"/>
          <w:lang w:val="zh-CN"/>
        </w:rPr>
        <w:t>八、供应商基本情况表</w:t>
      </w:r>
      <w:r>
        <w:rPr>
          <w:rStyle w:val="28"/>
          <w:rFonts w:hint="eastAsia" w:ascii="黑体" w:hAnsi="黑体" w:eastAsia="黑体" w:cs="仿宋"/>
          <w:color w:val="000000" w:themeColor="text1"/>
          <w:kern w:val="0"/>
          <w:sz w:val="22"/>
          <w:szCs w:val="22"/>
        </w:rPr>
        <w:t>…………………………………………………………………………</w:t>
      </w:r>
      <w:r>
        <w:rPr>
          <w:color w:val="000000" w:themeColor="text1"/>
        </w:rPr>
        <w:tab/>
      </w:r>
    </w:p>
    <w:p>
      <w:pPr>
        <w:ind w:firstLine="440" w:firstLineChars="200"/>
        <w:rPr>
          <w:color w:val="000000" w:themeColor="text1"/>
        </w:rPr>
      </w:pPr>
      <w:r>
        <w:rPr>
          <w:rStyle w:val="28"/>
          <w:rFonts w:hint="eastAsia" w:ascii="黑体" w:hAnsi="黑体" w:eastAsia="黑体" w:cs="仿宋"/>
          <w:color w:val="000000" w:themeColor="text1"/>
          <w:kern w:val="0"/>
          <w:sz w:val="22"/>
          <w:szCs w:val="22"/>
          <w:lang w:val="zh-CN"/>
        </w:rPr>
        <w:t>九、供应商认为需要提供的其他文件和资料</w:t>
      </w:r>
      <w:r>
        <w:rPr>
          <w:rStyle w:val="28"/>
          <w:rFonts w:hint="eastAsia" w:ascii="黑体" w:hAnsi="黑体" w:eastAsia="黑体" w:cs="仿宋"/>
          <w:color w:val="000000" w:themeColor="text1"/>
          <w:kern w:val="0"/>
          <w:sz w:val="22"/>
          <w:szCs w:val="22"/>
        </w:rPr>
        <w:t>…………………………………………………</w:t>
      </w:r>
    </w:p>
    <w:p>
      <w:pPr>
        <w:pStyle w:val="16"/>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"_Toc60399696" </w:instrText>
      </w:r>
      <w:r>
        <w:fldChar w:fldCharType="separate"/>
      </w:r>
      <w:r>
        <w:rPr>
          <w:rStyle w:val="28"/>
          <w:rFonts w:ascii="黑体" w:hAnsi="黑体" w:eastAsia="黑体"/>
          <w:color w:val="000000" w:themeColor="text1"/>
        </w:rPr>
        <w:t>第五章 项</w:t>
      </w:r>
      <w:r>
        <w:rPr>
          <w:rStyle w:val="28"/>
          <w:rFonts w:ascii="黑体" w:hAnsi="黑体" w:eastAsia="黑体" w:cs="仿宋"/>
          <w:color w:val="000000" w:themeColor="text1"/>
        </w:rPr>
        <w:t>目</w:t>
      </w:r>
      <w:r>
        <w:rPr>
          <w:color w:val="000000" w:themeColor="text1"/>
        </w:rPr>
        <w:t>概况</w:t>
      </w:r>
      <w:r>
        <w:rPr>
          <w:color w:val="000000" w:themeColor="text1"/>
        </w:rPr>
        <w:tab/>
      </w:r>
      <w:r>
        <w:rPr>
          <w:color w:val="000000" w:themeColor="text1"/>
        </w:rPr>
        <w:fldChar w:fldCharType="begin"/>
      </w:r>
      <w:r>
        <w:rPr>
          <w:color w:val="000000" w:themeColor="text1"/>
        </w:rPr>
        <w:instrText xml:space="preserve"> PAGEREF _Toc60399696 \h </w:instrText>
      </w:r>
      <w:r>
        <w:rPr>
          <w:color w:val="000000" w:themeColor="text1"/>
        </w:rPr>
        <w:fldChar w:fldCharType="separate"/>
      </w:r>
      <w:r>
        <w:rPr>
          <w:rFonts w:hint="default"/>
          <w:color w:val="000000" w:themeColor="text1"/>
        </w:rPr>
        <w:t>30</w:t>
      </w:r>
      <w:r>
        <w:rPr>
          <w:color w:val="000000" w:themeColor="text1"/>
        </w:rPr>
        <w:fldChar w:fldCharType="end"/>
      </w:r>
      <w:r>
        <w:rPr>
          <w:color w:val="000000" w:themeColor="text1"/>
        </w:rPr>
        <w:fldChar w:fldCharType="end"/>
      </w:r>
    </w:p>
    <w:p>
      <w:pPr>
        <w:pStyle w:val="16"/>
        <w:tabs>
          <w:tab w:val="left" w:pos="1050"/>
          <w:tab w:val="right" w:leader="dot" w:pos="9061"/>
        </w:tabs>
        <w:rPr>
          <w:rStyle w:val="28"/>
          <w:rFonts w:hint="default" w:ascii="黑体" w:hAnsi="黑体" w:eastAsia="黑体" w:cs="仿宋"/>
          <w:color w:val="000000" w:themeColor="text1"/>
          <w:lang w:val="zh-CN"/>
        </w:rPr>
      </w:pPr>
      <w:r>
        <w:rPr>
          <w:rFonts w:cs="仿宋"/>
          <w:color w:val="000000" w:themeColor="text1"/>
          <w:szCs w:val="28"/>
        </w:rPr>
        <w:fldChar w:fldCharType="end"/>
      </w:r>
      <w:r>
        <w:fldChar w:fldCharType="begin"/>
      </w:r>
      <w:r>
        <w:instrText xml:space="preserve"> HYPERLINK \l "_Toc60399682" </w:instrText>
      </w:r>
      <w:r>
        <w:fldChar w:fldCharType="separate"/>
      </w:r>
      <w:r>
        <w:rPr>
          <w:rStyle w:val="28"/>
          <w:rFonts w:ascii="黑体" w:hAnsi="黑体" w:eastAsia="黑体" w:cs="仿宋"/>
          <w:color w:val="000000" w:themeColor="text1"/>
          <w:lang w:val="zh-CN"/>
        </w:rPr>
        <w:t>第六章</w:t>
      </w:r>
      <w:r>
        <w:rPr>
          <w:rStyle w:val="28"/>
          <w:rFonts w:ascii="黑体" w:hAnsi="黑体" w:eastAsia="黑体" w:cs="仿宋"/>
          <w:color w:val="000000" w:themeColor="text1"/>
        </w:rPr>
        <w:t xml:space="preserve"> </w:t>
      </w:r>
      <w:r>
        <w:rPr>
          <w:rStyle w:val="28"/>
          <w:rFonts w:ascii="黑体" w:hAnsi="黑体" w:eastAsia="黑体" w:cs="仿宋"/>
          <w:color w:val="000000" w:themeColor="text1"/>
          <w:lang w:val="zh-CN"/>
        </w:rPr>
        <w:t>资格审查办法</w:t>
      </w:r>
      <w:r>
        <w:rPr>
          <w:rStyle w:val="28"/>
          <w:rFonts w:ascii="黑体" w:hAnsi="黑体" w:eastAsia="黑体" w:cs="仿宋"/>
          <w:color w:val="000000" w:themeColor="text1"/>
          <w:lang w:val="zh-CN"/>
        </w:rPr>
        <w:tab/>
      </w:r>
      <w:r>
        <w:rPr>
          <w:rStyle w:val="28"/>
          <w:rFonts w:ascii="黑体" w:hAnsi="黑体" w:eastAsia="黑体" w:cs="仿宋"/>
          <w:color w:val="000000" w:themeColor="text1"/>
          <w:lang w:val="zh-CN"/>
        </w:rPr>
        <w:fldChar w:fldCharType="begin"/>
      </w:r>
      <w:r>
        <w:rPr>
          <w:rStyle w:val="28"/>
          <w:rFonts w:ascii="黑体" w:hAnsi="黑体" w:eastAsia="黑体" w:cs="仿宋"/>
          <w:color w:val="000000" w:themeColor="text1"/>
          <w:lang w:val="zh-CN"/>
        </w:rPr>
        <w:instrText xml:space="preserve"> PAGEREF _Toc60399682 \h </w:instrText>
      </w:r>
      <w:r>
        <w:rPr>
          <w:rStyle w:val="28"/>
          <w:rFonts w:ascii="黑体" w:hAnsi="黑体" w:eastAsia="黑体" w:cs="仿宋"/>
          <w:color w:val="000000" w:themeColor="text1"/>
          <w:lang w:val="zh-CN"/>
        </w:rPr>
        <w:fldChar w:fldCharType="separate"/>
      </w:r>
      <w:r>
        <w:rPr>
          <w:rStyle w:val="28"/>
          <w:rFonts w:hint="default" w:ascii="黑体" w:hAnsi="黑体" w:eastAsia="黑体" w:cs="仿宋"/>
          <w:color w:val="000000" w:themeColor="text1"/>
          <w:lang w:val="zh-CN"/>
        </w:rPr>
        <w:t>30</w:t>
      </w:r>
      <w:r>
        <w:rPr>
          <w:rStyle w:val="28"/>
          <w:rFonts w:ascii="黑体" w:hAnsi="黑体" w:eastAsia="黑体" w:cs="仿宋"/>
          <w:color w:val="000000" w:themeColor="text1"/>
          <w:lang w:val="zh-CN"/>
        </w:rPr>
        <w:fldChar w:fldCharType="end"/>
      </w:r>
      <w:r>
        <w:rPr>
          <w:rStyle w:val="28"/>
          <w:rFonts w:ascii="黑体" w:hAnsi="黑体" w:eastAsia="黑体" w:cs="仿宋"/>
          <w:color w:val="000000" w:themeColor="text1"/>
          <w:lang w:val="zh-CN"/>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"_Toc60399683" </w:instrText>
      </w:r>
      <w:r>
        <w:fldChar w:fldCharType="separate"/>
      </w:r>
      <w:r>
        <w:rPr>
          <w:rStyle w:val="28"/>
          <w:rFonts w:ascii="黑体" w:hAnsi="黑体" w:eastAsia="黑体" w:cs="仿宋"/>
          <w:color w:val="000000" w:themeColor="text1"/>
        </w:rPr>
        <w:t>一、总  则</w:t>
      </w:r>
      <w:r>
        <w:rPr>
          <w:color w:val="000000" w:themeColor="text1"/>
        </w:rPr>
        <w:tab/>
      </w:r>
      <w:r>
        <w:rPr>
          <w:color w:val="000000" w:themeColor="text1"/>
        </w:rPr>
        <w:fldChar w:fldCharType="begin"/>
      </w:r>
      <w:r>
        <w:rPr>
          <w:color w:val="000000" w:themeColor="text1"/>
        </w:rPr>
        <w:instrText xml:space="preserve"> PAGEREF _Toc60399683 \h </w:instrText>
      </w:r>
      <w:r>
        <w:rPr>
          <w:color w:val="000000" w:themeColor="text1"/>
        </w:rPr>
        <w:fldChar w:fldCharType="separate"/>
      </w:r>
      <w:r>
        <w:rPr>
          <w:rFonts w:hint="default"/>
          <w:color w:val="000000" w:themeColor="text1"/>
        </w:rPr>
        <w:t>30</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"_Toc60399684" </w:instrText>
      </w:r>
      <w:r>
        <w:fldChar w:fldCharType="separate"/>
      </w:r>
      <w:r>
        <w:rPr>
          <w:rStyle w:val="28"/>
          <w:rFonts w:ascii="黑体" w:hAnsi="黑体" w:eastAsia="黑体" w:cs="仿宋"/>
          <w:color w:val="000000" w:themeColor="text1"/>
        </w:rPr>
        <w:t>二、资格审查程序</w:t>
      </w:r>
      <w:r>
        <w:rPr>
          <w:color w:val="000000" w:themeColor="text1"/>
        </w:rPr>
        <w:tab/>
      </w:r>
      <w:r>
        <w:rPr>
          <w:color w:val="000000" w:themeColor="text1"/>
        </w:rPr>
        <w:fldChar w:fldCharType="begin"/>
      </w:r>
      <w:r>
        <w:rPr>
          <w:color w:val="000000" w:themeColor="text1"/>
        </w:rPr>
        <w:instrText xml:space="preserve"> PAGEREF _Toc60399684 \h </w:instrText>
      </w:r>
      <w:r>
        <w:rPr>
          <w:color w:val="000000" w:themeColor="text1"/>
        </w:rPr>
        <w:fldChar w:fldCharType="separate"/>
      </w:r>
      <w:r>
        <w:rPr>
          <w:rFonts w:hint="default"/>
          <w:color w:val="000000" w:themeColor="text1"/>
        </w:rPr>
        <w:t>31</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"_Toc60399685" </w:instrText>
      </w:r>
      <w:r>
        <w:fldChar w:fldCharType="separate"/>
      </w:r>
      <w:r>
        <w:rPr>
          <w:rStyle w:val="28"/>
          <w:rFonts w:ascii="黑体" w:hAnsi="黑体" w:eastAsia="黑体" w:cs="仿宋"/>
          <w:color w:val="000000" w:themeColor="text1"/>
        </w:rPr>
        <w:t>三、资格预审审查标准</w:t>
      </w:r>
      <w:r>
        <w:rPr>
          <w:color w:val="000000" w:themeColor="text1"/>
        </w:rPr>
        <w:tab/>
      </w:r>
      <w:r>
        <w:rPr>
          <w:color w:val="000000" w:themeColor="text1"/>
        </w:rPr>
        <w:fldChar w:fldCharType="begin"/>
      </w:r>
      <w:r>
        <w:rPr>
          <w:color w:val="000000" w:themeColor="text1"/>
        </w:rPr>
        <w:instrText xml:space="preserve"> PAGEREF _Toc60399685 \h </w:instrText>
      </w:r>
      <w:r>
        <w:rPr>
          <w:color w:val="000000" w:themeColor="text1"/>
        </w:rPr>
        <w:fldChar w:fldCharType="separate"/>
      </w:r>
      <w:r>
        <w:rPr>
          <w:rFonts w:hint="default"/>
          <w:color w:val="000000" w:themeColor="text1"/>
        </w:rPr>
        <w:t>17</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"_Toc60399686" </w:instrText>
      </w:r>
      <w:r>
        <w:fldChar w:fldCharType="separate"/>
      </w:r>
      <w:r>
        <w:rPr>
          <w:rStyle w:val="28"/>
          <w:rFonts w:ascii="黑体" w:hAnsi="黑体" w:eastAsia="黑体" w:cs="仿宋"/>
          <w:color w:val="000000" w:themeColor="text1"/>
        </w:rPr>
        <w:t>四、资格预审申请文件的澄清</w:t>
      </w:r>
      <w:r>
        <w:rPr>
          <w:color w:val="000000" w:themeColor="text1"/>
        </w:rPr>
        <w:tab/>
      </w:r>
      <w:r>
        <w:rPr>
          <w:color w:val="000000" w:themeColor="text1"/>
        </w:rPr>
        <w:fldChar w:fldCharType="begin"/>
      </w:r>
      <w:r>
        <w:rPr>
          <w:color w:val="000000" w:themeColor="text1"/>
        </w:rPr>
        <w:instrText xml:space="preserve"> PAGEREF _Toc60399686 \h </w:instrText>
      </w:r>
      <w:r>
        <w:rPr>
          <w:color w:val="000000" w:themeColor="text1"/>
        </w:rPr>
        <w:fldChar w:fldCharType="separate"/>
      </w:r>
      <w:r>
        <w:rPr>
          <w:rFonts w:hint="default"/>
          <w:color w:val="000000" w:themeColor="text1"/>
        </w:rPr>
        <w:t>31</w:t>
      </w:r>
      <w:r>
        <w:rPr>
          <w:color w:val="000000" w:themeColor="text1"/>
        </w:rPr>
        <w:fldChar w:fldCharType="end"/>
      </w:r>
      <w:r>
        <w:rPr>
          <w:color w:val="000000" w:themeColor="text1"/>
        </w:rPr>
        <w:fldChar w:fldCharType="end"/>
      </w:r>
    </w:p>
    <w:p>
      <w:pPr>
        <w:pStyle w:val="17"/>
        <w:tabs>
          <w:tab w:val="right" w:leader="dot" w:pos="9061"/>
        </w:tabs>
        <w:rPr>
          <w:rFonts w:hint="default" w:asciiTheme="minorHAnsi" w:hAnsiTheme="minorHAnsi" w:eastAsiaTheme="minorEastAsia" w:cstheme="minorBidi"/>
          <w:color w:val="000000" w:themeColor="text1"/>
          <w:kern w:val="2"/>
          <w:sz w:val="21"/>
        </w:rPr>
      </w:pPr>
      <w:r>
        <w:fldChar w:fldCharType="begin"/>
      </w:r>
      <w:r>
        <w:instrText xml:space="preserve"> HYPERLINK \l "_Toc60399687" </w:instrText>
      </w:r>
      <w:r>
        <w:fldChar w:fldCharType="separate"/>
      </w:r>
      <w:r>
        <w:rPr>
          <w:rStyle w:val="28"/>
          <w:rFonts w:ascii="黑体" w:hAnsi="黑体" w:eastAsia="黑体" w:cs="仿宋"/>
          <w:color w:val="000000" w:themeColor="text1"/>
        </w:rPr>
        <w:t>五、出具资格预审评审报告</w:t>
      </w:r>
      <w:r>
        <w:rPr>
          <w:color w:val="000000" w:themeColor="text1"/>
        </w:rPr>
        <w:tab/>
      </w:r>
      <w:r>
        <w:rPr>
          <w:color w:val="000000" w:themeColor="text1"/>
        </w:rPr>
        <w:fldChar w:fldCharType="begin"/>
      </w:r>
      <w:r>
        <w:rPr>
          <w:color w:val="000000" w:themeColor="text1"/>
        </w:rPr>
        <w:instrText xml:space="preserve"> PAGEREF _Toc60399687 \h </w:instrText>
      </w:r>
      <w:r>
        <w:rPr>
          <w:color w:val="000000" w:themeColor="text1"/>
        </w:rPr>
        <w:fldChar w:fldCharType="separate"/>
      </w:r>
      <w:r>
        <w:rPr>
          <w:rFonts w:hint="default"/>
          <w:color w:val="000000" w:themeColor="text1"/>
        </w:rPr>
        <w:t>32</w:t>
      </w:r>
      <w:r>
        <w:rPr>
          <w:color w:val="000000" w:themeColor="text1"/>
        </w:rPr>
        <w:fldChar w:fldCharType="end"/>
      </w:r>
      <w:r>
        <w:rPr>
          <w:color w:val="000000" w:themeColor="text1"/>
        </w:rPr>
        <w:fldChar w:fldCharType="end"/>
      </w:r>
    </w:p>
    <w:p>
      <w:pPr>
        <w:pStyle w:val="2"/>
        <w:widowControl/>
        <w:spacing w:before="2" w:line="480" w:lineRule="auto"/>
        <w:ind w:firstLine="440" w:firstLineChars="200"/>
        <w:rPr>
          <w:rFonts w:hint="default" w:cs="仿宋"/>
          <w:color w:val="000000" w:themeColor="text1"/>
        </w:rPr>
      </w:pPr>
      <w:r>
        <w:fldChar w:fldCharType="begin"/>
      </w:r>
      <w:r>
        <w:instrText xml:space="preserve"> HYPERLINK \l "_Toc60399689" </w:instrText>
      </w:r>
      <w:r>
        <w:fldChar w:fldCharType="separate"/>
      </w:r>
      <w:r>
        <w:rPr>
          <w:rStyle w:val="28"/>
          <w:rFonts w:ascii="黑体" w:hAnsi="黑体" w:eastAsia="黑体" w:cs="仿宋"/>
          <w:color w:val="000000" w:themeColor="text1"/>
        </w:rPr>
        <w:t>六、随机抽取供应商………………………………………………………………………</w:t>
      </w:r>
      <w:r>
        <w:rPr>
          <w:rStyle w:val="28"/>
          <w:rFonts w:ascii="黑体" w:hAnsi="黑体" w:eastAsia="黑体" w:cs="仿宋"/>
          <w:color w:val="000000" w:themeColor="text1"/>
        </w:rPr>
        <w:fldChar w:fldCharType="end"/>
      </w:r>
      <w:r>
        <w:rPr>
          <w:color w:val="000000" w:themeColor="text1"/>
        </w:rPr>
        <w:t>……19</w:t>
      </w:r>
      <w:r>
        <w:rPr>
          <w:rFonts w:cs="仿宋"/>
          <w:color w:val="000000" w:themeColor="text1"/>
        </w:rPr>
        <w:br w:type="page"/>
      </w:r>
    </w:p>
    <w:p>
      <w:pPr>
        <w:pStyle w:val="2"/>
        <w:widowControl/>
        <w:spacing w:before="2" w:line="480" w:lineRule="auto"/>
        <w:rPr>
          <w:rFonts w:hint="default" w:cs="仿宋"/>
          <w:color w:val="000000" w:themeColor="text1"/>
        </w:rPr>
      </w:pPr>
    </w:p>
    <w:p>
      <w:pPr>
        <w:pStyle w:val="3"/>
        <w:numPr>
          <w:ilvl w:val="0"/>
          <w:numId w:val="1"/>
        </w:numPr>
        <w:snapToGrid w:val="0"/>
        <w:spacing w:line="500" w:lineRule="exact"/>
        <w:ind w:left="0" w:firstLine="0"/>
        <w:rPr>
          <w:rFonts w:hint="default" w:ascii="黑体" w:hAnsi="黑体" w:eastAsia="黑体" w:cs="仿宋"/>
          <w:b w:val="0"/>
          <w:color w:val="000000" w:themeColor="text1"/>
          <w:sz w:val="36"/>
          <w:szCs w:val="36"/>
        </w:rPr>
      </w:pPr>
      <w:bookmarkStart w:id="7" w:name="_Toc60399671"/>
      <w:r>
        <w:rPr>
          <w:rFonts w:ascii="黑体" w:hAnsi="黑体" w:eastAsia="黑体" w:cs="仿宋"/>
          <w:b w:val="0"/>
          <w:color w:val="000000" w:themeColor="text1"/>
          <w:sz w:val="36"/>
          <w:szCs w:val="36"/>
        </w:rPr>
        <w:t>资格预审公告</w:t>
      </w:r>
      <w:bookmarkEnd w:id="7"/>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p>
    <w:p>
      <w:pPr>
        <w:pStyle w:val="2"/>
        <w:jc w:val="both"/>
        <w:rPr>
          <w:rFonts w:hint="default"/>
          <w:b/>
          <w:bCs/>
          <w:color w:val="000000" w:themeColor="text1"/>
          <w:sz w:val="36"/>
          <w:szCs w:val="36"/>
        </w:rPr>
      </w:pPr>
      <w:r>
        <w:rPr>
          <w:rFonts w:ascii="宋体" w:hAnsi="宋体" w:eastAsia="宋体" w:cs="仿宋"/>
          <w:color w:val="000000" w:themeColor="text1"/>
          <w:sz w:val="28"/>
          <w:szCs w:val="28"/>
          <w:u w:val="single"/>
        </w:rPr>
        <w:t>达州市政府采购中心</w:t>
      </w:r>
      <w:r>
        <w:rPr>
          <w:rFonts w:ascii="宋体" w:hAnsi="宋体" w:eastAsia="宋体" w:cs="仿宋"/>
          <w:color w:val="000000" w:themeColor="text1"/>
          <w:sz w:val="28"/>
          <w:szCs w:val="28"/>
        </w:rPr>
        <w:t>(代理机构)受</w:t>
      </w:r>
      <w:r>
        <w:rPr>
          <w:rFonts w:ascii="宋体" w:hAnsi="宋体" w:eastAsia="宋体" w:cs="仿宋"/>
          <w:color w:val="000000" w:themeColor="text1"/>
          <w:sz w:val="28"/>
          <w:szCs w:val="28"/>
          <w:u w:val="single"/>
        </w:rPr>
        <w:t>达州市通川区人民政府东城街道办事处</w:t>
      </w:r>
      <w:r>
        <w:rPr>
          <w:rFonts w:ascii="宋体" w:hAnsi="宋体" w:eastAsia="宋体" w:cs="仿宋"/>
          <w:color w:val="000000" w:themeColor="text1"/>
          <w:sz w:val="28"/>
          <w:szCs w:val="28"/>
        </w:rPr>
        <w:t>(采购人)委托，拟对</w:t>
      </w:r>
      <w:r>
        <w:rPr>
          <w:rFonts w:ascii="宋体" w:hAnsi="宋体" w:eastAsia="宋体" w:cs="仿宋"/>
          <w:color w:val="000000" w:themeColor="text1"/>
          <w:sz w:val="28"/>
          <w:szCs w:val="28"/>
          <w:u w:val="single"/>
        </w:rPr>
        <w:t>东城街道二马路社区老旧建筑消防安全隐患2020年度整改工程</w:t>
      </w:r>
      <w:r>
        <w:rPr>
          <w:rFonts w:ascii="宋体" w:hAnsi="宋体" w:eastAsia="宋体" w:cs="仿宋"/>
          <w:color w:val="000000" w:themeColor="text1"/>
          <w:sz w:val="28"/>
          <w:szCs w:val="28"/>
        </w:rPr>
        <w:t>采用竞争性磋商采购方式进行采购，兹邀请符合本次采购项目资格预审要求的供应商参与资格预审活动。</w:t>
      </w:r>
      <w:bookmarkStart w:id="8" w:name="_Toc29148"/>
      <w:r>
        <w:rPr>
          <w:rFonts w:ascii="宋体" w:hAnsi="宋体" w:eastAsia="宋体" w:cs="仿宋"/>
          <w:color w:val="000000" w:themeColor="text1"/>
          <w:sz w:val="28"/>
          <w:szCs w:val="28"/>
        </w:rPr>
        <w:t>通过资格审查并经随机抽取进入磋商等评审环节的供应商，可参加后续采购活动。</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一、采购项目基本情况</w:t>
      </w:r>
      <w:bookmarkEnd w:id="8"/>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1、项目编号：</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（1）采购项目编号：以系统自动生成为准（详见采购公告）</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（2）项目受理编号：</w:t>
      </w:r>
      <w:r>
        <w:rPr>
          <w:rFonts w:ascii="宋体" w:hAnsi="宋体" w:eastAsia="宋体" w:cs="仿宋"/>
          <w:color w:val="000000" w:themeColor="text1"/>
          <w:sz w:val="28"/>
          <w:szCs w:val="28"/>
          <w:u w:val="single"/>
        </w:rPr>
        <w:t>DSZCT（GC）〔2021〕6号</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2、采购项目名称：</w:t>
      </w:r>
      <w:bookmarkStart w:id="9" w:name="_Toc13250"/>
      <w:r>
        <w:rPr>
          <w:rFonts w:ascii="宋体" w:hAnsi="宋体" w:eastAsia="宋体" w:cs="仿宋"/>
          <w:color w:val="000000" w:themeColor="text1"/>
          <w:sz w:val="28"/>
          <w:szCs w:val="28"/>
          <w:u w:val="single"/>
        </w:rPr>
        <w:t>东城街道二马路社区老旧建筑消防安全隐患2020年度整改工程</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二、资金情况</w:t>
      </w:r>
      <w:bookmarkEnd w:id="9"/>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1、资金来源：</w:t>
      </w:r>
      <w:bookmarkStart w:id="10" w:name="_Toc12221"/>
      <w:r>
        <w:rPr>
          <w:rFonts w:ascii="宋体" w:hAnsi="宋体" w:eastAsia="宋体" w:cs="仿宋"/>
          <w:color w:val="000000" w:themeColor="text1"/>
          <w:sz w:val="28"/>
          <w:szCs w:val="28"/>
        </w:rPr>
        <w:t>财政性资金。</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2、预算</w:t>
      </w:r>
      <w:r>
        <w:rPr>
          <w:rFonts w:hint="default" w:ascii="宋体" w:hAnsi="宋体" w:eastAsia="宋体" w:cs="仿宋"/>
          <w:color w:val="000000" w:themeColor="text1"/>
          <w:sz w:val="28"/>
          <w:szCs w:val="28"/>
        </w:rPr>
        <w:t>金额：</w:t>
      </w:r>
      <w:r>
        <w:rPr>
          <w:rFonts w:ascii="仿宋_GB2312" w:eastAsia="仿宋_GB2312"/>
          <w:sz w:val="32"/>
          <w:szCs w:val="32"/>
          <w:u w:val="single"/>
        </w:rPr>
        <w:t>2478383元</w:t>
      </w:r>
      <w:r>
        <w:rPr>
          <w:rFonts w:ascii="宋体" w:hAnsi="宋体" w:eastAsia="宋体" w:cs="仿宋"/>
          <w:color w:val="000000" w:themeColor="text1"/>
          <w:sz w:val="28"/>
          <w:szCs w:val="28"/>
        </w:rPr>
        <w:t>。</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三、采购</w:t>
      </w:r>
      <w:bookmarkEnd w:id="10"/>
      <w:r>
        <w:rPr>
          <w:rFonts w:ascii="黑体" w:hAnsi="黑体" w:eastAsia="黑体" w:cs="仿宋"/>
          <w:color w:val="000000" w:themeColor="text1"/>
          <w:sz w:val="28"/>
          <w:szCs w:val="28"/>
        </w:rPr>
        <w:t>概况</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 xml:space="preserve">   东城街道二马路社区老旧建筑消防安全隐患2020年度整改工程。</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四、资格预审公告</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本次资格预审公告在四川政府采购网</w:t>
      </w:r>
      <w:r>
        <w:fldChar w:fldCharType="begin"/>
      </w:r>
      <w:r>
        <w:instrText xml:space="preserve"> HYPERLINK "http://www.ccgp-sichuan.gov.cn/" </w:instrText>
      </w:r>
      <w:r>
        <w:fldChar w:fldCharType="separate"/>
      </w:r>
      <w:r>
        <w:rPr>
          <w:rStyle w:val="28"/>
          <w:rFonts w:ascii="宋体" w:hAnsi="宋体" w:eastAsia="宋体" w:cs="仿宋"/>
          <w:color w:val="000000" w:themeColor="text1"/>
          <w:sz w:val="28"/>
          <w:szCs w:val="28"/>
        </w:rPr>
        <w:t>（www.ccgp-sichuan.gov.cn</w:t>
      </w:r>
      <w:r>
        <w:rPr>
          <w:rStyle w:val="28"/>
          <w:rFonts w:ascii="宋体" w:hAnsi="宋体" w:eastAsia="宋体" w:cs="仿宋"/>
          <w:color w:val="000000" w:themeColor="text1"/>
          <w:sz w:val="28"/>
          <w:szCs w:val="28"/>
        </w:rPr>
        <w:fldChar w:fldCharType="end"/>
      </w:r>
      <w:r>
        <w:rPr>
          <w:rFonts w:ascii="宋体" w:hAnsi="宋体" w:eastAsia="宋体" w:cs="仿宋"/>
          <w:color w:val="000000" w:themeColor="text1"/>
          <w:sz w:val="28"/>
          <w:szCs w:val="28"/>
        </w:rPr>
        <w:t>）和达州市公共资源交易服务网（www.dzggzy.cn）发布，资格预审公告的公告期限为次日起5个工作日。</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五、供应商资格要求：</w:t>
      </w:r>
      <w:bookmarkStart w:id="11" w:name="PO_供应商资格条件_1"/>
    </w:p>
    <w:p>
      <w:pPr>
        <w:pStyle w:val="2"/>
        <w:tabs>
          <w:tab w:val="left" w:pos="10120"/>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（一）具备《中华人民共和国政府采购法》第二十二条第一款规定：</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1、具有独立承担民事责任的能力；</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2、具有良好的商业信誉和健全的财务会计制度；</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3、具有履行合同所必须的设备和专业技术能力；</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4、具有依法缴纳税收和社会保障资金的良好记录；</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5、参加本次政府采购活动前三年内，在经营活动中没有重大违法记录；</w:t>
      </w:r>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6、法律、行政法规规定的其他条件</w:t>
      </w:r>
      <w:bookmarkEnd w:id="11"/>
      <w:r>
        <w:rPr>
          <w:rFonts w:ascii="宋体" w:hAnsi="宋体" w:eastAsia="宋体" w:cs="仿宋"/>
          <w:color w:val="000000" w:themeColor="text1"/>
          <w:sz w:val="28"/>
          <w:szCs w:val="28"/>
        </w:rPr>
        <w:t>。</w:t>
      </w:r>
    </w:p>
    <w:p>
      <w:pPr>
        <w:pStyle w:val="2"/>
        <w:tabs>
          <w:tab w:val="left" w:pos="567"/>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（二）采购人根据采购项目提出的特殊条件：</w:t>
      </w:r>
    </w:p>
    <w:p>
      <w:pPr>
        <w:pStyle w:val="18"/>
        <w:shd w:val="clear" w:color="auto" w:fill="FFFFFF"/>
        <w:spacing w:line="500" w:lineRule="exact"/>
        <w:ind w:firstLine="560" w:firstLineChars="200"/>
        <w:jc w:val="both"/>
        <w:rPr>
          <w:rFonts w:cs="仿宋" w:asciiTheme="minorEastAsia" w:hAnsiTheme="minorEastAsia" w:eastAsiaTheme="minorEastAsia"/>
          <w:color w:val="000000" w:themeColor="text1"/>
          <w:sz w:val="28"/>
          <w:szCs w:val="28"/>
        </w:rPr>
      </w:pPr>
      <w:r>
        <w:rPr>
          <w:rFonts w:hint="eastAsia" w:cs="仿宋"/>
          <w:color w:val="000000" w:themeColor="text1"/>
          <w:sz w:val="28"/>
          <w:szCs w:val="28"/>
        </w:rPr>
        <w:t>1、</w:t>
      </w:r>
      <w:r>
        <w:rPr>
          <w:rFonts w:hint="eastAsia" w:cs="Times New Roman" w:asciiTheme="minorEastAsia" w:hAnsiTheme="minorEastAsia" w:eastAsiaTheme="minorEastAsia"/>
          <w:sz w:val="32"/>
          <w:szCs w:val="32"/>
        </w:rPr>
        <w:t>供应商具有国家建设行政部门核发的消防设施工程专业承包二级或以上资质。</w:t>
      </w:r>
    </w:p>
    <w:p>
      <w:pPr>
        <w:pStyle w:val="18"/>
        <w:shd w:val="clear" w:color="auto" w:fill="FFFFFF"/>
        <w:spacing w:line="500" w:lineRule="exact"/>
        <w:ind w:firstLine="560" w:firstLineChars="200"/>
        <w:jc w:val="both"/>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rPr>
        <w:t>2、供应商须具备有效期内的安全生产许可证。</w:t>
      </w:r>
    </w:p>
    <w:p>
      <w:pPr>
        <w:pStyle w:val="18"/>
        <w:shd w:val="clear" w:color="auto" w:fill="FFFFFF"/>
        <w:spacing w:line="500" w:lineRule="exact"/>
        <w:ind w:firstLine="560" w:firstLineChars="200"/>
        <w:jc w:val="both"/>
        <w:rPr>
          <w:rFonts w:cs="Times New Roman" w:asciiTheme="minorEastAsia" w:hAnsiTheme="minorEastAsia" w:eastAsiaTheme="minorEastAsia"/>
          <w:sz w:val="32"/>
          <w:szCs w:val="32"/>
        </w:rPr>
      </w:pPr>
      <w:r>
        <w:rPr>
          <w:rFonts w:hint="eastAsia" w:cs="仿宋" w:asciiTheme="minorEastAsia" w:hAnsiTheme="minorEastAsia" w:eastAsiaTheme="minorEastAsia"/>
          <w:color w:val="000000" w:themeColor="text1"/>
          <w:sz w:val="28"/>
          <w:szCs w:val="28"/>
        </w:rPr>
        <w:t>3、</w:t>
      </w:r>
      <w:r>
        <w:rPr>
          <w:rFonts w:hint="eastAsia" w:cs="Times New Roman" w:asciiTheme="minorEastAsia" w:hAnsiTheme="minorEastAsia" w:eastAsiaTheme="minorEastAsia"/>
          <w:sz w:val="32"/>
          <w:szCs w:val="32"/>
        </w:rPr>
        <w:t>项目经理：具备机电工程专业或消防设施工程专业二级或以上建造师执业资格，同时具备有效的安全生产考核合格证。</w:t>
      </w:r>
    </w:p>
    <w:p>
      <w:pPr>
        <w:pStyle w:val="18"/>
        <w:shd w:val="clear" w:color="auto" w:fill="FFFFFF"/>
        <w:spacing w:line="500" w:lineRule="exact"/>
        <w:ind w:firstLine="640" w:firstLineChars="200"/>
        <w:jc w:val="both"/>
        <w:rPr>
          <w:rFonts w:cs="仿宋" w:asciiTheme="minorEastAsia" w:hAnsiTheme="minorEastAsia" w:eastAsiaTheme="minorEastAsia"/>
          <w:color w:val="000000" w:themeColor="text1"/>
          <w:sz w:val="28"/>
          <w:szCs w:val="28"/>
        </w:rPr>
      </w:pPr>
      <w:r>
        <w:rPr>
          <w:rFonts w:hint="eastAsia" w:cs="Times New Roman" w:asciiTheme="minorEastAsia" w:hAnsiTheme="minorEastAsia" w:eastAsiaTheme="minorEastAsia"/>
          <w:sz w:val="32"/>
          <w:szCs w:val="32"/>
        </w:rPr>
        <w:t>项目技术负责人：具备机电工程类专业或消防设施工程专业中级或以上职称。</w:t>
      </w:r>
    </w:p>
    <w:p>
      <w:pPr>
        <w:tabs>
          <w:tab w:val="left" w:pos="7665"/>
        </w:tabs>
        <w:spacing w:line="500" w:lineRule="exact"/>
        <w:ind w:firstLine="560" w:firstLineChars="2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4、</w:t>
      </w:r>
      <w:r>
        <w:rPr>
          <w:rFonts w:hint="eastAsia" w:cs="Times New Roman" w:asciiTheme="minorEastAsia" w:hAnsiTheme="minorEastAsia"/>
          <w:kern w:val="0"/>
          <w:sz w:val="32"/>
          <w:szCs w:val="32"/>
        </w:rPr>
        <w:t>省外企业应具备《四川省省外建筑企业入川承揽业务验证登记证》或带二维码的《四川省省外施工、监理入川承揽业务信息录入证》或具有的入川登记备案的相关证明材料。</w:t>
      </w:r>
    </w:p>
    <w:p>
      <w:pPr>
        <w:pStyle w:val="2"/>
        <w:tabs>
          <w:tab w:val="left" w:pos="567"/>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（三）按照规定获取了资格预审文件。</w:t>
      </w:r>
      <w:bookmarkStart w:id="12" w:name="_Toc10817"/>
    </w:p>
    <w:p>
      <w:pPr>
        <w:spacing w:line="480" w:lineRule="exact"/>
        <w:ind w:firstLine="560" w:firstLineChars="200"/>
        <w:jc w:val="left"/>
        <w:rPr>
          <w:rFonts w:ascii="宋体" w:hAnsi="宋体" w:eastAsia="宋体" w:cs="仿宋"/>
          <w:color w:val="000000" w:themeColor="text1"/>
          <w:kern w:val="0"/>
          <w:sz w:val="28"/>
          <w:szCs w:val="28"/>
        </w:rPr>
      </w:pPr>
      <w:r>
        <w:rPr>
          <w:rFonts w:ascii="宋体" w:hAnsi="宋体" w:eastAsia="宋体" w:cs="仿宋"/>
          <w:color w:val="000000" w:themeColor="text1"/>
          <w:kern w:val="0"/>
          <w:sz w:val="28"/>
          <w:szCs w:val="28"/>
        </w:rPr>
        <w:t>备注：1、</w:t>
      </w:r>
      <w:r>
        <w:rPr>
          <w:rFonts w:hint="eastAsia" w:ascii="宋体" w:hAnsi="宋体" w:eastAsia="宋体" w:cs="仿宋"/>
          <w:color w:val="000000" w:themeColor="text1"/>
          <w:kern w:val="0"/>
          <w:sz w:val="28"/>
          <w:szCs w:val="28"/>
        </w:rPr>
        <w:t>供应商</w:t>
      </w:r>
      <w:r>
        <w:rPr>
          <w:rFonts w:ascii="宋体" w:hAnsi="宋体" w:eastAsia="宋体" w:cs="仿宋"/>
          <w:color w:val="000000" w:themeColor="text1"/>
          <w:kern w:val="0"/>
          <w:sz w:val="28"/>
          <w:szCs w:val="28"/>
        </w:rPr>
        <w:t>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480" w:lineRule="exact"/>
        <w:ind w:firstLine="560" w:firstLineChars="200"/>
        <w:jc w:val="left"/>
        <w:rPr>
          <w:rFonts w:ascii="宋体" w:hAnsi="宋体" w:eastAsia="宋体" w:cs="仿宋"/>
          <w:color w:val="000000" w:themeColor="text1"/>
          <w:kern w:val="0"/>
          <w:sz w:val="28"/>
          <w:szCs w:val="28"/>
        </w:rPr>
      </w:pPr>
      <w:r>
        <w:rPr>
          <w:rFonts w:ascii="宋体" w:hAnsi="宋体" w:eastAsia="宋体" w:cs="仿宋"/>
          <w:color w:val="000000" w:themeColor="text1"/>
          <w:kern w:val="0"/>
          <w:sz w:val="28"/>
          <w:szCs w:val="28"/>
        </w:rPr>
        <w:t>2、重大违法记录中的较大数额罚款的具体金额标准：采购项目所属行业行政主管部门对较大数额罚款金额标准有明文规定的，以采购项目所属行业行政主管部门规定的较大数额罚款金额标准为准；采购项目所属行业行政主管部门对较大数额罚款金额标准未明文规定的，应当以四川省人民政府规定的行政处罚罚款听证标准金额为准（在经营活动中的违法行为处以罚款或者没收财产5 万元以上）；省外较大数额的标准应以作出行政处罚地域的政府规定为准。</w:t>
      </w:r>
    </w:p>
    <w:p>
      <w:pPr>
        <w:pStyle w:val="2"/>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六、禁止参加本次采购活动的</w:t>
      </w:r>
      <w:bookmarkEnd w:id="12"/>
      <w:r>
        <w:rPr>
          <w:rFonts w:ascii="黑体" w:hAnsi="黑体" w:eastAsia="黑体" w:cs="仿宋"/>
          <w:color w:val="000000" w:themeColor="text1"/>
          <w:sz w:val="28"/>
          <w:szCs w:val="28"/>
        </w:rPr>
        <w:t xml:space="preserve">供应商 </w:t>
      </w:r>
    </w:p>
    <w:p>
      <w:pPr>
        <w:spacing w:line="360" w:lineRule="auto"/>
        <w:ind w:firstLine="560" w:firstLineChars="200"/>
        <w:rPr>
          <w:rFonts w:ascii="宋体" w:hAnsi="宋体" w:eastAsia="宋体" w:cs="仿宋"/>
          <w:color w:val="000000" w:themeColor="text1"/>
          <w:sz w:val="28"/>
          <w:szCs w:val="28"/>
        </w:rPr>
      </w:pPr>
      <w:r>
        <w:rPr>
          <w:rFonts w:ascii="宋体" w:hAnsi="宋体" w:eastAsia="宋体" w:cs="仿宋"/>
          <w:color w:val="000000" w:themeColor="text1"/>
          <w:sz w:val="28"/>
          <w:szCs w:val="28"/>
        </w:rPr>
        <w:t>根据《关于在政府采购活动中查询及使用信用记录有关问题的通知》（财库〔2016〕125 号）的要求，采购人在递交资格预审申请文件截止日将通过“信用中国”网站</w:t>
      </w:r>
      <w:r>
        <w:fldChar w:fldCharType="begin"/>
      </w:r>
      <w:r>
        <w:instrText xml:space="preserve"> HYPERLINK "http://www.creditchina.gov.cn/" </w:instrText>
      </w:r>
      <w:r>
        <w:fldChar w:fldCharType="separate"/>
      </w:r>
      <w:r>
        <w:rPr>
          <w:rFonts w:ascii="宋体" w:hAnsi="宋体" w:eastAsia="宋体" w:cs="仿宋"/>
          <w:color w:val="000000" w:themeColor="text1"/>
          <w:sz w:val="28"/>
          <w:szCs w:val="28"/>
        </w:rPr>
        <w:t>（www.creditchina.gov.cn</w:t>
      </w:r>
      <w:r>
        <w:rPr>
          <w:rFonts w:ascii="宋体" w:hAnsi="宋体" w:eastAsia="宋体" w:cs="仿宋"/>
          <w:color w:val="000000" w:themeColor="text1"/>
          <w:sz w:val="28"/>
          <w:szCs w:val="28"/>
        </w:rPr>
        <w:fldChar w:fldCharType="end"/>
      </w:r>
      <w:r>
        <w:rPr>
          <w:rFonts w:ascii="宋体" w:hAnsi="宋体" w:eastAsia="宋体" w:cs="仿宋"/>
          <w:color w:val="000000" w:themeColor="text1"/>
          <w:sz w:val="28"/>
          <w:szCs w:val="28"/>
        </w:rPr>
        <w:t>）、“中国政府采购网”网站（</w:t>
      </w:r>
      <w:r>
        <w:fldChar w:fldCharType="begin"/>
      </w:r>
      <w:r>
        <w:instrText xml:space="preserve"> HYPERLINK "http://www.ccgp.gov.cn/" </w:instrText>
      </w:r>
      <w:r>
        <w:fldChar w:fldCharType="separate"/>
      </w:r>
      <w:r>
        <w:rPr>
          <w:rFonts w:ascii="宋体" w:hAnsi="宋体" w:eastAsia="宋体" w:cs="仿宋"/>
          <w:color w:val="000000" w:themeColor="text1"/>
          <w:sz w:val="28"/>
          <w:szCs w:val="28"/>
        </w:rPr>
        <w:t>www.ccgp.gov.cn</w:t>
      </w:r>
      <w:r>
        <w:rPr>
          <w:rFonts w:ascii="宋体" w:hAnsi="宋体" w:eastAsia="宋体" w:cs="仿宋"/>
          <w:color w:val="000000" w:themeColor="text1"/>
          <w:sz w:val="28"/>
          <w:szCs w:val="28"/>
        </w:rPr>
        <w:fldChar w:fldCharType="end"/>
      </w:r>
      <w:r>
        <w:rPr>
          <w:rFonts w:ascii="宋体" w:hAnsi="宋体" w:eastAsia="宋体" w:cs="仿宋"/>
          <w:color w:val="000000" w:themeColor="text1"/>
          <w:sz w:val="28"/>
          <w:szCs w:val="28"/>
        </w:rPr>
        <w:t>）等渠道查询</w:t>
      </w:r>
      <w:r>
        <w:rPr>
          <w:rFonts w:hint="eastAsia" w:ascii="宋体" w:hAnsi="宋体" w:eastAsia="宋体" w:cs="仿宋"/>
          <w:color w:val="000000" w:themeColor="text1"/>
          <w:sz w:val="28"/>
          <w:szCs w:val="28"/>
        </w:rPr>
        <w:t>供应商</w:t>
      </w:r>
      <w:r>
        <w:rPr>
          <w:rFonts w:ascii="宋体" w:hAnsi="宋体" w:eastAsia="宋体" w:cs="仿宋"/>
          <w:color w:val="000000" w:themeColor="text1"/>
          <w:sz w:val="28"/>
          <w:szCs w:val="28"/>
        </w:rPr>
        <w:t>的信用记录并保存信用记录结果网页截图，拒绝列入失信被执行人名单、重大税收违法案件当事人名单、政府采购严重违法失信行为记录名单中的</w:t>
      </w:r>
      <w:r>
        <w:rPr>
          <w:rFonts w:hint="eastAsia" w:ascii="宋体" w:hAnsi="宋体" w:eastAsia="宋体" w:cs="仿宋"/>
          <w:color w:val="000000" w:themeColor="text1"/>
          <w:sz w:val="28"/>
          <w:szCs w:val="28"/>
        </w:rPr>
        <w:t>供应商</w:t>
      </w:r>
      <w:r>
        <w:rPr>
          <w:rFonts w:ascii="宋体" w:hAnsi="宋体" w:eastAsia="宋体" w:cs="仿宋"/>
          <w:color w:val="000000" w:themeColor="text1"/>
          <w:sz w:val="28"/>
          <w:szCs w:val="28"/>
        </w:rPr>
        <w:t>参加本项目的采购活动</w:t>
      </w:r>
      <w:r>
        <w:rPr>
          <w:rFonts w:hint="eastAsia" w:ascii="宋体" w:hAnsi="宋体" w:eastAsia="宋体" w:cs="仿宋"/>
          <w:color w:val="000000" w:themeColor="text1"/>
          <w:sz w:val="28"/>
          <w:szCs w:val="28"/>
        </w:rPr>
        <w:t>（以联合体形式参加本项目资格预审，联合体成员存在不良信用记录的，视同联合体存在不良信用记录）</w:t>
      </w:r>
      <w:r>
        <w:rPr>
          <w:rFonts w:ascii="宋体" w:hAnsi="宋体" w:eastAsia="宋体" w:cs="仿宋"/>
          <w:color w:val="000000" w:themeColor="text1"/>
          <w:sz w:val="28"/>
          <w:szCs w:val="28"/>
        </w:rPr>
        <w:t>。</w:t>
      </w:r>
      <w:bookmarkStart w:id="13" w:name="_Toc17569"/>
    </w:p>
    <w:p>
      <w:pPr>
        <w:pStyle w:val="2"/>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七、资格预审文件获取时间</w:t>
      </w:r>
      <w:bookmarkEnd w:id="13"/>
      <w:bookmarkStart w:id="14" w:name="_Toc31850"/>
    </w:p>
    <w:p>
      <w:pPr>
        <w:pStyle w:val="2"/>
        <w:tabs>
          <w:tab w:val="left" w:pos="993"/>
        </w:tabs>
        <w:adjustRightInd w:val="0"/>
        <w:snapToGrid w:val="0"/>
        <w:spacing w:after="0" w:line="540" w:lineRule="exact"/>
        <w:ind w:firstLine="560" w:firstLineChars="200"/>
        <w:jc w:val="both"/>
        <w:rPr>
          <w:rFonts w:hint="default" w:ascii="宋体" w:hAnsi="宋体" w:eastAsia="宋体" w:cs="仿宋"/>
          <w:color w:val="000000" w:themeColor="text1"/>
          <w:sz w:val="28"/>
          <w:szCs w:val="28"/>
        </w:rPr>
      </w:pPr>
      <w:r>
        <w:rPr>
          <w:rFonts w:hint="eastAsia" w:ascii="宋体" w:hAnsi="宋体" w:eastAsia="宋体" w:cs="仿宋"/>
          <w:color w:val="000000" w:themeColor="text1"/>
          <w:sz w:val="28"/>
          <w:szCs w:val="28"/>
          <w:lang w:val="en-US" w:eastAsia="zh-CN"/>
        </w:rPr>
        <w:t>2021</w:t>
      </w:r>
      <w:r>
        <w:rPr>
          <w:rFonts w:ascii="宋体" w:hAnsi="宋体" w:eastAsia="宋体" w:cs="仿宋"/>
          <w:b/>
          <w:color w:val="000000" w:themeColor="text1"/>
          <w:sz w:val="28"/>
          <w:szCs w:val="28"/>
        </w:rPr>
        <w:t>年</w:t>
      </w:r>
      <w:r>
        <w:rPr>
          <w:rFonts w:hint="eastAsia" w:ascii="宋体" w:hAnsi="宋体" w:eastAsia="宋体" w:cs="仿宋"/>
          <w:b/>
          <w:color w:val="000000" w:themeColor="text1"/>
          <w:sz w:val="28"/>
          <w:szCs w:val="28"/>
          <w:lang w:val="en-US" w:eastAsia="zh-CN"/>
        </w:rPr>
        <w:t>10</w:t>
      </w:r>
      <w:r>
        <w:rPr>
          <w:rFonts w:ascii="宋体" w:hAnsi="宋体" w:eastAsia="宋体" w:cs="仿宋"/>
          <w:b/>
          <w:color w:val="000000" w:themeColor="text1"/>
          <w:sz w:val="28"/>
          <w:szCs w:val="28"/>
        </w:rPr>
        <w:t>月</w:t>
      </w:r>
      <w:r>
        <w:rPr>
          <w:rFonts w:hint="eastAsia" w:ascii="宋体" w:hAnsi="宋体" w:eastAsia="宋体" w:cs="仿宋"/>
          <w:b/>
          <w:color w:val="000000" w:themeColor="text1"/>
          <w:sz w:val="28"/>
          <w:szCs w:val="28"/>
          <w:lang w:val="en-US" w:eastAsia="zh-CN"/>
        </w:rPr>
        <w:t>13</w:t>
      </w:r>
      <w:r>
        <w:rPr>
          <w:rFonts w:ascii="宋体" w:hAnsi="宋体" w:eastAsia="宋体" w:cs="仿宋"/>
          <w:b/>
          <w:color w:val="000000" w:themeColor="text1"/>
          <w:sz w:val="28"/>
          <w:szCs w:val="28"/>
        </w:rPr>
        <w:t>日</w:t>
      </w:r>
      <w:r>
        <w:rPr>
          <w:rFonts w:hint="eastAsia" w:ascii="宋体" w:hAnsi="宋体" w:eastAsia="宋体" w:cs="仿宋"/>
          <w:b/>
          <w:color w:val="000000" w:themeColor="text1"/>
          <w:sz w:val="28"/>
          <w:szCs w:val="28"/>
          <w:lang w:val="en-US" w:eastAsia="zh-CN"/>
        </w:rPr>
        <w:t>9:00</w:t>
      </w:r>
      <w:r>
        <w:rPr>
          <w:rFonts w:ascii="宋体" w:hAnsi="宋体" w:eastAsia="宋体" w:cs="仿宋"/>
          <w:color w:val="000000" w:themeColor="text1"/>
          <w:sz w:val="28"/>
          <w:szCs w:val="28"/>
        </w:rPr>
        <w:t>分</w:t>
      </w:r>
      <w:r>
        <w:rPr>
          <w:rFonts w:ascii="宋体" w:hAnsi="宋体" w:eastAsia="宋体" w:cs="仿宋"/>
          <w:b/>
          <w:color w:val="000000" w:themeColor="text1"/>
          <w:sz w:val="28"/>
          <w:szCs w:val="28"/>
        </w:rPr>
        <w:t xml:space="preserve">至 </w:t>
      </w:r>
      <w:r>
        <w:rPr>
          <w:rFonts w:hint="eastAsia" w:ascii="宋体" w:hAnsi="宋体" w:eastAsia="宋体" w:cs="仿宋"/>
          <w:b/>
          <w:color w:val="000000" w:themeColor="text1"/>
          <w:sz w:val="28"/>
          <w:szCs w:val="28"/>
          <w:lang w:val="en-US" w:eastAsia="zh-CN"/>
        </w:rPr>
        <w:t>2021</w:t>
      </w:r>
      <w:r>
        <w:rPr>
          <w:rFonts w:ascii="宋体" w:hAnsi="宋体" w:eastAsia="宋体" w:cs="仿宋"/>
          <w:b/>
          <w:color w:val="000000" w:themeColor="text1"/>
          <w:sz w:val="28"/>
          <w:szCs w:val="28"/>
        </w:rPr>
        <w:t>年</w:t>
      </w:r>
      <w:r>
        <w:rPr>
          <w:rFonts w:hint="eastAsia" w:ascii="宋体" w:hAnsi="宋体" w:eastAsia="宋体" w:cs="仿宋"/>
          <w:b/>
          <w:color w:val="000000" w:themeColor="text1"/>
          <w:sz w:val="28"/>
          <w:szCs w:val="28"/>
          <w:lang w:val="en-US" w:eastAsia="zh-CN"/>
        </w:rPr>
        <w:t>10</w:t>
      </w:r>
      <w:r>
        <w:rPr>
          <w:rFonts w:ascii="宋体" w:hAnsi="宋体" w:eastAsia="宋体" w:cs="仿宋"/>
          <w:b/>
          <w:color w:val="000000" w:themeColor="text1"/>
          <w:sz w:val="28"/>
          <w:szCs w:val="28"/>
        </w:rPr>
        <w:t>月</w:t>
      </w:r>
      <w:r>
        <w:rPr>
          <w:rFonts w:hint="eastAsia" w:ascii="宋体" w:hAnsi="宋体" w:eastAsia="宋体" w:cs="仿宋"/>
          <w:b/>
          <w:color w:val="000000" w:themeColor="text1"/>
          <w:sz w:val="28"/>
          <w:szCs w:val="28"/>
          <w:lang w:val="en-US" w:eastAsia="zh-CN"/>
        </w:rPr>
        <w:t>19</w:t>
      </w:r>
      <w:r>
        <w:rPr>
          <w:rFonts w:ascii="宋体" w:hAnsi="宋体" w:eastAsia="宋体" w:cs="仿宋"/>
          <w:b/>
          <w:color w:val="000000" w:themeColor="text1"/>
          <w:sz w:val="28"/>
          <w:szCs w:val="28"/>
        </w:rPr>
        <w:t>日</w:t>
      </w:r>
      <w:r>
        <w:rPr>
          <w:rFonts w:hint="eastAsia" w:ascii="宋体" w:hAnsi="宋体" w:eastAsia="宋体" w:cs="仿宋"/>
          <w:b/>
          <w:color w:val="000000" w:themeColor="text1"/>
          <w:sz w:val="28"/>
          <w:szCs w:val="28"/>
          <w:lang w:val="en-US" w:eastAsia="zh-CN"/>
        </w:rPr>
        <w:t>17:00</w:t>
      </w:r>
      <w:r>
        <w:rPr>
          <w:rFonts w:ascii="宋体" w:hAnsi="宋体" w:eastAsia="宋体" w:cs="仿宋"/>
          <w:color w:val="000000" w:themeColor="text1"/>
          <w:sz w:val="28"/>
          <w:szCs w:val="28"/>
        </w:rPr>
        <w:t>分</w:t>
      </w:r>
      <w:r>
        <w:rPr>
          <w:rFonts w:ascii="宋体" w:hAnsi="宋体" w:eastAsia="宋体" w:cs="仿宋"/>
          <w:b/>
          <w:color w:val="000000" w:themeColor="text1"/>
          <w:sz w:val="28"/>
          <w:szCs w:val="28"/>
        </w:rPr>
        <w:t>（北京时间）</w:t>
      </w:r>
      <w:r>
        <w:rPr>
          <w:rFonts w:ascii="宋体" w:hAnsi="宋体" w:eastAsia="宋体" w:cs="仿宋"/>
          <w:color w:val="000000" w:themeColor="text1"/>
          <w:sz w:val="28"/>
          <w:szCs w:val="28"/>
        </w:rPr>
        <w:t>；</w:t>
      </w:r>
    </w:p>
    <w:p>
      <w:pPr>
        <w:pStyle w:val="2"/>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八、资格</w:t>
      </w:r>
      <w:r>
        <w:rPr>
          <w:rFonts w:hint="default" w:ascii="黑体" w:hAnsi="黑体" w:eastAsia="黑体" w:cs="仿宋"/>
          <w:color w:val="000000" w:themeColor="text1"/>
          <w:sz w:val="28"/>
          <w:szCs w:val="28"/>
        </w:rPr>
        <w:t>预审</w:t>
      </w:r>
      <w:r>
        <w:rPr>
          <w:rFonts w:ascii="黑体" w:hAnsi="黑体" w:eastAsia="黑体" w:cs="仿宋"/>
          <w:color w:val="000000" w:themeColor="text1"/>
          <w:sz w:val="28"/>
          <w:szCs w:val="28"/>
        </w:rPr>
        <w:t>文件获取方式：</w:t>
      </w:r>
    </w:p>
    <w:p>
      <w:pPr>
        <w:pStyle w:val="20"/>
        <w:spacing w:after="0" w:line="540" w:lineRule="exact"/>
        <w:ind w:firstLine="560" w:firstLineChars="200"/>
        <w:jc w:val="both"/>
        <w:rPr>
          <w:rFonts w:hint="default" w:ascii="宋体" w:hAnsi="宋体" w:eastAsia="宋体" w:cs="仿宋"/>
          <w:color w:val="000000" w:themeColor="text1"/>
          <w:sz w:val="28"/>
          <w:szCs w:val="28"/>
        </w:rPr>
      </w:pP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登录达州市公共资源交易服务网（www.dzggzy.cn）“用户注册登录”入口，使用CA数字证书登录，获取和下载资格预审文件。</w:t>
      </w:r>
    </w:p>
    <w:p>
      <w:pPr>
        <w:pStyle w:val="2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预审</w:t>
      </w:r>
      <w:r>
        <w:rPr>
          <w:rFonts w:hint="default" w:ascii="宋体" w:hAnsi="宋体" w:eastAsia="宋体" w:cs="仿宋"/>
          <w:color w:val="000000" w:themeColor="text1"/>
          <w:sz w:val="28"/>
          <w:szCs w:val="28"/>
        </w:rPr>
        <w:t>资格不能转让，递交资格预审申请文件的</w:t>
      </w:r>
      <w:r>
        <w:rPr>
          <w:rFonts w:ascii="宋体" w:hAnsi="宋体" w:eastAsia="宋体" w:cs="仿宋"/>
          <w:color w:val="000000" w:themeColor="text1"/>
          <w:sz w:val="28"/>
          <w:szCs w:val="28"/>
        </w:rPr>
        <w:t>供应商</w:t>
      </w:r>
      <w:r>
        <w:rPr>
          <w:rFonts w:hint="default" w:ascii="宋体" w:hAnsi="宋体" w:eastAsia="宋体" w:cs="仿宋"/>
          <w:color w:val="000000" w:themeColor="text1"/>
          <w:sz w:val="28"/>
          <w:szCs w:val="28"/>
        </w:rPr>
        <w:t>名称应与获取资格预审文件的</w:t>
      </w:r>
      <w:r>
        <w:rPr>
          <w:rFonts w:ascii="宋体" w:hAnsi="宋体" w:eastAsia="宋体" w:cs="仿宋"/>
          <w:color w:val="000000" w:themeColor="text1"/>
          <w:sz w:val="28"/>
          <w:szCs w:val="28"/>
        </w:rPr>
        <w:t>供应商</w:t>
      </w:r>
      <w:r>
        <w:rPr>
          <w:rFonts w:hint="default" w:ascii="宋体" w:hAnsi="宋体" w:eastAsia="宋体" w:cs="仿宋"/>
          <w:color w:val="000000" w:themeColor="text1"/>
          <w:sz w:val="28"/>
          <w:szCs w:val="28"/>
        </w:rPr>
        <w:t>名称一致，资格预审申请文件上的采购项目编号、包号（如有分包）应与登录公共资源交易服务网下载的采购项目编号、包号（如有分包）一致。</w:t>
      </w:r>
    </w:p>
    <w:p>
      <w:pPr>
        <w:pStyle w:val="2"/>
        <w:numPr>
          <w:ilvl w:val="0"/>
          <w:numId w:val="2"/>
        </w:numPr>
        <w:tabs>
          <w:tab w:val="left" w:pos="993"/>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递交资格预审申请文件的方式、截止时间</w:t>
      </w:r>
      <w:bookmarkEnd w:id="14"/>
    </w:p>
    <w:p>
      <w:pPr>
        <w:pStyle w:val="2"/>
        <w:tabs>
          <w:tab w:val="left" w:pos="993"/>
        </w:tabs>
        <w:adjustRightInd w:val="0"/>
        <w:snapToGrid w:val="0"/>
        <w:spacing w:after="0" w:line="540" w:lineRule="exact"/>
        <w:ind w:firstLine="420" w:firstLineChars="150"/>
        <w:jc w:val="both"/>
        <w:rPr>
          <w:rFonts w:hint="default" w:cs="仿宋" w:asciiTheme="minorEastAsia" w:hAnsiTheme="minorEastAsia" w:eastAsiaTheme="minorEastAsia"/>
          <w:b/>
          <w:bCs/>
          <w:i/>
          <w:iCs/>
          <w:snapToGrid w:val="0"/>
          <w:color w:val="000000" w:themeColor="text1"/>
          <w:sz w:val="44"/>
          <w:szCs w:val="44"/>
        </w:rPr>
      </w:pPr>
      <w:r>
        <w:rPr>
          <w:rFonts w:ascii="宋体" w:hAnsi="宋体" w:eastAsia="宋体" w:cs="仿宋"/>
          <w:color w:val="000000" w:themeColor="text1"/>
          <w:sz w:val="28"/>
          <w:szCs w:val="28"/>
        </w:rPr>
        <w:t>（一）资格预审申请文件递交方式：</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必须在递交资格预审申请文件截止时间前，登录达州市公共资源交易服务网（www. dzggzy.cn）,将资格预审申请文件的WORD文档通过“资格预审申请文件提交”模块上传到系统中并采用数字证书对资格预审申请文件进行签名（加签供应商机构数字证书）。未成功向系统上传资格预审申请文件的，视为撤回资格预审申请文件。本次采购不接受其他方式递交的资格预审申请文件。</w:t>
      </w:r>
    </w:p>
    <w:p>
      <w:pPr>
        <w:pStyle w:val="2"/>
        <w:tabs>
          <w:tab w:val="left" w:pos="567"/>
        </w:tabs>
        <w:adjustRightInd w:val="0"/>
        <w:snapToGrid w:val="0"/>
        <w:spacing w:after="0" w:line="540" w:lineRule="exact"/>
        <w:ind w:firstLine="560" w:firstLineChars="200"/>
        <w:jc w:val="both"/>
        <w:rPr>
          <w:rFonts w:hint="default" w:ascii="宋体" w:hAnsi="宋体" w:eastAsia="宋体" w:cs="仿宋"/>
          <w:b/>
          <w:color w:val="000000" w:themeColor="text1"/>
          <w:sz w:val="28"/>
          <w:szCs w:val="28"/>
        </w:rPr>
      </w:pPr>
      <w:r>
        <w:rPr>
          <w:rFonts w:ascii="宋体" w:hAnsi="宋体" w:eastAsia="宋体" w:cs="仿宋"/>
          <w:color w:val="000000" w:themeColor="text1"/>
          <w:sz w:val="28"/>
          <w:szCs w:val="28"/>
        </w:rPr>
        <w:t>（二）递交资格预审申请文件截止时间：</w:t>
      </w:r>
      <w:r>
        <w:rPr>
          <w:rFonts w:hint="eastAsia" w:ascii="宋体" w:hAnsi="宋体" w:eastAsia="宋体" w:cs="仿宋"/>
          <w:color w:val="000000" w:themeColor="text1"/>
          <w:sz w:val="28"/>
          <w:szCs w:val="28"/>
          <w:lang w:val="en-US" w:eastAsia="zh-CN"/>
        </w:rPr>
        <w:t>2021</w:t>
      </w:r>
      <w:r>
        <w:rPr>
          <w:rFonts w:ascii="宋体" w:hAnsi="宋体" w:eastAsia="宋体" w:cs="仿宋"/>
          <w:b/>
          <w:color w:val="000000" w:themeColor="text1"/>
          <w:sz w:val="28"/>
          <w:szCs w:val="28"/>
        </w:rPr>
        <w:t>年</w:t>
      </w:r>
      <w:r>
        <w:rPr>
          <w:rFonts w:hint="eastAsia" w:ascii="宋体" w:hAnsi="宋体" w:eastAsia="宋体" w:cs="仿宋"/>
          <w:b/>
          <w:color w:val="000000" w:themeColor="text1"/>
          <w:sz w:val="28"/>
          <w:szCs w:val="28"/>
          <w:lang w:val="en-US" w:eastAsia="zh-CN"/>
        </w:rPr>
        <w:t>10</w:t>
      </w:r>
      <w:r>
        <w:rPr>
          <w:rFonts w:ascii="宋体" w:hAnsi="宋体" w:eastAsia="宋体" w:cs="仿宋"/>
          <w:b/>
          <w:color w:val="000000" w:themeColor="text1"/>
          <w:sz w:val="28"/>
          <w:szCs w:val="28"/>
        </w:rPr>
        <w:t>月</w:t>
      </w:r>
      <w:r>
        <w:rPr>
          <w:rFonts w:hint="eastAsia" w:ascii="宋体" w:hAnsi="宋体" w:eastAsia="宋体" w:cs="仿宋"/>
          <w:b/>
          <w:color w:val="000000" w:themeColor="text1"/>
          <w:sz w:val="28"/>
          <w:szCs w:val="28"/>
          <w:lang w:val="en-US" w:eastAsia="zh-CN"/>
        </w:rPr>
        <w:t>25</w:t>
      </w:r>
      <w:r>
        <w:rPr>
          <w:rFonts w:ascii="宋体" w:hAnsi="宋体" w:eastAsia="宋体" w:cs="仿宋"/>
          <w:b/>
          <w:color w:val="000000" w:themeColor="text1"/>
          <w:sz w:val="28"/>
          <w:szCs w:val="28"/>
        </w:rPr>
        <w:t>日</w:t>
      </w:r>
      <w:r>
        <w:rPr>
          <w:rFonts w:hint="eastAsia" w:ascii="宋体" w:hAnsi="宋体" w:eastAsia="宋体" w:cs="仿宋"/>
          <w:b/>
          <w:color w:val="000000" w:themeColor="text1"/>
          <w:sz w:val="28"/>
          <w:szCs w:val="28"/>
          <w:lang w:val="en-US" w:eastAsia="zh-CN"/>
        </w:rPr>
        <w:t>11:00</w:t>
      </w:r>
      <w:r>
        <w:rPr>
          <w:rFonts w:ascii="宋体" w:hAnsi="宋体" w:eastAsia="宋体" w:cs="仿宋"/>
          <w:b/>
          <w:color w:val="000000" w:themeColor="text1"/>
          <w:sz w:val="28"/>
          <w:szCs w:val="28"/>
        </w:rPr>
        <w:t>时（北京时间）</w:t>
      </w:r>
      <w:bookmarkStart w:id="104" w:name="_GoBack"/>
      <w:bookmarkEnd w:id="104"/>
    </w:p>
    <w:p>
      <w:pPr>
        <w:spacing w:line="540" w:lineRule="exact"/>
        <w:ind w:firstLine="560" w:firstLineChars="2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资格</w:t>
      </w:r>
      <w:r>
        <w:rPr>
          <w:rFonts w:ascii="宋体" w:hAnsi="宋体" w:eastAsia="宋体" w:cs="仿宋"/>
          <w:color w:val="000000" w:themeColor="text1"/>
          <w:kern w:val="0"/>
          <w:sz w:val="28"/>
          <w:szCs w:val="28"/>
        </w:rPr>
        <w:t>预审申请</w:t>
      </w:r>
      <w:r>
        <w:rPr>
          <w:rFonts w:hint="eastAsia" w:ascii="宋体" w:hAnsi="宋体" w:eastAsia="宋体" w:cs="仿宋"/>
          <w:color w:val="000000" w:themeColor="text1"/>
          <w:kern w:val="0"/>
          <w:sz w:val="28"/>
          <w:szCs w:val="28"/>
        </w:rPr>
        <w:t>文件必须在</w:t>
      </w:r>
      <w:r>
        <w:rPr>
          <w:rFonts w:ascii="宋体" w:hAnsi="宋体" w:eastAsia="宋体" w:cs="仿宋"/>
          <w:color w:val="000000" w:themeColor="text1"/>
          <w:sz w:val="28"/>
          <w:szCs w:val="28"/>
        </w:rPr>
        <w:t>递交资格预审申请文件</w:t>
      </w:r>
      <w:r>
        <w:rPr>
          <w:rFonts w:hint="eastAsia" w:ascii="宋体" w:hAnsi="宋体" w:eastAsia="宋体" w:cs="仿宋"/>
          <w:color w:val="000000" w:themeColor="text1"/>
          <w:kern w:val="0"/>
          <w:sz w:val="28"/>
          <w:szCs w:val="28"/>
        </w:rPr>
        <w:t>截止时间前上传，系统将在</w:t>
      </w:r>
      <w:r>
        <w:rPr>
          <w:rFonts w:ascii="宋体" w:hAnsi="宋体" w:eastAsia="宋体" w:cs="仿宋"/>
          <w:color w:val="000000" w:themeColor="text1"/>
          <w:sz w:val="28"/>
          <w:szCs w:val="28"/>
        </w:rPr>
        <w:t>递交资格预审申请文件</w:t>
      </w:r>
      <w:r>
        <w:rPr>
          <w:rFonts w:hint="eastAsia" w:ascii="宋体" w:hAnsi="宋体" w:eastAsia="宋体" w:cs="仿宋"/>
          <w:color w:val="000000" w:themeColor="text1"/>
          <w:kern w:val="0"/>
          <w:sz w:val="28"/>
          <w:szCs w:val="28"/>
        </w:rPr>
        <w:t>截止时间关闭上传功能。</w:t>
      </w:r>
      <w:bookmarkStart w:id="15" w:name="_Toc5313"/>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十、资格预审时间及</w:t>
      </w:r>
      <w:r>
        <w:rPr>
          <w:rFonts w:hint="default" w:ascii="黑体" w:hAnsi="黑体" w:eastAsia="黑体" w:cs="仿宋"/>
          <w:color w:val="000000" w:themeColor="text1"/>
          <w:sz w:val="28"/>
          <w:szCs w:val="28"/>
        </w:rPr>
        <w:t>资格预审</w:t>
      </w:r>
      <w:r>
        <w:rPr>
          <w:rFonts w:ascii="黑体" w:hAnsi="黑体" w:eastAsia="黑体" w:cs="仿宋"/>
          <w:color w:val="000000" w:themeColor="text1"/>
          <w:sz w:val="28"/>
          <w:szCs w:val="28"/>
        </w:rPr>
        <w:t>地点</w:t>
      </w:r>
      <w:bookmarkEnd w:id="15"/>
    </w:p>
    <w:p>
      <w:pPr>
        <w:spacing w:line="540" w:lineRule="exact"/>
        <w:ind w:firstLine="560" w:firstLineChars="200"/>
        <w:rPr>
          <w:rFonts w:ascii="宋体" w:hAnsi="宋体" w:eastAsia="宋体" w:cs="仿宋"/>
          <w:color w:val="000000" w:themeColor="text1"/>
          <w:kern w:val="0"/>
          <w:sz w:val="28"/>
          <w:szCs w:val="28"/>
        </w:rPr>
      </w:pPr>
      <w:bookmarkStart w:id="16" w:name="_Toc20312"/>
      <w:r>
        <w:rPr>
          <w:rFonts w:hint="eastAsia" w:ascii="宋体" w:hAnsi="宋体" w:eastAsia="宋体" w:cs="仿宋"/>
          <w:color w:val="000000" w:themeColor="text1"/>
          <w:kern w:val="0"/>
          <w:sz w:val="28"/>
          <w:szCs w:val="28"/>
        </w:rPr>
        <w:t>资格预审时间：递交资格预审申请文件截止时间后。</w:t>
      </w:r>
    </w:p>
    <w:p>
      <w:pPr>
        <w:pStyle w:val="2"/>
        <w:tabs>
          <w:tab w:val="left" w:pos="10120"/>
        </w:tabs>
        <w:adjustRightInd w:val="0"/>
        <w:snapToGrid w:val="0"/>
        <w:spacing w:after="0" w:line="540" w:lineRule="exact"/>
        <w:ind w:firstLine="560" w:firstLineChars="200"/>
        <w:jc w:val="both"/>
        <w:rPr>
          <w:rFonts w:hint="default" w:ascii="宋体" w:hAnsi="宋体" w:eastAsia="宋体" w:cs="仿宋"/>
          <w:color w:val="000000" w:themeColor="text1"/>
          <w:sz w:val="28"/>
          <w:szCs w:val="28"/>
          <w:u w:val="single"/>
        </w:rPr>
      </w:pPr>
      <w:r>
        <w:rPr>
          <w:rFonts w:hint="default" w:ascii="宋体" w:hAnsi="宋体" w:eastAsia="宋体" w:cs="仿宋"/>
          <w:color w:val="000000" w:themeColor="text1"/>
          <w:sz w:val="28"/>
          <w:szCs w:val="28"/>
        </w:rPr>
        <w:t>资格预审</w:t>
      </w:r>
      <w:r>
        <w:rPr>
          <w:rFonts w:ascii="宋体" w:hAnsi="宋体" w:eastAsia="宋体" w:cs="仿宋"/>
          <w:color w:val="000000" w:themeColor="text1"/>
          <w:sz w:val="28"/>
          <w:szCs w:val="28"/>
        </w:rPr>
        <w:t>地点：</w:t>
      </w:r>
      <w:r>
        <w:rPr>
          <w:rFonts w:ascii="宋体" w:hAnsi="宋体" w:eastAsia="宋体" w:cs="仿宋"/>
          <w:color w:val="000000" w:themeColor="text1"/>
          <w:sz w:val="28"/>
          <w:szCs w:val="28"/>
          <w:u w:val="single"/>
        </w:rPr>
        <w:t>达州公共资源交易服务中心</w:t>
      </w:r>
    </w:p>
    <w:p>
      <w:pPr>
        <w:pStyle w:val="20"/>
        <w:spacing w:after="0" w:line="54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十一</w:t>
      </w:r>
      <w:r>
        <w:rPr>
          <w:rFonts w:hint="default" w:ascii="宋体" w:hAnsi="宋体" w:eastAsia="宋体" w:cs="仿宋"/>
          <w:color w:val="000000" w:themeColor="text1"/>
          <w:sz w:val="28"/>
          <w:szCs w:val="28"/>
        </w:rPr>
        <w:t>、本次</w:t>
      </w:r>
      <w:r>
        <w:rPr>
          <w:rFonts w:ascii="宋体" w:hAnsi="宋体" w:eastAsia="宋体" w:cs="仿宋"/>
          <w:color w:val="000000" w:themeColor="text1"/>
          <w:sz w:val="28"/>
          <w:szCs w:val="28"/>
        </w:rPr>
        <w:t>资格预审</w:t>
      </w:r>
      <w:r>
        <w:rPr>
          <w:rFonts w:hint="default" w:ascii="宋体" w:hAnsi="宋体" w:eastAsia="宋体" w:cs="仿宋"/>
          <w:color w:val="000000" w:themeColor="text1"/>
          <w:sz w:val="28"/>
          <w:szCs w:val="28"/>
        </w:rPr>
        <w:t>采用全程电子化采购方式，在</w:t>
      </w:r>
      <w:r>
        <w:rPr>
          <w:rFonts w:ascii="宋体" w:hAnsi="宋体" w:eastAsia="宋体" w:cs="仿宋"/>
          <w:color w:val="000000" w:themeColor="text1"/>
          <w:sz w:val="28"/>
          <w:szCs w:val="28"/>
        </w:rPr>
        <w:t>递交资格预审申请文件截止时间</w:t>
      </w:r>
      <w:r>
        <w:rPr>
          <w:rFonts w:hint="default" w:ascii="宋体" w:hAnsi="宋体" w:eastAsia="宋体" w:cs="仿宋"/>
          <w:color w:val="000000" w:themeColor="text1"/>
          <w:sz w:val="28"/>
          <w:szCs w:val="28"/>
        </w:rPr>
        <w:t>前所有供应商名称、地址、联系方式等有效信息均被电子交易系统全部自动屏蔽，任何单位无法获取。</w:t>
      </w:r>
    </w:p>
    <w:p>
      <w:pPr>
        <w:pStyle w:val="20"/>
        <w:spacing w:after="0" w:line="540" w:lineRule="exact"/>
        <w:ind w:firstLine="560" w:firstLineChars="200"/>
        <w:jc w:val="both"/>
        <w:rPr>
          <w:rFonts w:hint="default"/>
          <w:color w:val="000000" w:themeColor="text1"/>
        </w:rPr>
      </w:pPr>
      <w:r>
        <w:rPr>
          <w:rFonts w:hint="default" w:ascii="宋体" w:hAnsi="宋体" w:eastAsia="宋体" w:cs="仿宋"/>
          <w:color w:val="000000" w:themeColor="text1"/>
          <w:sz w:val="28"/>
          <w:szCs w:val="28"/>
        </w:rPr>
        <w:t>本次</w:t>
      </w:r>
      <w:r>
        <w:rPr>
          <w:rFonts w:ascii="宋体" w:hAnsi="宋体" w:eastAsia="宋体" w:cs="仿宋"/>
          <w:color w:val="000000" w:themeColor="text1"/>
          <w:sz w:val="28"/>
          <w:szCs w:val="28"/>
        </w:rPr>
        <w:t>递交资格预审申请文件截止时间</w:t>
      </w:r>
      <w:r>
        <w:rPr>
          <w:rFonts w:hint="default" w:ascii="宋体" w:hAnsi="宋体" w:eastAsia="宋体" w:cs="仿宋"/>
          <w:color w:val="000000" w:themeColor="text1"/>
          <w:sz w:val="28"/>
          <w:szCs w:val="28"/>
        </w:rPr>
        <w:t>前，应由采购单位按相关法律政策规定书面通知供应商的事项（含澄清、修改、更正等），采购单位均在四川政府采购网站和达州市公共资源交易服务网上以公告形式发布，同时通过达州市公共资源交易服务平台自动提示已获取磋商文件的潜在供应商。供应商若未能关注并及时在上述网站获取相关信息，将自行承担对其不利的后果。</w:t>
      </w:r>
    </w:p>
    <w:p>
      <w:pPr>
        <w:pStyle w:val="2"/>
        <w:tabs>
          <w:tab w:val="left" w:pos="10120"/>
        </w:tabs>
        <w:adjustRightInd w:val="0"/>
        <w:snapToGrid w:val="0"/>
        <w:spacing w:after="0" w:line="540" w:lineRule="exact"/>
        <w:ind w:firstLine="560" w:firstLineChars="200"/>
        <w:jc w:val="both"/>
        <w:rPr>
          <w:rFonts w:hint="default" w:ascii="黑体" w:hAnsi="黑体" w:eastAsia="黑体" w:cs="仿宋"/>
          <w:color w:val="000000" w:themeColor="text1"/>
          <w:sz w:val="28"/>
          <w:szCs w:val="28"/>
        </w:rPr>
      </w:pPr>
      <w:r>
        <w:rPr>
          <w:rFonts w:ascii="黑体" w:hAnsi="黑体" w:eastAsia="黑体" w:cs="仿宋"/>
          <w:color w:val="000000" w:themeColor="text1"/>
          <w:sz w:val="28"/>
          <w:szCs w:val="28"/>
        </w:rPr>
        <w:t>十二、联系方式</w:t>
      </w:r>
      <w:bookmarkEnd w:id="16"/>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rPr>
      </w:pPr>
      <w:r>
        <w:rPr>
          <w:rFonts w:ascii="宋体" w:hAnsi="宋体" w:eastAsia="宋体" w:cs="仿宋"/>
          <w:b/>
          <w:color w:val="000000" w:themeColor="text1"/>
          <w:sz w:val="28"/>
          <w:szCs w:val="28"/>
        </w:rPr>
        <w:t>采 购 人：</w:t>
      </w:r>
      <w:r>
        <w:rPr>
          <w:rFonts w:ascii="宋体" w:hAnsi="宋体" w:eastAsia="宋体" w:cs="仿宋"/>
          <w:color w:val="000000" w:themeColor="text1"/>
          <w:sz w:val="28"/>
          <w:szCs w:val="28"/>
        </w:rPr>
        <w:t>达州市通川区人民政府东城街道办事处</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地    址：达州市通川区张家湾路28号</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联 系 人：李先生</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联系电话：0818-2377978</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rPr>
      </w:pPr>
      <w:r>
        <w:rPr>
          <w:rFonts w:ascii="宋体" w:hAnsi="宋体" w:eastAsia="宋体" w:cs="仿宋"/>
          <w:b/>
          <w:color w:val="000000" w:themeColor="text1"/>
          <w:sz w:val="28"/>
          <w:szCs w:val="28"/>
        </w:rPr>
        <w:t>采购代理机构：</w:t>
      </w:r>
      <w:r>
        <w:rPr>
          <w:rFonts w:ascii="宋体" w:hAnsi="宋体" w:eastAsia="宋体" w:cs="仿宋"/>
          <w:color w:val="000000" w:themeColor="text1"/>
          <w:sz w:val="28"/>
          <w:szCs w:val="28"/>
          <w:u w:val="single"/>
        </w:rPr>
        <w:t xml:space="preserve">达州市政府采购中心 </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地    址：</w:t>
      </w:r>
      <w:r>
        <w:rPr>
          <w:rFonts w:ascii="宋体" w:hAnsi="宋体" w:eastAsia="宋体" w:cs="仿宋"/>
          <w:color w:val="000000" w:themeColor="text1"/>
          <w:sz w:val="28"/>
          <w:szCs w:val="28"/>
          <w:u w:val="single"/>
        </w:rPr>
        <w:t>达州市马踏洞新区龙马大道与鱼泉路交叉口处新政务服务大楼B区</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highlight w:val="yellow"/>
          <w:u w:val="single"/>
        </w:rPr>
      </w:pPr>
      <w:r>
        <w:rPr>
          <w:rFonts w:ascii="宋体" w:hAnsi="宋体" w:eastAsia="宋体" w:cs="仿宋"/>
          <w:color w:val="000000" w:themeColor="text1"/>
          <w:sz w:val="28"/>
          <w:szCs w:val="28"/>
        </w:rPr>
        <w:t>邮    编：</w:t>
      </w:r>
      <w:r>
        <w:rPr>
          <w:rFonts w:ascii="宋体" w:hAnsi="宋体" w:eastAsia="宋体" w:cs="仿宋"/>
          <w:color w:val="000000" w:themeColor="text1"/>
          <w:sz w:val="28"/>
          <w:szCs w:val="28"/>
          <w:u w:val="single"/>
        </w:rPr>
        <w:t>635002</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highlight w:val="yellow"/>
          <w:u w:val="single"/>
        </w:rPr>
      </w:pPr>
      <w:r>
        <w:rPr>
          <w:rFonts w:ascii="宋体" w:hAnsi="宋体" w:eastAsia="宋体" w:cs="仿宋"/>
          <w:color w:val="000000" w:themeColor="text1"/>
          <w:sz w:val="28"/>
          <w:szCs w:val="28"/>
        </w:rPr>
        <w:t>联 系 人：</w:t>
      </w:r>
      <w:r>
        <w:rPr>
          <w:rFonts w:ascii="宋体" w:hAnsi="宋体" w:eastAsia="宋体" w:cs="仿宋"/>
          <w:color w:val="000000" w:themeColor="text1"/>
          <w:sz w:val="28"/>
          <w:szCs w:val="28"/>
          <w:u w:val="single"/>
        </w:rPr>
        <w:t>柏女士</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电    话：</w:t>
      </w:r>
      <w:r>
        <w:rPr>
          <w:rFonts w:ascii="宋体" w:hAnsi="宋体" w:eastAsia="宋体" w:cs="仿宋"/>
          <w:color w:val="000000" w:themeColor="text1"/>
          <w:sz w:val="28"/>
          <w:szCs w:val="28"/>
          <w:u w:val="single"/>
        </w:rPr>
        <w:t>0818-3333699</w:t>
      </w:r>
    </w:p>
    <w:p>
      <w:pPr>
        <w:widowControl/>
        <w:autoSpaceDN w:val="0"/>
        <w:jc w:val="left"/>
        <w:rPr>
          <w:rFonts w:ascii="宋体" w:hAnsi="宋体" w:eastAsia="宋体" w:cs="仿宋"/>
          <w:b/>
          <w:color w:val="000000" w:themeColor="text1"/>
          <w:sz w:val="28"/>
          <w:szCs w:val="28"/>
        </w:rPr>
      </w:pPr>
      <w:r>
        <w:rPr>
          <w:rFonts w:hint="eastAsia" w:ascii="宋体" w:hAnsi="宋体" w:eastAsia="宋体" w:cs="仿宋"/>
          <w:color w:val="000000" w:themeColor="text1"/>
          <w:sz w:val="28"/>
          <w:szCs w:val="28"/>
          <w:lang w:bidi="zh-CN"/>
        </w:rPr>
        <w:br w:type="page"/>
      </w:r>
    </w:p>
    <w:p>
      <w:pPr>
        <w:pStyle w:val="3"/>
        <w:widowControl/>
        <w:numPr>
          <w:ilvl w:val="0"/>
          <w:numId w:val="1"/>
        </w:numPr>
        <w:snapToGrid w:val="0"/>
        <w:spacing w:afterLines="100" w:line="360" w:lineRule="auto"/>
        <w:ind w:left="0" w:firstLine="0"/>
        <w:rPr>
          <w:rFonts w:hint="default" w:ascii="黑体" w:hAnsi="黑体" w:eastAsia="黑体" w:cs="仿宋"/>
          <w:b w:val="0"/>
          <w:color w:val="000000" w:themeColor="text1"/>
          <w:sz w:val="36"/>
          <w:szCs w:val="36"/>
        </w:rPr>
      </w:pPr>
      <w:bookmarkStart w:id="17" w:name="_Toc60399672"/>
      <w:r>
        <w:rPr>
          <w:rFonts w:ascii="黑体" w:hAnsi="黑体" w:eastAsia="黑体" w:cs="仿宋"/>
          <w:b w:val="0"/>
          <w:color w:val="000000" w:themeColor="text1"/>
          <w:sz w:val="36"/>
          <w:szCs w:val="36"/>
        </w:rPr>
        <w:t>资格预审供应商须知</w:t>
      </w:r>
      <w:bookmarkEnd w:id="17"/>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18" w:name="一、资格预审申请人须知附表"/>
      <w:bookmarkEnd w:id="18"/>
      <w:bookmarkStart w:id="19" w:name="_Toc60221280"/>
      <w:bookmarkStart w:id="20" w:name="_Toc60399673"/>
      <w:r>
        <w:rPr>
          <w:rFonts w:ascii="黑体" w:hAnsi="黑体" w:eastAsia="黑体" w:cs="仿宋"/>
          <w:b w:val="0"/>
          <w:color w:val="000000" w:themeColor="text1"/>
          <w:sz w:val="28"/>
          <w:szCs w:val="28"/>
        </w:rPr>
        <w:t>一</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资格预审供应商须知前附表</w:t>
      </w:r>
      <w:bookmarkEnd w:id="19"/>
      <w:bookmarkEnd w:id="20"/>
    </w:p>
    <w:tbl>
      <w:tblPr>
        <w:tblStyle w:val="21"/>
        <w:tblW w:w="9743" w:type="dxa"/>
        <w:tblInd w:w="-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85" w:type="dxa"/>
          <w:left w:w="85" w:type="dxa"/>
          <w:bottom w:w="85" w:type="dxa"/>
          <w:right w:w="85" w:type="dxa"/>
        </w:tblCellMar>
      </w:tblPr>
      <w:tblGrid>
        <w:gridCol w:w="840"/>
        <w:gridCol w:w="2233"/>
        <w:gridCol w:w="6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12"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b/>
                <w:color w:val="000000" w:themeColor="text1"/>
                <w:sz w:val="28"/>
                <w:szCs w:val="28"/>
              </w:rPr>
            </w:pPr>
            <w:r>
              <w:rPr>
                <w:rFonts w:ascii="宋体" w:hAnsi="宋体" w:eastAsia="宋体" w:cs="仿宋"/>
                <w:b/>
                <w:color w:val="000000" w:themeColor="text1"/>
                <w:sz w:val="28"/>
                <w:szCs w:val="28"/>
              </w:rPr>
              <w:t>序号</w:t>
            </w:r>
          </w:p>
        </w:tc>
        <w:tc>
          <w:tcPr>
            <w:tcW w:w="2233"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b/>
                <w:color w:val="000000" w:themeColor="text1"/>
                <w:sz w:val="28"/>
                <w:szCs w:val="28"/>
              </w:rPr>
            </w:pPr>
            <w:r>
              <w:rPr>
                <w:rFonts w:ascii="宋体" w:hAnsi="宋体" w:eastAsia="宋体" w:cs="仿宋"/>
                <w:b/>
                <w:color w:val="000000" w:themeColor="text1"/>
                <w:sz w:val="28"/>
                <w:szCs w:val="28"/>
              </w:rPr>
              <w:t>条款名称</w:t>
            </w:r>
          </w:p>
        </w:tc>
        <w:tc>
          <w:tcPr>
            <w:tcW w:w="6670" w:type="dxa"/>
            <w:tcBorders>
              <w:top w:val="single" w:color="auto" w:sz="12"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jc w:val="center"/>
              <w:rPr>
                <w:rFonts w:hint="default" w:ascii="宋体" w:hAnsi="宋体" w:eastAsia="宋体"/>
                <w:b/>
                <w:color w:val="000000" w:themeColor="text1"/>
                <w:sz w:val="28"/>
                <w:szCs w:val="28"/>
              </w:rPr>
            </w:pPr>
            <w:r>
              <w:rPr>
                <w:rFonts w:ascii="宋体" w:hAnsi="宋体" w:eastAsia="宋体" w:cs="仿宋"/>
                <w:b/>
                <w:color w:val="000000" w:themeColor="text1"/>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1</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rPr>
            </w:pPr>
            <w:r>
              <w:rPr>
                <w:rFonts w:cs="仿宋"/>
                <w:color w:val="000000" w:themeColor="text1"/>
                <w:sz w:val="28"/>
                <w:szCs w:val="28"/>
              </w:rPr>
              <w:t>采购预算</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rPr>
                <w:rFonts w:hint="default" w:cs="仿宋"/>
                <w:color w:val="000000" w:themeColor="text1"/>
                <w:sz w:val="28"/>
                <w:szCs w:val="28"/>
              </w:rPr>
            </w:pPr>
            <w:r>
              <w:rPr>
                <w:rFonts w:cs="仿宋"/>
                <w:color w:val="000000" w:themeColor="text1"/>
                <w:kern w:val="2"/>
                <w:sz w:val="28"/>
                <w:szCs w:val="28"/>
                <w:lang w:val="zh-CN"/>
              </w:rPr>
              <w:t>本项目采购预算：¥</w:t>
            </w:r>
            <w:r>
              <w:rPr>
                <w:rFonts w:ascii="仿宋_GB2312" w:hAnsi="仿宋" w:eastAsia="仿宋_GB2312"/>
                <w:sz w:val="32"/>
                <w:szCs w:val="32"/>
                <w:u w:val="single"/>
              </w:rPr>
              <w:t>2478383元</w:t>
            </w:r>
            <w:r>
              <w:rPr>
                <w:rFonts w:cs="仿宋"/>
                <w:color w:val="000000" w:themeColor="text1"/>
                <w:kern w:val="2"/>
                <w:sz w:val="28"/>
                <w:szCs w:val="28"/>
                <w:lang w:val="zh-CN"/>
              </w:rPr>
              <w:t>，大写：贰</w:t>
            </w:r>
            <w:r>
              <w:rPr>
                <w:rFonts w:ascii="仿宋" w:hAnsi="仿宋" w:eastAsia="仿宋"/>
                <w:color w:val="000000" w:themeColor="text1"/>
                <w:sz w:val="30"/>
                <w:szCs w:val="30"/>
              </w:rPr>
              <w:t>佰肆拾柒万捌仟叁佰捌拾叁元整</w:t>
            </w:r>
            <w:r>
              <w:rPr>
                <w:rFonts w:cs="仿宋"/>
                <w:color w:val="000000" w:themeColor="text1"/>
                <w:kern w:val="2"/>
                <w:sz w:val="28"/>
                <w:szCs w:val="28"/>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spacing w:line="240" w:lineRule="atLeast"/>
              <w:rPr>
                <w:rFonts w:ascii="宋体" w:hAnsi="宋体" w:eastAsia="宋体" w:cs="仿宋"/>
                <w:color w:val="000000" w:themeColor="text1"/>
                <w:sz w:val="28"/>
                <w:szCs w:val="28"/>
              </w:rPr>
            </w:pP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最高限价</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rPr>
                <w:rFonts w:hint="default" w:cs="仿宋"/>
                <w:color w:val="000000" w:themeColor="text1"/>
                <w:sz w:val="28"/>
                <w:szCs w:val="28"/>
                <w:lang w:val="zh-CN"/>
              </w:rPr>
            </w:pPr>
            <w:r>
              <w:rPr>
                <w:rFonts w:cs="仿宋"/>
                <w:color w:val="000000" w:themeColor="text1"/>
                <w:sz w:val="28"/>
                <w:szCs w:val="28"/>
                <w:lang w:val="zh-CN"/>
              </w:rPr>
              <w:t>本项目最高限价：</w:t>
            </w:r>
            <w:r>
              <w:rPr>
                <w:rFonts w:cs="仿宋"/>
                <w:color w:val="000000" w:themeColor="text1"/>
                <w:kern w:val="2"/>
                <w:sz w:val="28"/>
                <w:szCs w:val="28"/>
                <w:lang w:val="zh-CN"/>
              </w:rPr>
              <w:t>¥</w:t>
            </w:r>
            <w:r>
              <w:rPr>
                <w:rFonts w:ascii="仿宋_GB2312" w:hAnsi="仿宋" w:eastAsia="仿宋_GB2312"/>
                <w:sz w:val="32"/>
                <w:szCs w:val="32"/>
                <w:u w:val="single"/>
              </w:rPr>
              <w:t>2478383元</w:t>
            </w:r>
            <w:r>
              <w:rPr>
                <w:rFonts w:cs="仿宋"/>
                <w:color w:val="000000" w:themeColor="text1"/>
                <w:kern w:val="2"/>
                <w:sz w:val="28"/>
                <w:szCs w:val="28"/>
                <w:lang w:val="zh-CN"/>
              </w:rPr>
              <w:t>，大写：贰</w:t>
            </w:r>
            <w:r>
              <w:rPr>
                <w:rFonts w:ascii="仿宋" w:hAnsi="仿宋" w:eastAsia="仿宋"/>
                <w:color w:val="000000" w:themeColor="text1"/>
                <w:sz w:val="30"/>
                <w:szCs w:val="30"/>
              </w:rPr>
              <w:t>佰肆拾柒万捌仟叁佰捌拾叁元整</w:t>
            </w:r>
            <w:r>
              <w:rPr>
                <w:rFonts w:cs="仿宋"/>
                <w:color w:val="000000" w:themeColor="text1"/>
                <w:kern w:val="2"/>
                <w:sz w:val="28"/>
                <w:szCs w:val="28"/>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24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是否专门面向中小企业采购</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rPr>
                <w:rFonts w:hint="default" w:cs="仿宋"/>
                <w:color w:val="000000" w:themeColor="text1"/>
                <w:sz w:val="28"/>
                <w:szCs w:val="28"/>
                <w:lang w:val="zh-CN"/>
              </w:rPr>
            </w:pPr>
            <w:r>
              <w:rPr>
                <w:rFonts w:cs="仿宋"/>
                <w:color w:val="000000" w:themeColor="text1"/>
                <w:sz w:val="28"/>
                <w:szCs w:val="28"/>
                <w:lang w:val="zh-CN"/>
              </w:rPr>
              <w:sym w:font="Wingdings" w:char="00FE"/>
            </w:r>
            <w:r>
              <w:rPr>
                <w:rFonts w:cs="仿宋"/>
                <w:color w:val="000000" w:themeColor="text1"/>
                <w:sz w:val="28"/>
                <w:szCs w:val="28"/>
                <w:lang w:val="zh-CN"/>
              </w:rPr>
              <w:t xml:space="preserve">是    </w:t>
            </w:r>
            <w:r>
              <w:rPr>
                <w:rFonts w:cs="仿宋"/>
                <w:color w:val="000000" w:themeColor="text1"/>
                <w:sz w:val="28"/>
                <w:szCs w:val="28"/>
                <w:lang w:val="zh-CN"/>
              </w:rPr>
              <w:sym w:font="Wingdings" w:char="00A8"/>
            </w:r>
            <w:r>
              <w:rPr>
                <w:rFonts w:cs="仿宋"/>
                <w:color w:val="000000" w:themeColor="text1"/>
                <w:sz w:val="28"/>
                <w:szCs w:val="28"/>
                <w:lang w:val="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3</w:t>
            </w:r>
          </w:p>
        </w:tc>
        <w:tc>
          <w:tcPr>
            <w:tcW w:w="2233" w:type="dxa"/>
            <w:vAlign w:val="center"/>
          </w:tcPr>
          <w:p>
            <w:pPr>
              <w:pStyle w:val="48"/>
              <w:widowControl/>
              <w:snapToGrid w:val="0"/>
              <w:spacing w:line="240" w:lineRule="atLeast"/>
              <w:jc w:val="center"/>
              <w:rPr>
                <w:rFonts w:hint="default"/>
                <w:color w:val="000000" w:themeColor="text1"/>
                <w:sz w:val="28"/>
                <w:szCs w:val="28"/>
              </w:rPr>
            </w:pPr>
            <w:r>
              <w:rPr>
                <w:rFonts w:cs="仿宋"/>
                <w:color w:val="000000" w:themeColor="text1"/>
                <w:sz w:val="28"/>
                <w:szCs w:val="28"/>
                <w:lang w:val="zh-CN"/>
              </w:rPr>
              <w:t>是否接受联合体响应</w:t>
            </w:r>
          </w:p>
        </w:tc>
        <w:tc>
          <w:tcPr>
            <w:tcW w:w="6670" w:type="dxa"/>
            <w:vAlign w:val="center"/>
          </w:tcPr>
          <w:p>
            <w:pPr>
              <w:topLinePunct/>
              <w:spacing w:line="240" w:lineRule="atLeast"/>
              <w:ind w:firstLine="280" w:firstLineChars="100"/>
              <w:rPr>
                <w:rFonts w:ascii="宋体" w:hAnsi="宋体" w:eastAsia="宋体"/>
                <w:color w:val="000000" w:themeColor="text1"/>
                <w:sz w:val="28"/>
                <w:szCs w:val="28"/>
              </w:rPr>
            </w:pPr>
            <w:r>
              <w:rPr>
                <w:rFonts w:hint="eastAsia" w:ascii="宋体" w:hAnsi="宋体" w:eastAsia="宋体" w:cs="宋体"/>
                <w:color w:val="000000" w:themeColor="text1"/>
                <w:sz w:val="28"/>
                <w:szCs w:val="28"/>
              </w:rPr>
              <w:t>□</w:t>
            </w:r>
            <w:r>
              <w:rPr>
                <w:rFonts w:hint="eastAsia" w:ascii="宋体" w:hAnsi="宋体" w:eastAsia="宋体"/>
                <w:color w:val="000000" w:themeColor="text1"/>
                <w:sz w:val="28"/>
                <w:szCs w:val="28"/>
              </w:rPr>
              <w:t xml:space="preserve">是    </w:t>
            </w:r>
            <w:r>
              <w:rPr>
                <w:rFonts w:hint="eastAsia" w:ascii="宋体" w:hAnsi="宋体" w:eastAsia="宋体" w:cs="宋体"/>
                <w:color w:val="000000" w:themeColor="text1"/>
                <w:sz w:val="28"/>
                <w:szCs w:val="28"/>
              </w:rPr>
              <w:sym w:font="Wingdings" w:char="00FE"/>
            </w:r>
            <w:r>
              <w:rPr>
                <w:rFonts w:hint="eastAsia" w:ascii="宋体" w:hAnsi="宋体" w:eastAsia="宋体"/>
                <w:color w:val="000000" w:themeColor="text1"/>
                <w:sz w:val="28"/>
                <w:szCs w:val="28"/>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4</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资格预审合格的供应商在评审阶段资格发生变化</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资格预审合格的供应商在评审阶段资格发生变化的，供应商应书面通知采购人和采购代理机构，并按本资格预审文件要求另行提供资格预审申请文件，采购人审查后，若不能满足本项目资格要求的，其申请文件作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抽取时间、方式及家数</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jc w:val="both"/>
              <w:rPr>
                <w:rFonts w:hint="default" w:cs="仿宋"/>
                <w:color w:val="000000" w:themeColor="text1"/>
                <w:sz w:val="28"/>
                <w:szCs w:val="28"/>
              </w:rPr>
            </w:pPr>
            <w:r>
              <w:rPr>
                <w:rFonts w:cs="仿宋"/>
                <w:color w:val="000000" w:themeColor="text1"/>
                <w:sz w:val="28"/>
                <w:szCs w:val="28"/>
              </w:rPr>
              <w:t>抽取</w:t>
            </w:r>
            <w:r>
              <w:rPr>
                <w:rFonts w:cs="仿宋"/>
                <w:color w:val="000000" w:themeColor="text1"/>
                <w:sz w:val="28"/>
                <w:szCs w:val="28"/>
                <w:lang w:val="zh-CN"/>
              </w:rPr>
              <w:t>时间：</w:t>
            </w:r>
            <w:r>
              <w:rPr>
                <w:rFonts w:cs="仿宋"/>
                <w:color w:val="000000" w:themeColor="text1"/>
                <w:sz w:val="28"/>
                <w:szCs w:val="28"/>
              </w:rPr>
              <w:t>资格预审工作结束后。</w:t>
            </w:r>
          </w:p>
          <w:p>
            <w:pPr>
              <w:pStyle w:val="48"/>
              <w:widowControl/>
              <w:snapToGrid w:val="0"/>
              <w:spacing w:line="240" w:lineRule="atLeast"/>
              <w:ind w:firstLine="280" w:firstLineChars="100"/>
              <w:jc w:val="both"/>
              <w:rPr>
                <w:rFonts w:hint="default" w:cs="仿宋" w:asciiTheme="minorEastAsia" w:hAnsiTheme="minorEastAsia" w:eastAsiaTheme="minorEastAsia"/>
                <w:b/>
                <w:bCs/>
                <w:i/>
                <w:iCs/>
                <w:strike/>
                <w:snapToGrid w:val="0"/>
                <w:color w:val="000000" w:themeColor="text1"/>
                <w:sz w:val="44"/>
                <w:szCs w:val="44"/>
                <w:lang w:val="zh-CN"/>
              </w:rPr>
            </w:pPr>
            <w:r>
              <w:rPr>
                <w:rFonts w:cs="仿宋"/>
                <w:color w:val="000000" w:themeColor="text1"/>
                <w:sz w:val="28"/>
                <w:szCs w:val="28"/>
                <w:lang w:val="zh-CN"/>
              </w:rPr>
              <w:t>抽取方式：线上随机抽取。</w:t>
            </w:r>
          </w:p>
          <w:p>
            <w:pPr>
              <w:pStyle w:val="48"/>
              <w:widowControl/>
              <w:snapToGrid w:val="0"/>
              <w:spacing w:line="240" w:lineRule="atLeast"/>
              <w:ind w:firstLine="280" w:firstLineChars="100"/>
              <w:jc w:val="both"/>
              <w:rPr>
                <w:rFonts w:hint="default" w:cs="宋体"/>
                <w:bCs/>
                <w:color w:val="000000" w:themeColor="text1"/>
                <w:lang w:val="zh-CN"/>
              </w:rPr>
            </w:pPr>
            <w:r>
              <w:rPr>
                <w:rFonts w:cs="仿宋"/>
                <w:color w:val="000000" w:themeColor="text1"/>
                <w:sz w:val="28"/>
                <w:szCs w:val="28"/>
                <w:lang w:val="zh-CN"/>
              </w:rPr>
              <w:t>抽取家数：本项目抽取</w:t>
            </w:r>
            <w:r>
              <w:rPr>
                <w:rFonts w:cs="仿宋"/>
                <w:color w:val="000000" w:themeColor="text1"/>
                <w:sz w:val="28"/>
                <w:szCs w:val="28"/>
                <w:u w:val="single"/>
              </w:rPr>
              <w:t xml:space="preserve"> 8 </w:t>
            </w:r>
            <w:r>
              <w:rPr>
                <w:rFonts w:cs="仿宋"/>
                <w:color w:val="000000" w:themeColor="text1"/>
                <w:sz w:val="28"/>
                <w:szCs w:val="28"/>
                <w:lang w:val="zh-CN"/>
              </w:rPr>
              <w:t>家（通过资格审查的供应商≤</w:t>
            </w:r>
            <w:r>
              <w:rPr>
                <w:rFonts w:cs="仿宋"/>
                <w:color w:val="000000" w:themeColor="text1"/>
                <w:sz w:val="28"/>
                <w:szCs w:val="28"/>
                <w:u w:val="single"/>
                <w:lang w:val="zh-CN"/>
              </w:rPr>
              <w:t xml:space="preserve"> </w:t>
            </w:r>
            <w:r>
              <w:rPr>
                <w:rFonts w:cs="仿宋"/>
                <w:color w:val="000000" w:themeColor="text1"/>
                <w:sz w:val="28"/>
                <w:szCs w:val="28"/>
                <w:u w:val="single"/>
              </w:rPr>
              <w:t xml:space="preserve">8 </w:t>
            </w:r>
            <w:r>
              <w:rPr>
                <w:rFonts w:cs="仿宋"/>
                <w:color w:val="000000" w:themeColor="text1"/>
                <w:sz w:val="28"/>
                <w:szCs w:val="28"/>
                <w:lang w:val="zh-CN"/>
              </w:rPr>
              <w:t>家，同时≥</w:t>
            </w:r>
            <w:r>
              <w:rPr>
                <w:rFonts w:cs="仿宋"/>
                <w:color w:val="000000" w:themeColor="text1"/>
                <w:sz w:val="28"/>
                <w:szCs w:val="28"/>
                <w:u w:val="single"/>
                <w:lang w:val="zh-CN"/>
              </w:rPr>
              <w:t xml:space="preserve"> 3 </w:t>
            </w:r>
            <w:r>
              <w:rPr>
                <w:rFonts w:cs="仿宋"/>
                <w:color w:val="000000" w:themeColor="text1"/>
                <w:sz w:val="28"/>
                <w:szCs w:val="28"/>
                <w:lang w:val="zh-CN"/>
              </w:rPr>
              <w:t>家的，则全部邀请参与采购活动）抽取结果由达州市公共资源交易服务平台自动推送到供应商业务端，</w:t>
            </w:r>
            <w:r>
              <w:rPr>
                <w:rFonts w:cs="仿宋"/>
                <w:color w:val="000000" w:themeColor="text1"/>
                <w:sz w:val="28"/>
                <w:szCs w:val="28"/>
              </w:rPr>
              <w:t>同时以手机短信方式告知（供应商报名时应预留畅通的授权代表手机号码），以</w:t>
            </w:r>
            <w:r>
              <w:rPr>
                <w:rFonts w:cs="仿宋"/>
                <w:color w:val="000000" w:themeColor="text1"/>
                <w:sz w:val="28"/>
                <w:szCs w:val="28"/>
                <w:lang w:val="zh-CN"/>
              </w:rPr>
              <w:t>达州市公共资源交易服务平台</w:t>
            </w:r>
            <w:r>
              <w:rPr>
                <w:rFonts w:cs="仿宋"/>
                <w:color w:val="000000" w:themeColor="text1"/>
                <w:sz w:val="28"/>
                <w:szCs w:val="28"/>
              </w:rPr>
              <w:t>自动推送的时间及内容为准。</w:t>
            </w:r>
            <w:r>
              <w:rPr>
                <w:rFonts w:cs="仿宋"/>
                <w:color w:val="000000" w:themeColor="text1"/>
                <w:sz w:val="28"/>
                <w:szCs w:val="28"/>
                <w:lang w:val="zh-CN"/>
              </w:rPr>
              <w:t>请供应商及时登录达州市公共资源交易服务平台查看抽取结果。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6</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供应商询问/</w:t>
            </w:r>
          </w:p>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质疑</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供应商对资格预审文件资质要求的询问/质疑，由采购人负责答复。</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质疑方式：书面质疑</w:t>
            </w:r>
          </w:p>
          <w:p>
            <w:pPr>
              <w:pStyle w:val="48"/>
              <w:widowControl/>
              <w:snapToGrid w:val="0"/>
              <w:spacing w:line="240" w:lineRule="atLeast"/>
              <w:ind w:firstLine="280" w:firstLineChars="100"/>
              <w:jc w:val="both"/>
              <w:rPr>
                <w:rFonts w:hint="default" w:cs="仿宋"/>
                <w:color w:val="000000" w:themeColor="text1"/>
                <w:sz w:val="28"/>
                <w:szCs w:val="28"/>
              </w:rPr>
            </w:pPr>
            <w:r>
              <w:rPr>
                <w:rFonts w:cs="仿宋"/>
                <w:color w:val="000000" w:themeColor="text1"/>
                <w:sz w:val="28"/>
                <w:szCs w:val="28"/>
                <w:lang w:val="zh-CN"/>
              </w:rPr>
              <w:t>联系人：</w:t>
            </w:r>
            <w:r>
              <w:rPr>
                <w:rFonts w:cs="仿宋"/>
                <w:color w:val="000000" w:themeColor="text1"/>
                <w:sz w:val="28"/>
                <w:szCs w:val="28"/>
              </w:rPr>
              <w:t>李先生</w:t>
            </w:r>
          </w:p>
          <w:p>
            <w:pPr>
              <w:pStyle w:val="48"/>
              <w:widowControl/>
              <w:snapToGrid w:val="0"/>
              <w:spacing w:line="240" w:lineRule="atLeast"/>
              <w:ind w:firstLine="280" w:firstLineChars="100"/>
              <w:jc w:val="both"/>
              <w:rPr>
                <w:rFonts w:hint="default" w:cs="仿宋"/>
                <w:color w:val="000000" w:themeColor="text1"/>
                <w:sz w:val="28"/>
                <w:szCs w:val="28"/>
                <w:u w:val="single"/>
              </w:rPr>
            </w:pPr>
            <w:r>
              <w:rPr>
                <w:rFonts w:cs="仿宋"/>
                <w:color w:val="000000" w:themeColor="text1"/>
                <w:sz w:val="28"/>
                <w:szCs w:val="28"/>
                <w:lang w:val="zh-CN"/>
              </w:rPr>
              <w:t>联系电话：</w:t>
            </w:r>
            <w:r>
              <w:rPr>
                <w:rFonts w:cs="仿宋"/>
                <w:color w:val="000000" w:themeColor="text1"/>
                <w:sz w:val="28"/>
                <w:szCs w:val="28"/>
              </w:rPr>
              <w:t>0818-2377978</w:t>
            </w:r>
          </w:p>
          <w:p>
            <w:pPr>
              <w:pStyle w:val="2"/>
              <w:tabs>
                <w:tab w:val="left" w:pos="993"/>
              </w:tabs>
              <w:adjustRightInd w:val="0"/>
              <w:snapToGrid w:val="0"/>
              <w:spacing w:after="0" w:line="540" w:lineRule="exact"/>
              <w:ind w:firstLine="565" w:firstLineChars="202"/>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lang w:val="zh-CN"/>
              </w:rPr>
              <w:t>地址：</w:t>
            </w:r>
            <w:r>
              <w:rPr>
                <w:rFonts w:ascii="宋体" w:hAnsi="宋体" w:eastAsia="宋体" w:cs="仿宋"/>
                <w:color w:val="000000" w:themeColor="text1"/>
                <w:sz w:val="28"/>
                <w:szCs w:val="28"/>
              </w:rPr>
              <w:t>达州市通川区张家湾路28号</w:t>
            </w:r>
          </w:p>
          <w:p>
            <w:pPr>
              <w:pStyle w:val="48"/>
              <w:widowControl/>
              <w:snapToGrid w:val="0"/>
              <w:spacing w:line="240" w:lineRule="atLeast"/>
              <w:ind w:firstLine="560" w:firstLineChars="200"/>
              <w:jc w:val="both"/>
              <w:rPr>
                <w:rFonts w:hint="default" w:cs="仿宋"/>
                <w:color w:val="000000" w:themeColor="text1"/>
                <w:sz w:val="28"/>
                <w:szCs w:val="28"/>
                <w:lang w:val="zh-CN"/>
              </w:rPr>
            </w:pPr>
            <w:r>
              <w:rPr>
                <w:rFonts w:cs="仿宋"/>
                <w:color w:val="000000" w:themeColor="text1"/>
                <w:sz w:val="28"/>
                <w:szCs w:val="28"/>
                <w:lang w:val="zh-CN"/>
              </w:rPr>
              <w:t>邮编：</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注：（1）根据《中华人民共和国政府采购法》、《中华人民共和国政府采购法实施条例》（国务院第658号）、《政府采购质疑和投诉办法》（财政部令第 94 号）的相关规定，供应商质疑不得超出资格预审文件、资格预审结果的范围。</w:t>
            </w:r>
          </w:p>
          <w:p>
            <w:pPr>
              <w:pStyle w:val="48"/>
              <w:widowControl/>
              <w:snapToGrid w:val="0"/>
              <w:spacing w:line="240" w:lineRule="atLeast"/>
              <w:ind w:firstLine="280" w:firstLineChars="100"/>
              <w:jc w:val="both"/>
              <w:rPr>
                <w:rFonts w:hint="default" w:cs="仿宋"/>
                <w:color w:val="000000" w:themeColor="text1"/>
                <w:sz w:val="28"/>
                <w:szCs w:val="28"/>
                <w:lang w:val="zh-CN"/>
              </w:rPr>
            </w:pPr>
            <w:r>
              <w:rPr>
                <w:rFonts w:cs="仿宋"/>
                <w:color w:val="000000" w:themeColor="text1"/>
                <w:sz w:val="28"/>
                <w:szCs w:val="28"/>
                <w:lang w:val="zh-CN"/>
              </w:rPr>
              <w:t>（2）供应商针对同一采购程序环节的质疑须在法定质疑期内一次性提出。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7</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8"/>
              <w:widowControl/>
              <w:snapToGrid w:val="0"/>
              <w:spacing w:line="240" w:lineRule="atLeast"/>
              <w:jc w:val="center"/>
              <w:rPr>
                <w:rFonts w:hint="default" w:cs="仿宋"/>
                <w:color w:val="000000" w:themeColor="text1"/>
                <w:sz w:val="28"/>
                <w:szCs w:val="28"/>
                <w:lang w:val="zh-CN"/>
              </w:rPr>
            </w:pPr>
            <w:r>
              <w:rPr>
                <w:rFonts w:cs="仿宋"/>
                <w:color w:val="000000" w:themeColor="text1"/>
                <w:sz w:val="28"/>
                <w:szCs w:val="28"/>
                <w:lang w:val="zh-CN"/>
              </w:rPr>
              <w:t>供应商投诉</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u w:val="single"/>
              </w:rPr>
            </w:pPr>
            <w:r>
              <w:rPr>
                <w:rFonts w:ascii="宋体" w:hAnsi="宋体" w:eastAsia="宋体" w:cs="仿宋"/>
                <w:color w:val="000000" w:themeColor="text1"/>
                <w:sz w:val="28"/>
                <w:szCs w:val="28"/>
              </w:rPr>
              <w:t>投诉受理单位：本项目同级财政部门，即</w:t>
            </w:r>
            <w:r>
              <w:rPr>
                <w:rFonts w:ascii="宋体" w:hAnsi="宋体" w:eastAsia="宋体" w:cs="仿宋"/>
                <w:color w:val="000000" w:themeColor="text1"/>
                <w:sz w:val="28"/>
                <w:szCs w:val="28"/>
                <w:u w:val="single"/>
              </w:rPr>
              <w:t>达州市通川区财政局</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投诉方式：书面投诉</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联系人：</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联系电话</w:t>
            </w:r>
            <w:r>
              <w:rPr>
                <w:rFonts w:hint="default" w:ascii="宋体" w:hAnsi="宋体" w:eastAsia="宋体" w:cs="仿宋"/>
                <w:color w:val="000000" w:themeColor="text1"/>
                <w:sz w:val="28"/>
                <w:szCs w:val="28"/>
              </w:rPr>
              <w:t>：</w:t>
            </w:r>
            <w:r>
              <w:rPr>
                <w:rFonts w:ascii="宋体" w:hAnsi="宋体" w:eastAsia="宋体" w:cs="仿宋"/>
                <w:color w:val="000000" w:themeColor="text1"/>
                <w:sz w:val="28"/>
                <w:szCs w:val="28"/>
                <w:u w:val="single"/>
              </w:rPr>
              <w:t>0818-5909925</w:t>
            </w:r>
          </w:p>
          <w:p>
            <w:pPr>
              <w:pStyle w:val="41"/>
              <w:widowControl/>
              <w:snapToGrid w:val="0"/>
              <w:spacing w:line="240" w:lineRule="atLeast"/>
              <w:ind w:firstLine="280" w:firstLineChars="100"/>
              <w:jc w:val="both"/>
              <w:rPr>
                <w:rFonts w:hint="default" w:ascii="宋体" w:hAnsi="宋体" w:eastAsia="宋体"/>
                <w:color w:val="000000" w:themeColor="text1"/>
                <w:sz w:val="28"/>
                <w:szCs w:val="28"/>
              </w:rPr>
            </w:pPr>
            <w:r>
              <w:rPr>
                <w:rFonts w:ascii="宋体" w:hAnsi="宋体" w:eastAsia="宋体" w:cs="仿宋"/>
                <w:color w:val="000000" w:themeColor="text1"/>
                <w:sz w:val="28"/>
                <w:szCs w:val="28"/>
              </w:rPr>
              <w:t>联系地址：</w:t>
            </w:r>
          </w:p>
          <w:p>
            <w:pPr>
              <w:pStyle w:val="41"/>
              <w:widowControl/>
              <w:snapToGrid w:val="0"/>
              <w:spacing w:line="240" w:lineRule="atLeast"/>
              <w:ind w:firstLine="280" w:firstLineChars="100"/>
              <w:jc w:val="both"/>
              <w:rPr>
                <w:rFonts w:hint="default" w:ascii="宋体" w:hAnsi="宋体" w:eastAsia="宋体"/>
                <w:color w:val="000000" w:themeColor="text1"/>
                <w:sz w:val="28"/>
                <w:szCs w:val="28"/>
              </w:rPr>
            </w:pPr>
            <w:r>
              <w:rPr>
                <w:rFonts w:ascii="宋体" w:hAnsi="宋体" w:eastAsia="宋体" w:cs="仿宋"/>
                <w:color w:val="000000" w:themeColor="text1"/>
                <w:sz w:val="28"/>
                <w:szCs w:val="28"/>
              </w:rPr>
              <w:t>注：根据《中华人民共和国政府采购法》、《中华人民共和国政府采购法实施条例》（国务院第658号）、《政府采购质疑和投诉办法》（财政部令第 94 号）的相关规定，供应商投诉的事项不得超出已质疑事项的范围。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8</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政采贷融资</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为缓解供应商融资难的问题，中标（成交）供应商可通过四川政府采购网和达州市公共资源交易服务网，自行选择金融机构以政府采购合同进行融资贷款。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9</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不得参加本次采购活动的前期参与供应商名单</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tabs>
                <w:tab w:val="left" w:pos="708"/>
              </w:tabs>
              <w:snapToGrid w:val="0"/>
              <w:spacing w:line="240" w:lineRule="atLeast"/>
              <w:rPr>
                <w:rFonts w:hint="default" w:ascii="宋体" w:hAnsi="宋体" w:eastAsia="宋体" w:cs="仿宋"/>
                <w:color w:val="000000" w:themeColor="text1"/>
                <w:spacing w:val="-7"/>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10</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olor w:val="000000" w:themeColor="text1"/>
                <w:sz w:val="28"/>
                <w:szCs w:val="28"/>
              </w:rPr>
            </w:pPr>
            <w:r>
              <w:rPr>
                <w:rFonts w:ascii="宋体" w:hAnsi="宋体" w:eastAsia="宋体" w:cs="仿宋"/>
                <w:color w:val="000000" w:themeColor="text1"/>
                <w:sz w:val="28"/>
                <w:szCs w:val="28"/>
              </w:rPr>
              <w:t>其他</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1.本项目实行电子化政府采购，</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须按照本文件第五章资格预审资格预审申请文件格式编制，编制完成后登录达州市公共资源交易服务网（www. dzggzy.cn）,将经资格预审申请文件的WORD文档通过“资格预审申请文件提交”模块上传到系统中。</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2.在资格预过程中，要求澄清和解释的内容，通过达州市公共资源交易服务平台发出，</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rPr>
              <w:t>须使用本单位的</w:t>
            </w:r>
            <w:r>
              <w:rPr>
                <w:rFonts w:ascii="宋体" w:hAnsi="宋体" w:eastAsia="宋体" w:cs="仿宋"/>
                <w:color w:val="000000" w:themeColor="text1"/>
                <w:sz w:val="28"/>
                <w:szCs w:val="28"/>
                <w:lang w:val="zh-CN"/>
              </w:rPr>
              <w:t>CA</w:t>
            </w:r>
            <w:r>
              <w:rPr>
                <w:rFonts w:ascii="宋体" w:hAnsi="宋体" w:eastAsia="宋体" w:cs="仿宋"/>
                <w:color w:val="000000" w:themeColor="text1"/>
                <w:sz w:val="28"/>
                <w:szCs w:val="28"/>
              </w:rPr>
              <w:t>数字证书在60分钟内进行回复，回复内容使用</w:t>
            </w:r>
            <w:r>
              <w:rPr>
                <w:rFonts w:ascii="宋体" w:hAnsi="宋体" w:eastAsia="宋体" w:cs="仿宋"/>
                <w:color w:val="000000" w:themeColor="text1"/>
                <w:sz w:val="28"/>
                <w:szCs w:val="28"/>
                <w:lang w:val="zh-CN"/>
              </w:rPr>
              <w:t>CA</w:t>
            </w:r>
            <w:r>
              <w:rPr>
                <w:rFonts w:ascii="宋体" w:hAnsi="宋体" w:eastAsia="宋体" w:cs="仿宋"/>
                <w:color w:val="000000" w:themeColor="text1"/>
                <w:sz w:val="28"/>
                <w:szCs w:val="28"/>
              </w:rPr>
              <w:t>数字证书进行签章。</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3.资格预审过程如出现下列原因，导致交易平台相关系统无法正常运行，或者无法保证采购过程的公平、公正和信息安全时，监督人员和采购代理机构采取应急措施：</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（1）系统服务器发生故障，无法访问或无法使用系统；</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（2）系统的软件或数据库出现错误，不能进行正常操作；</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（3）系统发现有安全漏洞，有潜在的泄密危险；</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（4）病毒发作或受到外来病毒的攻击；</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（5）突发停电、网络中断等导致不能正常开、评标活动的；</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（6）其他无法保证采购过程公平、公正和信息安全的情形。</w:t>
            </w:r>
          </w:p>
          <w:p>
            <w:pPr>
              <w:pStyle w:val="41"/>
              <w:widowControl/>
              <w:snapToGrid w:val="0"/>
              <w:spacing w:line="240" w:lineRule="atLeast"/>
              <w:ind w:firstLine="280" w:firstLineChars="100"/>
              <w:jc w:val="both"/>
              <w:rPr>
                <w:rFonts w:hint="default" w:ascii="宋体" w:hAnsi="宋体" w:eastAsia="宋体" w:cs="仿宋"/>
                <w:color w:val="000000" w:themeColor="text1"/>
                <w:spacing w:val="-7"/>
                <w:sz w:val="28"/>
                <w:szCs w:val="28"/>
              </w:rPr>
            </w:pPr>
            <w:r>
              <w:rPr>
                <w:rFonts w:ascii="宋体" w:hAnsi="宋体" w:eastAsia="宋体" w:cs="仿宋"/>
                <w:color w:val="000000" w:themeColor="text1"/>
                <w:sz w:val="28"/>
                <w:szCs w:val="28"/>
              </w:rPr>
              <w:t>出现上述情况时，应暂停资格预审，并对原有资料及信息作出妥善保密处理，待交易平台恢复正常运行后继续开展。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11</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特别提示</w:t>
            </w: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1、</w:t>
            </w:r>
            <w:r>
              <w:rPr>
                <w:rFonts w:ascii="宋体" w:hAnsi="宋体" w:eastAsia="宋体" w:cs="仿宋"/>
                <w:color w:val="000000" w:themeColor="text1"/>
                <w:sz w:val="28"/>
                <w:szCs w:val="28"/>
              </w:rPr>
              <w:t>供应商</w:t>
            </w:r>
            <w:r>
              <w:rPr>
                <w:rFonts w:ascii="宋体" w:hAnsi="宋体" w:eastAsia="宋体" w:cs="仿宋"/>
                <w:color w:val="000000" w:themeColor="text1"/>
                <w:sz w:val="28"/>
                <w:szCs w:val="28"/>
                <w:lang w:val="zh-CN"/>
              </w:rPr>
              <w:t>应授权专人负责，以便及时处理项目</w:t>
            </w:r>
            <w:r>
              <w:rPr>
                <w:rFonts w:ascii="宋体" w:hAnsi="宋体" w:eastAsia="宋体" w:cs="仿宋"/>
                <w:color w:val="000000" w:themeColor="text1"/>
                <w:sz w:val="28"/>
                <w:szCs w:val="28"/>
              </w:rPr>
              <w:t>资格预审</w:t>
            </w:r>
            <w:r>
              <w:rPr>
                <w:rFonts w:ascii="宋体" w:hAnsi="宋体" w:eastAsia="宋体" w:cs="仿宋"/>
                <w:color w:val="000000" w:themeColor="text1"/>
                <w:sz w:val="28"/>
                <w:szCs w:val="28"/>
                <w:lang w:val="zh-CN"/>
              </w:rPr>
              <w:t>过程中可能出现的异常情况，和需要澄清、说明或者更正内容回复。否则，后果由</w:t>
            </w:r>
            <w:r>
              <w:rPr>
                <w:rFonts w:ascii="宋体" w:hAnsi="宋体" w:eastAsia="宋体" w:cs="仿宋"/>
                <w:color w:val="000000" w:themeColor="text1"/>
                <w:sz w:val="28"/>
                <w:szCs w:val="28"/>
              </w:rPr>
              <w:t>供应商</w:t>
            </w:r>
            <w:r>
              <w:rPr>
                <w:rFonts w:ascii="宋体" w:hAnsi="宋体" w:eastAsia="宋体" w:cs="仿宋"/>
                <w:color w:val="000000" w:themeColor="text1"/>
                <w:sz w:val="28"/>
                <w:szCs w:val="28"/>
                <w:lang w:val="zh-CN"/>
              </w:rPr>
              <w:t>承担。</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2、</w:t>
            </w:r>
            <w:r>
              <w:rPr>
                <w:rFonts w:ascii="宋体" w:hAnsi="宋体" w:eastAsia="宋体" w:cs="仿宋"/>
                <w:color w:val="000000" w:themeColor="text1"/>
                <w:sz w:val="28"/>
                <w:szCs w:val="28"/>
              </w:rPr>
              <w:t>供应商</w:t>
            </w:r>
            <w:r>
              <w:rPr>
                <w:rFonts w:ascii="宋体" w:hAnsi="宋体" w:eastAsia="宋体" w:cs="仿宋"/>
                <w:color w:val="000000" w:themeColor="text1"/>
                <w:sz w:val="28"/>
                <w:szCs w:val="28"/>
                <w:lang w:val="zh-CN"/>
              </w:rPr>
              <w:t>应正确使用电子投标文件制作工具；认真阅读《政府采购在线</w:t>
            </w:r>
            <w:r>
              <w:rPr>
                <w:rFonts w:ascii="宋体" w:hAnsi="宋体" w:eastAsia="宋体" w:cs="仿宋"/>
                <w:color w:val="000000" w:themeColor="text1"/>
                <w:sz w:val="28"/>
                <w:szCs w:val="28"/>
              </w:rPr>
              <w:t>资格预审</w:t>
            </w:r>
            <w:r>
              <w:rPr>
                <w:rFonts w:ascii="宋体" w:hAnsi="宋体" w:eastAsia="宋体" w:cs="仿宋"/>
                <w:color w:val="000000" w:themeColor="text1"/>
                <w:sz w:val="28"/>
                <w:szCs w:val="28"/>
                <w:lang w:val="zh-CN"/>
              </w:rPr>
              <w:t>操作指南》，如有疑问，请联系0818-3131833，提供必要的技术咨询。</w:t>
            </w:r>
          </w:p>
          <w:p>
            <w:pPr>
              <w:pStyle w:val="41"/>
              <w:widowControl/>
              <w:snapToGrid w:val="0"/>
              <w:spacing w:line="240" w:lineRule="atLeast"/>
              <w:ind w:firstLine="280" w:firstLineChars="100"/>
              <w:jc w:val="both"/>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3、为顺利实现</w:t>
            </w:r>
            <w:r>
              <w:rPr>
                <w:rFonts w:ascii="宋体" w:hAnsi="宋体" w:eastAsia="宋体" w:cs="仿宋"/>
                <w:color w:val="000000" w:themeColor="text1"/>
                <w:sz w:val="28"/>
                <w:szCs w:val="28"/>
              </w:rPr>
              <w:t>资格预审</w:t>
            </w:r>
            <w:r>
              <w:rPr>
                <w:rFonts w:ascii="宋体" w:hAnsi="宋体" w:eastAsia="宋体" w:cs="仿宋"/>
                <w:color w:val="000000" w:themeColor="text1"/>
                <w:sz w:val="28"/>
                <w:szCs w:val="28"/>
                <w:lang w:val="zh-CN"/>
              </w:rPr>
              <w:t>远程在线交流，建议</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配置：高配置电脑、高速稳定的网络、电源（不间断）、CA锁、音视频设备、IE浏览器（版本为IE10以上）等。因</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自身软硬件配备不齐全发生故障等问题导致在线交流过程中出现不稳定或中断等情况的，由</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承担一切后果。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41"/>
              <w:widowControl/>
              <w:snapToGrid w:val="0"/>
              <w:spacing w:line="240" w:lineRule="atLeast"/>
              <w:jc w:val="center"/>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12</w:t>
            </w:r>
          </w:p>
        </w:tc>
        <w:tc>
          <w:tcPr>
            <w:tcW w:w="22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2"/>
              <w:widowControl/>
              <w:tabs>
                <w:tab w:val="left" w:pos="993"/>
              </w:tabs>
              <w:adjustRightInd w:val="0"/>
              <w:snapToGrid w:val="0"/>
              <w:spacing w:line="500" w:lineRule="exact"/>
              <w:ind w:left="0" w:firstLine="0"/>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rPr>
              <w:t>获取、下载磋商文件和递交磋商响应文件</w:t>
            </w:r>
            <w:r>
              <w:rPr>
                <w:rFonts w:ascii="宋体" w:hAnsi="宋体" w:eastAsia="宋体" w:cs="仿宋"/>
                <w:color w:val="000000" w:themeColor="text1"/>
                <w:sz w:val="28"/>
                <w:szCs w:val="28"/>
                <w:lang w:val="zh-CN"/>
              </w:rPr>
              <w:t>。</w:t>
            </w:r>
          </w:p>
          <w:p>
            <w:pPr>
              <w:pStyle w:val="41"/>
              <w:widowControl/>
              <w:snapToGrid w:val="0"/>
              <w:spacing w:line="240" w:lineRule="atLeast"/>
              <w:jc w:val="center"/>
              <w:rPr>
                <w:rFonts w:hint="default" w:ascii="宋体" w:hAnsi="宋体" w:eastAsia="宋体" w:cs="仿宋"/>
                <w:i/>
                <w:iCs/>
                <w:color w:val="000000" w:themeColor="text1"/>
                <w:sz w:val="28"/>
                <w:szCs w:val="28"/>
              </w:rPr>
            </w:pPr>
          </w:p>
        </w:tc>
        <w:tc>
          <w:tcPr>
            <w:tcW w:w="6670"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42"/>
              <w:widowControl/>
              <w:numPr>
                <w:ilvl w:val="0"/>
                <w:numId w:val="3"/>
              </w:numPr>
              <w:tabs>
                <w:tab w:val="left" w:pos="993"/>
                <w:tab w:val="clear" w:pos="312"/>
              </w:tabs>
              <w:adjustRightInd w:val="0"/>
              <w:snapToGrid w:val="0"/>
              <w:spacing w:line="500" w:lineRule="exact"/>
              <w:ind w:left="0" w:firstLine="560" w:firstLineChars="200"/>
              <w:rPr>
                <w:rFonts w:hint="default" w:ascii="宋体" w:hAnsi="宋体" w:eastAsia="宋体" w:cs="仿宋"/>
                <w:color w:val="000000" w:themeColor="text1"/>
                <w:sz w:val="28"/>
                <w:szCs w:val="28"/>
              </w:rPr>
            </w:pPr>
            <w:r>
              <w:rPr>
                <w:rFonts w:ascii="宋体" w:hAnsi="宋体" w:eastAsia="宋体" w:cs="仿宋"/>
                <w:color w:val="000000" w:themeColor="text1"/>
                <w:sz w:val="28"/>
                <w:szCs w:val="28"/>
                <w:lang w:val="zh-CN"/>
              </w:rPr>
              <w:t>通过达州市公共资源交易服务平台随机抽取</w:t>
            </w:r>
            <w:r>
              <w:rPr>
                <w:rFonts w:ascii="宋体" w:hAnsi="宋体" w:eastAsia="宋体" w:cs="仿宋"/>
                <w:color w:val="000000" w:themeColor="text1"/>
                <w:sz w:val="28"/>
                <w:szCs w:val="28"/>
              </w:rPr>
              <w:t>参加磋商的</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，在达州市公共资源交易服务平台自动推送抽取结果到供应商业务端</w:t>
            </w:r>
            <w:r>
              <w:rPr>
                <w:rFonts w:ascii="宋体" w:hAnsi="宋体" w:eastAsia="宋体" w:cs="仿宋"/>
                <w:color w:val="000000" w:themeColor="text1"/>
                <w:sz w:val="28"/>
                <w:szCs w:val="28"/>
              </w:rPr>
              <w:t>后次日起五个工作日内</w:t>
            </w:r>
            <w:r>
              <w:rPr>
                <w:rFonts w:ascii="宋体" w:hAnsi="宋体" w:eastAsia="宋体" w:cs="仿宋"/>
                <w:color w:val="000000" w:themeColor="text1"/>
                <w:sz w:val="28"/>
                <w:szCs w:val="28"/>
                <w:lang w:val="zh-CN"/>
              </w:rPr>
              <w:t>，</w:t>
            </w:r>
            <w:r>
              <w:rPr>
                <w:rFonts w:ascii="宋体" w:hAnsi="宋体" w:eastAsia="宋体" w:cs="仿宋"/>
                <w:color w:val="000000" w:themeColor="text1"/>
                <w:sz w:val="28"/>
                <w:szCs w:val="28"/>
              </w:rPr>
              <w:t>登录达州市公共资源交易服务网（www.dzggzy.cn）“用户注册登录”入口，使用CA数字证书登录，获取和下载磋商文件。</w:t>
            </w:r>
          </w:p>
          <w:p>
            <w:pPr>
              <w:pStyle w:val="42"/>
              <w:widowControl/>
              <w:numPr>
                <w:ilvl w:val="0"/>
                <w:numId w:val="3"/>
              </w:numPr>
              <w:tabs>
                <w:tab w:val="left" w:pos="993"/>
                <w:tab w:val="clear" w:pos="312"/>
              </w:tabs>
              <w:adjustRightInd w:val="0"/>
              <w:snapToGrid w:val="0"/>
              <w:spacing w:line="500" w:lineRule="exact"/>
              <w:ind w:left="0" w:firstLine="560" w:firstLineChars="200"/>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本次竞争性磋商采购</w:t>
            </w:r>
            <w:r>
              <w:rPr>
                <w:rFonts w:hAnsi="宋体"/>
                <w:b/>
                <w:color w:val="000000" w:themeColor="text1"/>
                <w:sz w:val="24"/>
                <w:szCs w:val="24"/>
                <w:highlight w:val="white"/>
              </w:rPr>
              <w:t>提交首次响应文件截止</w:t>
            </w:r>
            <w:r>
              <w:rPr>
                <w:rFonts w:hAnsi="宋体"/>
                <w:color w:val="000000" w:themeColor="text1"/>
                <w:sz w:val="24"/>
                <w:szCs w:val="24"/>
                <w:highlight w:val="white"/>
              </w:rPr>
              <w:t>时间前</w:t>
            </w:r>
            <w:r>
              <w:rPr>
                <w:rFonts w:ascii="宋体" w:hAnsi="宋体" w:eastAsia="宋体" w:cs="仿宋"/>
                <w:color w:val="000000" w:themeColor="text1"/>
                <w:sz w:val="28"/>
                <w:szCs w:val="28"/>
              </w:rPr>
              <w:t>，应由采购单位按相关法律政策规定书面通知供应商的事项（含澄清、修改、更正等），采购单位均通过达州市公共资源交易服务平台</w:t>
            </w:r>
            <w:r>
              <w:rPr>
                <w:rFonts w:ascii="宋体" w:hAnsi="宋体" w:eastAsia="宋体" w:cs="仿宋"/>
                <w:color w:val="000000" w:themeColor="text1"/>
                <w:sz w:val="28"/>
                <w:szCs w:val="28"/>
                <w:lang w:val="zh-CN"/>
              </w:rPr>
              <w:t>自动推送到供应商业务端</w:t>
            </w:r>
            <w:r>
              <w:rPr>
                <w:rFonts w:ascii="宋体" w:hAnsi="宋体" w:eastAsia="宋体" w:cs="仿宋"/>
                <w:color w:val="000000" w:themeColor="text1"/>
                <w:sz w:val="28"/>
                <w:szCs w:val="28"/>
              </w:rPr>
              <w:t>。供应商若未能关注并及时在上述网站获取相关信息，将自行承担对其不利的后果。</w:t>
            </w:r>
          </w:p>
          <w:p>
            <w:pPr>
              <w:pStyle w:val="42"/>
              <w:widowControl/>
              <w:numPr>
                <w:ilvl w:val="0"/>
                <w:numId w:val="3"/>
              </w:numPr>
              <w:tabs>
                <w:tab w:val="left" w:pos="993"/>
                <w:tab w:val="clear" w:pos="312"/>
              </w:tabs>
              <w:adjustRightInd w:val="0"/>
              <w:snapToGrid w:val="0"/>
              <w:spacing w:line="500" w:lineRule="exact"/>
              <w:ind w:left="0" w:firstLine="560" w:firstLineChars="200"/>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lang w:val="zh-CN"/>
              </w:rPr>
              <w:t>通过达州市公共资源交易服务平台随机抽取</w:t>
            </w:r>
            <w:r>
              <w:rPr>
                <w:rFonts w:ascii="宋体" w:hAnsi="宋体" w:eastAsia="宋体" w:cs="仿宋"/>
                <w:color w:val="000000" w:themeColor="text1"/>
                <w:sz w:val="28"/>
                <w:szCs w:val="28"/>
              </w:rPr>
              <w:t>参加磋商的</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w:t>
            </w:r>
            <w:r>
              <w:rPr>
                <w:rFonts w:ascii="宋体" w:hAnsi="宋体" w:eastAsia="宋体" w:cs="仿宋"/>
                <w:color w:val="000000" w:themeColor="text1"/>
                <w:sz w:val="28"/>
                <w:szCs w:val="28"/>
              </w:rPr>
              <w:t>按磋商文件要求递交磋商响应文件</w:t>
            </w:r>
            <w:r>
              <w:rPr>
                <w:rFonts w:ascii="宋体" w:hAnsi="宋体" w:eastAsia="宋体" w:cs="仿宋"/>
                <w:color w:val="000000" w:themeColor="text1"/>
                <w:sz w:val="28"/>
                <w:szCs w:val="28"/>
                <w:lang w:val="zh-CN"/>
              </w:rPr>
              <w:t>。</w:t>
            </w:r>
          </w:p>
          <w:p>
            <w:pPr>
              <w:pStyle w:val="42"/>
              <w:widowControl/>
              <w:tabs>
                <w:tab w:val="left" w:pos="993"/>
              </w:tabs>
              <w:adjustRightInd w:val="0"/>
              <w:snapToGrid w:val="0"/>
              <w:spacing w:line="500" w:lineRule="exact"/>
              <w:ind w:left="0" w:firstLine="560" w:firstLineChars="200"/>
              <w:rPr>
                <w:rFonts w:hint="default" w:ascii="宋体" w:hAnsi="宋体" w:eastAsia="宋体" w:cs="仿宋"/>
                <w:color w:val="000000" w:themeColor="text1"/>
                <w:sz w:val="28"/>
                <w:szCs w:val="28"/>
                <w:lang w:val="zh-CN"/>
              </w:rPr>
            </w:pPr>
            <w:r>
              <w:rPr>
                <w:rFonts w:ascii="宋体" w:hAnsi="宋体" w:eastAsia="宋体" w:cs="仿宋"/>
                <w:color w:val="000000" w:themeColor="text1"/>
                <w:sz w:val="28"/>
                <w:szCs w:val="28"/>
              </w:rPr>
              <w:t>未</w:t>
            </w:r>
            <w:r>
              <w:rPr>
                <w:rFonts w:ascii="宋体" w:hAnsi="宋体" w:eastAsia="宋体" w:cs="仿宋"/>
                <w:color w:val="000000" w:themeColor="text1"/>
                <w:sz w:val="28"/>
                <w:szCs w:val="28"/>
                <w:lang w:val="zh-CN"/>
              </w:rPr>
              <w:t>通过达州市公共资源交易服务平台随机抽取</w:t>
            </w:r>
            <w:r>
              <w:rPr>
                <w:rFonts w:ascii="宋体" w:hAnsi="宋体" w:eastAsia="宋体" w:cs="仿宋"/>
                <w:color w:val="000000" w:themeColor="text1"/>
                <w:sz w:val="28"/>
                <w:szCs w:val="28"/>
              </w:rPr>
              <w:t>参加磋商的</w:t>
            </w:r>
            <w:r>
              <w:rPr>
                <w:rFonts w:cs="仿宋" w:asciiTheme="minorEastAsia" w:hAnsiTheme="minorEastAsia" w:eastAsiaTheme="minorEastAsia"/>
                <w:color w:val="000000" w:themeColor="text1"/>
                <w:sz w:val="28"/>
                <w:szCs w:val="28"/>
              </w:rPr>
              <w:t>供应商</w:t>
            </w:r>
            <w:r>
              <w:rPr>
                <w:rFonts w:ascii="宋体" w:hAnsi="宋体" w:eastAsia="宋体" w:cs="仿宋"/>
                <w:color w:val="000000" w:themeColor="text1"/>
                <w:sz w:val="28"/>
                <w:szCs w:val="28"/>
                <w:lang w:val="zh-CN"/>
              </w:rPr>
              <w:t>，</w:t>
            </w:r>
            <w:r>
              <w:rPr>
                <w:rFonts w:ascii="宋体" w:hAnsi="宋体" w:eastAsia="宋体" w:cs="仿宋"/>
                <w:color w:val="000000" w:themeColor="text1"/>
                <w:sz w:val="28"/>
                <w:szCs w:val="28"/>
              </w:rPr>
              <w:t>递交的磋商响应文件拒绝接收。</w:t>
            </w:r>
          </w:p>
          <w:p>
            <w:pPr>
              <w:pStyle w:val="41"/>
              <w:widowControl/>
              <w:snapToGrid w:val="0"/>
              <w:spacing w:line="240" w:lineRule="atLeast"/>
              <w:ind w:firstLine="280" w:firstLineChars="100"/>
              <w:jc w:val="both"/>
              <w:rPr>
                <w:rFonts w:hint="default" w:ascii="宋体" w:hAnsi="宋体" w:eastAsia="宋体" w:cs="仿宋"/>
                <w:i/>
                <w:iCs/>
                <w:color w:val="000000" w:themeColor="text1"/>
                <w:sz w:val="28"/>
                <w:szCs w:val="28"/>
                <w:lang w:val="zh-CN"/>
              </w:rPr>
            </w:pPr>
          </w:p>
        </w:tc>
      </w:tr>
    </w:tbl>
    <w:p>
      <w:pPr>
        <w:pStyle w:val="42"/>
        <w:widowControl/>
        <w:tabs>
          <w:tab w:val="left" w:pos="567"/>
        </w:tabs>
        <w:adjustRightInd w:val="0"/>
        <w:snapToGrid w:val="0"/>
        <w:spacing w:line="500" w:lineRule="exact"/>
        <w:ind w:left="0" w:firstLine="560" w:firstLineChars="200"/>
        <w:rPr>
          <w:rFonts w:hint="default" w:ascii="黑体" w:hAnsi="黑体" w:eastAsia="黑体" w:cs="仿宋"/>
          <w:b/>
          <w:color w:val="000000" w:themeColor="text1"/>
          <w:sz w:val="28"/>
          <w:szCs w:val="28"/>
        </w:rPr>
      </w:pPr>
      <w:bookmarkStart w:id="21" w:name="二、总则"/>
      <w:bookmarkEnd w:id="21"/>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22" w:name="_Toc60399674"/>
      <w:bookmarkStart w:id="23" w:name="_Toc60221281"/>
      <w:r>
        <w:rPr>
          <w:rFonts w:ascii="黑体" w:hAnsi="黑体" w:eastAsia="黑体" w:cs="仿宋"/>
          <w:b w:val="0"/>
          <w:color w:val="000000" w:themeColor="text1"/>
          <w:sz w:val="28"/>
          <w:szCs w:val="28"/>
        </w:rPr>
        <w:t>二</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总  则</w:t>
      </w:r>
      <w:bookmarkEnd w:id="22"/>
      <w:bookmarkEnd w:id="23"/>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1.适用范围</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1.1本资格预审文件仅适用于本次资格预审所叙述的工程采购。</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1.2本资格预审文件的解释权归采购人和采购代理机构所有。</w:t>
      </w:r>
      <w:bookmarkStart w:id="24" w:name="2.有关定义"/>
      <w:bookmarkEnd w:id="24"/>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2.采购主体</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2.1本次采购项目的采购人是</w:t>
      </w:r>
      <w:r>
        <w:rPr>
          <w:rFonts w:ascii="宋体" w:hAnsi="宋体" w:eastAsia="宋体" w:cs="仿宋"/>
          <w:color w:val="000000" w:themeColor="text1"/>
          <w:sz w:val="28"/>
          <w:szCs w:val="28"/>
          <w:u w:val="single"/>
        </w:rPr>
        <w:t>达州市通川区人民政府东城街道办事处</w:t>
      </w:r>
      <w:r>
        <w:rPr>
          <w:rFonts w:ascii="宋体" w:hAnsi="宋体" w:eastAsia="宋体" w:cs="仿宋"/>
          <w:color w:val="000000" w:themeColor="text1"/>
          <w:sz w:val="28"/>
          <w:szCs w:val="28"/>
        </w:rPr>
        <w:t>。</w:t>
      </w:r>
      <w:bookmarkStart w:id="25" w:name="2.2本次采购项目的采购代理机构是_四川致恒招标代理有限公司__。"/>
      <w:bookmarkEnd w:id="25"/>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2.2本次采购项目的采购代理机构是达州市政府采购中心。</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3.合格的供应商应具备下列条件（实质性要求）</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3.1具备法律法规和本资格预审文件规定的资格条件；</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3.2不属于禁止参加本项目政府采购活动的供应商。</w:t>
      </w:r>
    </w:p>
    <w:p>
      <w:pPr>
        <w:pStyle w:val="42"/>
        <w:widowControl/>
        <w:tabs>
          <w:tab w:val="left" w:pos="567"/>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4.资格预审费用</w:t>
      </w:r>
    </w:p>
    <w:p>
      <w:pPr>
        <w:pStyle w:val="2"/>
        <w:widowControl/>
        <w:adjustRightInd w:val="0"/>
        <w:snapToGrid w:val="0"/>
        <w:spacing w:after="0" w:line="50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供应商准备和参加本次资格预审所发生的费用由资格预审供应商自行承担。</w:t>
      </w:r>
    </w:p>
    <w:p>
      <w:pPr>
        <w:pStyle w:val="42"/>
        <w:widowControl/>
        <w:tabs>
          <w:tab w:val="left" w:pos="1178"/>
        </w:tabs>
        <w:adjustRightInd w:val="0"/>
        <w:snapToGrid w:val="0"/>
        <w:spacing w:line="500" w:lineRule="exact"/>
        <w:ind w:left="0" w:firstLine="560" w:firstLineChars="200"/>
        <w:jc w:val="both"/>
        <w:rPr>
          <w:rFonts w:hint="default" w:ascii="宋体" w:hAnsi="宋体" w:eastAsia="宋体" w:cs="仿宋"/>
          <w:b/>
          <w:strike/>
          <w:color w:val="000000" w:themeColor="text1"/>
          <w:sz w:val="28"/>
          <w:szCs w:val="28"/>
        </w:rPr>
      </w:pPr>
      <w:r>
        <w:rPr>
          <w:rFonts w:ascii="宋体" w:hAnsi="宋体" w:eastAsia="宋体" w:cs="仿宋"/>
          <w:b/>
          <w:color w:val="000000" w:themeColor="text1"/>
          <w:sz w:val="28"/>
          <w:szCs w:val="28"/>
        </w:rPr>
        <w:t>5.充分、公平竞争保障措施（实质性要求）</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bCs/>
          <w:color w:val="000000" w:themeColor="text1"/>
          <w:sz w:val="28"/>
          <w:szCs w:val="28"/>
        </w:rPr>
        <w:t>5.1利害关系供应商处理：</w:t>
      </w:r>
      <w:r>
        <w:rPr>
          <w:rFonts w:ascii="宋体" w:hAnsi="宋体" w:eastAsia="宋体" w:cs="仿宋"/>
          <w:color w:val="000000" w:themeColor="text1"/>
          <w:sz w:val="28"/>
          <w:szCs w:val="28"/>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资格预审申请文件作为无效处理。利害关系授权代表处理：两家以上的供应商不得在同一合同项下的采购项目中，委托同一个自然人、同一家庭的人员、同一单位的人员作为其授权代表，否则，其资格预审申请文件作为无效处理。</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5.2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5.3供应商实际控制人或者中高级管理人员，同时是采购代理机构工作人员，不得参与本项目政府采购活动。</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5.4同一母公司的两家以上的子公司只能组成联合体参加本项目同一合同项下的采购活动，不得以不同供应商身份同时参加本项目同一合同项下的采购活动。</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5.5供应商与采购代理机构存在关联关系，或者是采购代理机构的母公司或子公司，不得参加本项目政府采购活动。</w:t>
      </w:r>
    </w:p>
    <w:p>
      <w:pPr>
        <w:pStyle w:val="42"/>
        <w:widowControl/>
        <w:tabs>
          <w:tab w:val="left" w:pos="1345"/>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5.6回避。政府采购活动中，采购人员及相关人员与供应商有下列利害关系之一的， 应当回避：</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（1）参加采购活动前3年内与供应商存在劳动关系；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（2）参加采购活动前3年内担任供应商的董事、监事；</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（3）参加采购活动前3年内是供应商的控股股东或者实际控制人；</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（4）与供应商的法定代表人或者负责人有夫妻、直系血亲、三代以内旁系血亲或者近姻亲关系；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（5）与供应商有其他可能影响政府采购活动公平、公正进行的关系。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资格预审评审小组成员。</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2"/>
        <w:widowControl/>
        <w:tabs>
          <w:tab w:val="left" w:pos="1178"/>
        </w:tabs>
        <w:adjustRightInd w:val="0"/>
        <w:snapToGrid w:val="0"/>
        <w:spacing w:line="500" w:lineRule="exact"/>
        <w:ind w:left="0" w:firstLine="560" w:firstLineChars="20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6.联合体参加资格预审（允许联合体参加的项目适用）</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6.1</w:t>
      </w:r>
      <w:r>
        <w:rPr>
          <w:rFonts w:ascii="宋体" w:hAnsi="宋体" w:eastAsia="宋体" w:cs="仿宋"/>
          <w:color w:val="000000" w:themeColor="text1"/>
          <w:sz w:val="28"/>
          <w:szCs w:val="28"/>
        </w:rPr>
        <w:t>两个以上供应商可以组成一个联合体，以一个供应商的身份参加资格预审。供应商以联合体形式参加采购活动的，联合体各方均应具备《中华人民共和国政府采购法》第二十二条第一款中规定的供应商资格条件；按照联合体分工承担相同工作的，还应同时满足资格预审文件规定的特殊资格条件；按照联合体分工承担不同工作的，则不需同时具备资格预审文件规定的特殊资格条件。</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6.2</w:t>
      </w:r>
      <w:r>
        <w:rPr>
          <w:rFonts w:ascii="宋体" w:hAnsi="宋体" w:eastAsia="宋体" w:cs="仿宋"/>
          <w:color w:val="000000" w:themeColor="text1"/>
          <w:sz w:val="28"/>
          <w:szCs w:val="28"/>
        </w:rPr>
        <w:t>联合体各方之间应当签订共同参加预审协议，明确约定联合体各方承担的工作和相应的责任，并将联合体协议连同资格预审申请文件一并提交采购人、采购代理机构。联合体各方签订联合联体协议后，不得再以自己名义单独在同一项目中，也不得组成新的联合体参加同一项目采购活动。</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6.3</w:t>
      </w:r>
      <w:r>
        <w:rPr>
          <w:rFonts w:ascii="宋体" w:hAnsi="宋体" w:eastAsia="宋体" w:cs="仿宋"/>
          <w:color w:val="000000" w:themeColor="text1"/>
          <w:sz w:val="28"/>
          <w:szCs w:val="28"/>
        </w:rPr>
        <w:t>联合体中有同类资质的供应商按照联合体分工承担相同工作的，应当按照资质等级较低的供应商确定资质等级。</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6.4</w:t>
      </w:r>
      <w:r>
        <w:rPr>
          <w:rFonts w:ascii="宋体" w:hAnsi="宋体" w:eastAsia="宋体" w:cs="仿宋"/>
          <w:color w:val="000000" w:themeColor="text1"/>
          <w:sz w:val="28"/>
          <w:szCs w:val="28"/>
        </w:rPr>
        <w:t>联合体应当确定其中一个单位为采购活动的全权代表，负责参加采购活动的一切事务，并承担采购活动及履约中应承担的全部责任与义务。</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hint="default" w:ascii="宋体" w:hAnsi="宋体" w:eastAsia="宋体" w:cs="仿宋"/>
          <w:color w:val="000000" w:themeColor="text1"/>
          <w:sz w:val="28"/>
          <w:szCs w:val="28"/>
        </w:rPr>
        <w:t>6.5</w:t>
      </w:r>
      <w:r>
        <w:rPr>
          <w:rFonts w:ascii="宋体" w:hAnsi="宋体" w:eastAsia="宋体" w:cs="仿宋"/>
          <w:color w:val="000000" w:themeColor="text1"/>
          <w:sz w:val="28"/>
          <w:szCs w:val="28"/>
        </w:rPr>
        <w:t>联合体各方应当共同与采购人签订采购合同，就采购合同约定的事项对采购人承担连带责任。</w:t>
      </w:r>
    </w:p>
    <w:p>
      <w:pPr>
        <w:pStyle w:val="42"/>
        <w:widowControl/>
        <w:tabs>
          <w:tab w:val="left" w:pos="152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26" w:name="三、资格预审文件"/>
      <w:bookmarkEnd w:id="26"/>
      <w:bookmarkStart w:id="27" w:name="_Toc60221282"/>
      <w:bookmarkStart w:id="28" w:name="_Toc60399675"/>
      <w:r>
        <w:rPr>
          <w:rFonts w:ascii="黑体" w:hAnsi="黑体" w:eastAsia="黑体" w:cs="仿宋"/>
          <w:b w:val="0"/>
          <w:color w:val="000000" w:themeColor="text1"/>
          <w:sz w:val="28"/>
          <w:szCs w:val="28"/>
        </w:rPr>
        <w:t>三</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资格预审文件</w:t>
      </w:r>
      <w:bookmarkEnd w:id="27"/>
      <w:bookmarkEnd w:id="28"/>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bookmarkStart w:id="29" w:name="7.资格预审文件的构成"/>
      <w:bookmarkEnd w:id="29"/>
      <w:r>
        <w:rPr>
          <w:rFonts w:ascii="宋体" w:hAnsi="宋体" w:eastAsia="宋体" w:cs="仿宋"/>
          <w:b/>
          <w:color w:val="000000" w:themeColor="text1"/>
          <w:sz w:val="28"/>
          <w:szCs w:val="28"/>
        </w:rPr>
        <w:t>7．资格预审文件的构成</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7.1本次资格预审文件包括资格预审公告、资格预审供应商须知、资格审查办法、资格预审申请文件格式、项目概况等。</w:t>
      </w:r>
    </w:p>
    <w:p>
      <w:pPr>
        <w:pStyle w:val="42"/>
        <w:widowControl/>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7.2资格预审文件是供应商准备申请文件和参加资格预审的依据，同时也是资格预审的重要依据。</w:t>
      </w:r>
    </w:p>
    <w:p>
      <w:pPr>
        <w:pStyle w:val="42"/>
        <w:widowControl/>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7.3供应商应认真阅读和充分理解资格预审文件中所有的事项、格式条款要求。供应商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8.资格预审文件的澄清和修改</w:t>
      </w:r>
    </w:p>
    <w:p>
      <w:pPr>
        <w:pStyle w:val="42"/>
        <w:widowControl/>
        <w:tabs>
          <w:tab w:val="left" w:pos="993"/>
        </w:tabs>
        <w:adjustRightInd w:val="0"/>
        <w:snapToGrid w:val="0"/>
        <w:spacing w:line="52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8.1在递交申请文件截止时间前，采购人、采购代理机构可以对资格预审文件进行澄清或者修改。</w:t>
      </w:r>
    </w:p>
    <w:p>
      <w:pPr>
        <w:spacing w:line="520" w:lineRule="exact"/>
        <w:ind w:right="105" w:rightChars="50" w:firstLine="420" w:firstLineChars="15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8.2</w:t>
      </w:r>
      <w:r>
        <w:rPr>
          <w:rFonts w:ascii="宋体" w:hAnsi="宋体" w:eastAsia="宋体" w:cs="仿宋"/>
          <w:color w:val="000000" w:themeColor="text1"/>
          <w:kern w:val="0"/>
          <w:sz w:val="28"/>
          <w:szCs w:val="28"/>
        </w:rPr>
        <w:t>采购代理机构对已发出的资格预审文件进行澄清或者修改，</w:t>
      </w:r>
      <w:r>
        <w:rPr>
          <w:rFonts w:hint="eastAsia" w:ascii="宋体" w:hAnsi="宋体" w:eastAsia="宋体" w:cs="仿宋"/>
          <w:color w:val="000000" w:themeColor="text1"/>
          <w:kern w:val="0"/>
          <w:sz w:val="28"/>
          <w:szCs w:val="28"/>
        </w:rPr>
        <w:t>在四川政府采购网和</w:t>
      </w:r>
      <w:r>
        <w:rPr>
          <w:rFonts w:hint="eastAsia" w:ascii="宋体" w:hAnsi="宋体" w:eastAsia="宋体" w:cs="仿宋"/>
          <w:color w:val="000000" w:themeColor="text1"/>
          <w:sz w:val="28"/>
          <w:szCs w:val="28"/>
        </w:rPr>
        <w:t>达州市公共资源交易服务网</w:t>
      </w:r>
      <w:r>
        <w:rPr>
          <w:rFonts w:hint="eastAsia" w:ascii="宋体" w:hAnsi="宋体" w:eastAsia="宋体" w:cs="仿宋"/>
          <w:color w:val="000000" w:themeColor="text1"/>
          <w:kern w:val="0"/>
          <w:sz w:val="28"/>
          <w:szCs w:val="28"/>
        </w:rPr>
        <w:t>发布澄清公告，公告内容不一致则以四川政府采购网为准。供应商应随时关注项目进度，不按本要求在规定的时间和网址查看澄清公告所造成的各种后果，由供应商自行负责。</w:t>
      </w:r>
    </w:p>
    <w:p>
      <w:pPr>
        <w:pStyle w:val="42"/>
        <w:widowControl/>
        <w:tabs>
          <w:tab w:val="left" w:pos="993"/>
        </w:tabs>
        <w:adjustRightInd w:val="0"/>
        <w:snapToGrid w:val="0"/>
        <w:spacing w:line="52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8.3澄清或者修改的内容可能影响资格预审申请文件编制的，采购人或者采购代理机构应当在提交资格预审申请文件截止时间至少3日前，不足3日的，采购人或者采购代理机构应当顺延提交资格预审申请文件的截止时间。</w:t>
      </w:r>
    </w:p>
    <w:p>
      <w:pPr>
        <w:pStyle w:val="42"/>
        <w:widowControl/>
        <w:tabs>
          <w:tab w:val="left" w:pos="993"/>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p>
    <w:p>
      <w:pPr>
        <w:pStyle w:val="4"/>
        <w:widowControl/>
        <w:adjustRightInd w:val="0"/>
        <w:snapToGrid w:val="0"/>
        <w:spacing w:before="0" w:line="360" w:lineRule="auto"/>
        <w:rPr>
          <w:rFonts w:hint="default" w:ascii="宋体" w:hAnsi="宋体" w:eastAsia="宋体" w:cs="仿宋"/>
          <w:color w:val="000000" w:themeColor="text1"/>
          <w:sz w:val="28"/>
          <w:szCs w:val="28"/>
        </w:rPr>
      </w:pPr>
      <w:bookmarkStart w:id="30" w:name="四、申请文件"/>
      <w:bookmarkEnd w:id="30"/>
      <w:bookmarkStart w:id="31" w:name="_Toc60221283"/>
      <w:bookmarkStart w:id="32" w:name="_Toc60399676"/>
      <w:r>
        <w:rPr>
          <w:rFonts w:ascii="宋体" w:hAnsi="宋体" w:eastAsia="宋体" w:cs="仿宋"/>
          <w:color w:val="000000" w:themeColor="text1"/>
          <w:sz w:val="28"/>
          <w:szCs w:val="28"/>
        </w:rPr>
        <w:t>四</w:t>
      </w:r>
      <w:r>
        <w:rPr>
          <w:rFonts w:hint="default" w:ascii="宋体" w:hAnsi="宋体" w:eastAsia="宋体" w:cs="仿宋"/>
          <w:color w:val="000000" w:themeColor="text1"/>
          <w:sz w:val="28"/>
          <w:szCs w:val="28"/>
        </w:rPr>
        <w:t>、</w:t>
      </w:r>
      <w:r>
        <w:rPr>
          <w:rFonts w:ascii="宋体" w:hAnsi="宋体" w:eastAsia="宋体" w:cs="仿宋"/>
          <w:color w:val="000000" w:themeColor="text1"/>
          <w:sz w:val="28"/>
          <w:szCs w:val="28"/>
        </w:rPr>
        <w:t>资格预审申请文件的编制</w:t>
      </w:r>
      <w:bookmarkEnd w:id="31"/>
      <w:bookmarkEnd w:id="32"/>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bookmarkStart w:id="33" w:name="9.申请文件的组成"/>
      <w:bookmarkEnd w:id="33"/>
      <w:r>
        <w:rPr>
          <w:rFonts w:ascii="宋体" w:hAnsi="宋体" w:eastAsia="宋体" w:cs="仿宋"/>
          <w:b/>
          <w:color w:val="000000" w:themeColor="text1"/>
          <w:sz w:val="28"/>
          <w:szCs w:val="28"/>
        </w:rPr>
        <w:t>9.申请文件的语言（实质性要求）</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9.1供应商提交的申请文件以及供应商与采购人、采购代理机构就有关资格预审的所有来往书面文件均须使用中文。申请文件中如附有外文资料，必须逐一对应翻译成中文并加盖供应商公章后附在相关外文资料后面，否则，供应商的申请文件将作为无效处理。（说明：供应商的法定代表人为外籍人士的，法定代表人的签字和护照除外。）</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9.2翻译的中文资料与外文资料如果出现差异和矛盾，以中文为准。但不能故意错误翻译，否则，供应商的申请文件将作为无效处理。</w:t>
      </w:r>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10.申请文件格式</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10.1供应商应执行资格预审文件的规定要求。</w:t>
      </w:r>
    </w:p>
    <w:p>
      <w:pPr>
        <w:pStyle w:val="42"/>
        <w:widowControl/>
        <w:tabs>
          <w:tab w:val="left" w:pos="993"/>
        </w:tabs>
        <w:adjustRightInd w:val="0"/>
        <w:snapToGrid w:val="0"/>
        <w:spacing w:line="500" w:lineRule="exact"/>
        <w:ind w:left="420" w:leftChars="200" w:firstLine="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10.2对于没有格式要求的资格预审文件由供应商自行编写。</w:t>
      </w:r>
    </w:p>
    <w:p>
      <w:pPr>
        <w:pStyle w:val="42"/>
        <w:widowControl/>
        <w:tabs>
          <w:tab w:val="left" w:pos="851"/>
        </w:tabs>
        <w:adjustRightInd w:val="0"/>
        <w:snapToGrid w:val="0"/>
        <w:spacing w:line="500" w:lineRule="exact"/>
        <w:ind w:left="420" w:leftChars="200" w:firstLine="0"/>
        <w:jc w:val="both"/>
        <w:rPr>
          <w:rFonts w:hint="default" w:ascii="宋体" w:hAnsi="宋体" w:eastAsia="宋体" w:cs="仿宋"/>
          <w:b/>
          <w:color w:val="000000" w:themeColor="text1"/>
          <w:sz w:val="28"/>
          <w:szCs w:val="28"/>
        </w:rPr>
      </w:pPr>
      <w:r>
        <w:rPr>
          <w:rFonts w:ascii="宋体" w:hAnsi="宋体" w:eastAsia="宋体" w:cs="仿宋"/>
          <w:b/>
          <w:color w:val="000000" w:themeColor="text1"/>
          <w:sz w:val="28"/>
          <w:szCs w:val="28"/>
        </w:rPr>
        <w:t>11.申请文件的编制和签署</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11.1申请文件全部采用电子文档(word或PDF格式文件)。资格预审文件“申请文件格式”中规定的需要供应商签章的内容，供应商应当签章，</w:t>
      </w:r>
    </w:p>
    <w:p>
      <w:pPr>
        <w:pStyle w:val="70"/>
        <w:ind w:firstLine="0" w:firstLineChars="0"/>
        <w:rPr>
          <w:rFonts w:cs="仿宋" w:asciiTheme="minorEastAsia" w:hAnsiTheme="minorEastAsia"/>
          <w:color w:val="000000" w:themeColor="text1"/>
          <w:kern w:val="0"/>
          <w:sz w:val="28"/>
          <w:szCs w:val="28"/>
          <w:lang w:val="zh-CN"/>
        </w:rPr>
      </w:pPr>
      <w:r>
        <w:rPr>
          <w:rFonts w:hint="eastAsia" w:cs="仿宋" w:asciiTheme="minorEastAsia" w:hAnsiTheme="minorEastAsia"/>
          <w:color w:val="000000" w:themeColor="text1"/>
          <w:kern w:val="0"/>
          <w:sz w:val="28"/>
          <w:szCs w:val="28"/>
          <w:lang w:val="zh-CN"/>
        </w:rPr>
        <w:t>存在个别地方（不超过2个）没有法定代表人（负责人）签章，应有有效授权代表签章。</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11.2供应商应于资格预审申请文件截止时间前，登录达州市公共资源交易服务平台将符合本条第一款要求的电子申请文件上传到达州市公共资源交易服务平台电子化系统。</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11.3电子申请文件应根据资格预审文件的要求制作，签署和内容应完整。</w:t>
      </w:r>
    </w:p>
    <w:p>
      <w:pPr>
        <w:pStyle w:val="42"/>
        <w:widowControl/>
        <w:tabs>
          <w:tab w:val="left" w:pos="993"/>
        </w:tabs>
        <w:adjustRightInd w:val="0"/>
        <w:snapToGrid w:val="0"/>
        <w:spacing w:line="500" w:lineRule="exact"/>
        <w:ind w:left="0"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11.4供应商提交的电子申请文件不符合本条第一款要求或无法读取导入，其申请文件视为无效。</w:t>
      </w:r>
    </w:p>
    <w:p>
      <w:pPr>
        <w:pStyle w:val="42"/>
        <w:widowControl/>
        <w:tabs>
          <w:tab w:val="left" w:pos="851"/>
        </w:tabs>
        <w:adjustRightInd w:val="0"/>
        <w:snapToGrid w:val="0"/>
        <w:spacing w:line="500" w:lineRule="exact"/>
        <w:ind w:left="420" w:leftChars="200" w:firstLine="0"/>
        <w:jc w:val="both"/>
        <w:rPr>
          <w:rFonts w:hint="default" w:cs="仿宋" w:asciiTheme="minorEastAsia" w:hAnsiTheme="minorEastAsia" w:eastAsiaTheme="minorEastAsia"/>
          <w:b/>
          <w:color w:val="000000" w:themeColor="text1"/>
          <w:sz w:val="28"/>
          <w:szCs w:val="28"/>
        </w:rPr>
      </w:pPr>
      <w:r>
        <w:rPr>
          <w:rFonts w:cs="仿宋" w:asciiTheme="minorEastAsia" w:hAnsiTheme="minorEastAsia" w:eastAsiaTheme="minorEastAsia"/>
          <w:b/>
          <w:color w:val="000000" w:themeColor="text1"/>
          <w:sz w:val="28"/>
          <w:szCs w:val="28"/>
        </w:rPr>
        <w:t>12.申请文件的递交</w:t>
      </w:r>
    </w:p>
    <w:p>
      <w:pPr>
        <w:pStyle w:val="2"/>
        <w:tabs>
          <w:tab w:val="left" w:pos="567"/>
        </w:tabs>
        <w:adjustRightInd w:val="0"/>
        <w:snapToGrid w:val="0"/>
        <w:spacing w:after="0" w:line="540" w:lineRule="exact"/>
        <w:ind w:firstLine="560" w:firstLineChars="200"/>
        <w:jc w:val="both"/>
        <w:rPr>
          <w:rFonts w:hint="default" w:cs="仿宋" w:asciiTheme="minorEastAsia" w:hAnsiTheme="minorEastAsia" w:eastAsiaTheme="minorEastAsia"/>
          <w:bCs/>
          <w:color w:val="000000" w:themeColor="text1"/>
          <w:sz w:val="28"/>
          <w:szCs w:val="28"/>
        </w:rPr>
      </w:pPr>
      <w:r>
        <w:rPr>
          <w:rFonts w:cs="仿宋" w:asciiTheme="minorEastAsia" w:hAnsiTheme="minorEastAsia" w:eastAsiaTheme="minorEastAsia"/>
          <w:bCs/>
          <w:color w:val="000000" w:themeColor="text1"/>
          <w:sz w:val="28"/>
          <w:szCs w:val="28"/>
        </w:rPr>
        <w:t>12.</w:t>
      </w:r>
      <w:r>
        <w:rPr>
          <w:rFonts w:hint="default" w:cs="仿宋" w:asciiTheme="minorEastAsia" w:hAnsiTheme="minorEastAsia" w:eastAsiaTheme="minorEastAsia"/>
          <w:bCs/>
          <w:color w:val="000000" w:themeColor="text1"/>
          <w:sz w:val="28"/>
          <w:szCs w:val="28"/>
        </w:rPr>
        <w:t>1</w:t>
      </w:r>
      <w:r>
        <w:rPr>
          <w:rFonts w:cs="仿宋" w:asciiTheme="minorEastAsia" w:hAnsiTheme="minorEastAsia" w:eastAsiaTheme="minorEastAsia"/>
          <w:bCs/>
          <w:color w:val="000000" w:themeColor="text1"/>
          <w:sz w:val="28"/>
          <w:szCs w:val="28"/>
        </w:rPr>
        <w:t>供应商必须在提交资格预审申请文件截止时间前，登录达州市公共资源交易服务网（www. dzggzy.cn）,将资格预审申请文件的WORD文档通过“资格预审申请文件提交”模块上传到系统中并采用数字证书对资格预审申请文件进行签名（加签供应商机构数字证书）。未成功向系统上传资格预审申请文件的，视为撤回资格预审申请文件。</w:t>
      </w:r>
    </w:p>
    <w:p>
      <w:pPr>
        <w:pStyle w:val="42"/>
        <w:widowControl/>
        <w:tabs>
          <w:tab w:val="left" w:pos="1441"/>
        </w:tabs>
        <w:adjustRightInd w:val="0"/>
        <w:snapToGrid w:val="0"/>
        <w:spacing w:line="500" w:lineRule="exact"/>
        <w:ind w:left="0" w:firstLine="560" w:firstLineChars="200"/>
        <w:rPr>
          <w:rFonts w:hint="default" w:cs="仿宋" w:asciiTheme="minorEastAsia" w:hAnsiTheme="minorEastAsia" w:eastAsiaTheme="minorEastAsia"/>
          <w:bCs/>
          <w:color w:val="000000" w:themeColor="text1"/>
          <w:sz w:val="28"/>
          <w:szCs w:val="28"/>
        </w:rPr>
      </w:pPr>
      <w:r>
        <w:rPr>
          <w:rFonts w:cs="仿宋" w:asciiTheme="minorEastAsia" w:hAnsiTheme="minorEastAsia" w:eastAsiaTheme="minorEastAsia"/>
          <w:bCs/>
          <w:color w:val="000000" w:themeColor="text1"/>
          <w:sz w:val="28"/>
          <w:szCs w:val="28"/>
        </w:rPr>
        <w:t>12.2本次资格预审不接受其他方式递交的资格预审申请文件。</w:t>
      </w:r>
    </w:p>
    <w:p>
      <w:pPr>
        <w:pStyle w:val="42"/>
        <w:widowControl/>
        <w:tabs>
          <w:tab w:val="left" w:pos="851"/>
        </w:tabs>
        <w:adjustRightInd w:val="0"/>
        <w:snapToGrid w:val="0"/>
        <w:spacing w:line="500" w:lineRule="exact"/>
        <w:ind w:left="420" w:leftChars="200" w:firstLine="0"/>
        <w:jc w:val="both"/>
        <w:rPr>
          <w:rFonts w:hint="default" w:cs="仿宋" w:asciiTheme="minorEastAsia" w:hAnsiTheme="minorEastAsia" w:eastAsiaTheme="minorEastAsia"/>
          <w:b/>
          <w:color w:val="000000" w:themeColor="text1"/>
          <w:sz w:val="28"/>
          <w:szCs w:val="28"/>
        </w:rPr>
      </w:pPr>
      <w:r>
        <w:rPr>
          <w:rFonts w:cs="仿宋" w:asciiTheme="minorEastAsia" w:hAnsiTheme="minorEastAsia" w:eastAsiaTheme="minorEastAsia"/>
          <w:b/>
          <w:color w:val="000000" w:themeColor="text1"/>
          <w:sz w:val="28"/>
          <w:szCs w:val="28"/>
        </w:rPr>
        <w:t>13.申请文件的修改和撤回</w:t>
      </w:r>
    </w:p>
    <w:p>
      <w:pPr>
        <w:pStyle w:val="42"/>
        <w:widowControl/>
        <w:tabs>
          <w:tab w:val="left" w:pos="993"/>
        </w:tabs>
        <w:adjustRightInd w:val="0"/>
        <w:snapToGrid w:val="0"/>
        <w:spacing w:line="500" w:lineRule="exact"/>
        <w:ind w:left="0" w:firstLine="556" w:firstLineChars="200"/>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13.</w:t>
      </w:r>
      <w:r>
        <w:rPr>
          <w:rFonts w:hint="default" w:cs="仿宋" w:asciiTheme="minorEastAsia" w:hAnsiTheme="minorEastAsia" w:eastAsiaTheme="minorEastAsia"/>
          <w:color w:val="000000" w:themeColor="text1"/>
          <w:spacing w:val="-1"/>
          <w:sz w:val="28"/>
          <w:szCs w:val="28"/>
        </w:rPr>
        <w:t>1</w:t>
      </w:r>
      <w:r>
        <w:rPr>
          <w:rFonts w:cs="仿宋" w:asciiTheme="minorEastAsia" w:hAnsiTheme="minorEastAsia" w:eastAsiaTheme="minorEastAsia"/>
          <w:color w:val="000000" w:themeColor="text1"/>
          <w:spacing w:val="-1"/>
          <w:sz w:val="28"/>
          <w:szCs w:val="28"/>
        </w:rPr>
        <w:t>供应商在上传资格预审申请文件后，可以修改其资格预审申请文件，但必须在规定的</w:t>
      </w:r>
      <w:r>
        <w:rPr>
          <w:rFonts w:cs="仿宋" w:asciiTheme="minorEastAsia" w:hAnsiTheme="minorEastAsia" w:eastAsiaTheme="minorEastAsia"/>
          <w:color w:val="000000" w:themeColor="text1"/>
          <w:sz w:val="28"/>
          <w:szCs w:val="28"/>
        </w:rPr>
        <w:t>资格预审申请文件</w:t>
      </w:r>
      <w:r>
        <w:rPr>
          <w:rFonts w:cs="仿宋" w:asciiTheme="minorEastAsia" w:hAnsiTheme="minorEastAsia" w:eastAsiaTheme="minorEastAsia"/>
          <w:color w:val="000000" w:themeColor="text1"/>
          <w:spacing w:val="-1"/>
          <w:sz w:val="28"/>
          <w:szCs w:val="28"/>
        </w:rPr>
        <w:t>截止时间前，重新将其修改后的资格预审申请文件</w:t>
      </w:r>
      <w:r>
        <w:rPr>
          <w:rFonts w:cs="仿宋" w:asciiTheme="minorEastAsia" w:hAnsiTheme="minorEastAsia" w:eastAsiaTheme="minorEastAsia"/>
          <w:bCs/>
          <w:color w:val="000000" w:themeColor="text1"/>
          <w:sz w:val="28"/>
          <w:szCs w:val="28"/>
        </w:rPr>
        <w:t>通过“资格预审申请文件提交”模块上传到系统中并采用数字证书对资格预审申请文件进行签名（加签供应商机构数字证书）。未成功向系统上传资格预审申请文件的，视为撤回资格预审申请文件</w:t>
      </w:r>
      <w:r>
        <w:rPr>
          <w:rFonts w:cs="仿宋" w:asciiTheme="minorEastAsia" w:hAnsiTheme="minorEastAsia" w:eastAsiaTheme="minorEastAsia"/>
          <w:color w:val="000000" w:themeColor="text1"/>
          <w:spacing w:val="-1"/>
          <w:sz w:val="28"/>
          <w:szCs w:val="28"/>
        </w:rPr>
        <w:t>。</w:t>
      </w:r>
    </w:p>
    <w:p>
      <w:pPr>
        <w:pStyle w:val="42"/>
        <w:widowControl/>
        <w:tabs>
          <w:tab w:val="left" w:pos="993"/>
        </w:tabs>
        <w:adjustRightInd w:val="0"/>
        <w:snapToGrid w:val="0"/>
        <w:spacing w:line="50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13.</w:t>
      </w:r>
      <w:r>
        <w:rPr>
          <w:rFonts w:hint="default" w:cs="仿宋" w:asciiTheme="minorEastAsia" w:hAnsiTheme="minorEastAsia" w:eastAsiaTheme="minorEastAsia"/>
          <w:color w:val="000000" w:themeColor="text1"/>
          <w:spacing w:val="-1"/>
          <w:sz w:val="28"/>
          <w:szCs w:val="28"/>
        </w:rPr>
        <w:t>2</w:t>
      </w:r>
      <w:r>
        <w:rPr>
          <w:rFonts w:cs="仿宋" w:asciiTheme="minorEastAsia" w:hAnsiTheme="minorEastAsia" w:eastAsiaTheme="minorEastAsia"/>
          <w:color w:val="000000" w:themeColor="text1"/>
          <w:spacing w:val="-1"/>
          <w:sz w:val="28"/>
          <w:szCs w:val="28"/>
        </w:rPr>
        <w:t>在</w:t>
      </w:r>
      <w:r>
        <w:rPr>
          <w:rFonts w:cs="仿宋" w:asciiTheme="minorEastAsia" w:hAnsiTheme="minorEastAsia" w:eastAsiaTheme="minorEastAsia"/>
          <w:color w:val="000000" w:themeColor="text1"/>
          <w:sz w:val="28"/>
          <w:szCs w:val="28"/>
        </w:rPr>
        <w:t>资格预审申请文件</w:t>
      </w:r>
      <w:r>
        <w:rPr>
          <w:rFonts w:cs="仿宋" w:asciiTheme="minorEastAsia" w:hAnsiTheme="minorEastAsia" w:eastAsiaTheme="minorEastAsia"/>
          <w:color w:val="000000" w:themeColor="text1"/>
          <w:spacing w:val="-1"/>
          <w:sz w:val="28"/>
          <w:szCs w:val="28"/>
        </w:rPr>
        <w:t>截止时间之后，供应商不得对其递交的资格预审申请文件做任何修改或撤回。</w:t>
      </w: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34" w:name="五、评审"/>
      <w:bookmarkEnd w:id="34"/>
      <w:bookmarkStart w:id="35" w:name="_Toc60221284"/>
      <w:bookmarkStart w:id="36" w:name="_Toc60399677"/>
      <w:r>
        <w:rPr>
          <w:rFonts w:ascii="黑体" w:hAnsi="黑体" w:eastAsia="黑体" w:cs="仿宋"/>
          <w:b w:val="0"/>
          <w:color w:val="000000" w:themeColor="text1"/>
          <w:sz w:val="28"/>
          <w:szCs w:val="28"/>
        </w:rPr>
        <w:t>五</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资格预审申请文件的审查</w:t>
      </w:r>
      <w:bookmarkEnd w:id="35"/>
      <w:bookmarkEnd w:id="36"/>
    </w:p>
    <w:p>
      <w:pPr>
        <w:pStyle w:val="42"/>
        <w:widowControl/>
        <w:tabs>
          <w:tab w:val="left" w:pos="851"/>
        </w:tabs>
        <w:adjustRightInd w:val="0"/>
        <w:snapToGrid w:val="0"/>
        <w:spacing w:line="500" w:lineRule="exact"/>
        <w:ind w:left="0" w:firstLine="560" w:firstLineChars="200"/>
        <w:rPr>
          <w:rFonts w:hint="default" w:ascii="宋体" w:hAnsi="宋体" w:eastAsia="宋体" w:cs="仿宋"/>
          <w:bCs/>
          <w:color w:val="000000" w:themeColor="text1"/>
          <w:sz w:val="28"/>
          <w:szCs w:val="28"/>
        </w:rPr>
      </w:pPr>
      <w:bookmarkStart w:id="37" w:name="16.资格预审评审小组的组建及其评审工作按照第六章规定进行。"/>
      <w:bookmarkEnd w:id="37"/>
      <w:r>
        <w:rPr>
          <w:rFonts w:ascii="宋体" w:hAnsi="宋体" w:eastAsia="宋体" w:cs="仿宋"/>
          <w:bCs/>
          <w:color w:val="000000" w:themeColor="text1"/>
          <w:sz w:val="28"/>
          <w:szCs w:val="28"/>
        </w:rPr>
        <w:t>14.资格预审评审小组的组建及其审查工作按照第三章规定进行。</w:t>
      </w:r>
    </w:p>
    <w:p>
      <w:pPr>
        <w:pStyle w:val="42"/>
        <w:widowControl/>
        <w:tabs>
          <w:tab w:val="left" w:pos="851"/>
        </w:tabs>
        <w:adjustRightInd w:val="0"/>
        <w:snapToGrid w:val="0"/>
        <w:spacing w:line="500" w:lineRule="exact"/>
        <w:ind w:left="0" w:firstLine="200"/>
        <w:rPr>
          <w:rFonts w:hint="default" w:ascii="宋体" w:hAnsi="宋体" w:eastAsia="宋体" w:cs="仿宋"/>
          <w:bCs/>
          <w:color w:val="000000" w:themeColor="text1"/>
          <w:sz w:val="28"/>
          <w:szCs w:val="28"/>
        </w:rPr>
      </w:pPr>
    </w:p>
    <w:p>
      <w:pPr>
        <w:pStyle w:val="4"/>
        <w:widowControl/>
        <w:numPr>
          <w:ilvl w:val="0"/>
          <w:numId w:val="4"/>
        </w:numPr>
        <w:adjustRightInd w:val="0"/>
        <w:snapToGrid w:val="0"/>
        <w:spacing w:before="0" w:line="360" w:lineRule="auto"/>
        <w:rPr>
          <w:rFonts w:hint="default" w:ascii="黑体" w:hAnsi="黑体" w:eastAsia="黑体" w:cs="仿宋"/>
          <w:b w:val="0"/>
          <w:color w:val="000000" w:themeColor="text1"/>
          <w:sz w:val="28"/>
          <w:szCs w:val="28"/>
        </w:rPr>
      </w:pPr>
      <w:bookmarkStart w:id="38" w:name="六、资格预审纪律要求"/>
      <w:bookmarkEnd w:id="38"/>
      <w:bookmarkStart w:id="39" w:name="_Toc60399678"/>
      <w:bookmarkStart w:id="40" w:name="_Toc60221285"/>
      <w:r>
        <w:rPr>
          <w:rFonts w:ascii="黑体" w:hAnsi="黑体" w:eastAsia="黑体" w:cs="仿宋"/>
          <w:b w:val="0"/>
          <w:color w:val="000000" w:themeColor="text1"/>
          <w:sz w:val="28"/>
          <w:szCs w:val="28"/>
        </w:rPr>
        <w:t>资格预审结果</w:t>
      </w:r>
      <w:bookmarkEnd w:id="39"/>
      <w:bookmarkEnd w:id="40"/>
    </w:p>
    <w:p>
      <w:pPr>
        <w:pStyle w:val="42"/>
        <w:widowControl/>
        <w:tabs>
          <w:tab w:val="left" w:pos="993"/>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15.对资格预审供应商的资格审查完毕后，通过达州市公共资源交易服务平台自动向资格预审供应商推送资格预审结果，同时以手机短信方式告知（供应商报名时应预留畅通</w:t>
      </w:r>
      <w:r>
        <w:rPr>
          <w:rFonts w:cs="仿宋"/>
          <w:color w:val="000000" w:themeColor="text1"/>
          <w:sz w:val="28"/>
          <w:szCs w:val="28"/>
        </w:rPr>
        <w:t>的</w:t>
      </w:r>
      <w:r>
        <w:rPr>
          <w:rFonts w:ascii="宋体" w:hAnsi="宋体" w:eastAsia="宋体" w:cs="仿宋"/>
          <w:color w:val="000000" w:themeColor="text1"/>
          <w:sz w:val="28"/>
          <w:szCs w:val="28"/>
        </w:rPr>
        <w:t>授权代表手机号码），以</w:t>
      </w:r>
      <w:r>
        <w:rPr>
          <w:rFonts w:ascii="宋体" w:hAnsi="宋体" w:eastAsia="宋体" w:cs="仿宋"/>
          <w:color w:val="000000" w:themeColor="text1"/>
          <w:sz w:val="28"/>
          <w:szCs w:val="28"/>
          <w:lang w:val="zh-CN"/>
        </w:rPr>
        <w:t>达州市公共资源交易服务平台</w:t>
      </w:r>
      <w:r>
        <w:rPr>
          <w:rFonts w:ascii="宋体" w:hAnsi="宋体" w:eastAsia="宋体" w:cs="仿宋"/>
          <w:color w:val="000000" w:themeColor="text1"/>
          <w:sz w:val="28"/>
          <w:szCs w:val="28"/>
        </w:rPr>
        <w:t>自动推送的时间及内容为准。供应商登录达州市公共资源交易服务平台自行查看资格预审结果。</w:t>
      </w: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41" w:name="_Toc60221286"/>
      <w:bookmarkStart w:id="42" w:name="_Toc60399679"/>
      <w:r>
        <w:rPr>
          <w:rFonts w:ascii="黑体" w:hAnsi="黑体" w:eastAsia="黑体" w:cs="仿宋"/>
          <w:b w:val="0"/>
          <w:color w:val="000000" w:themeColor="text1"/>
          <w:sz w:val="28"/>
          <w:szCs w:val="28"/>
        </w:rPr>
        <w:t>七、资格预审纪律要求</w:t>
      </w:r>
      <w:bookmarkEnd w:id="41"/>
      <w:bookmarkEnd w:id="42"/>
    </w:p>
    <w:p>
      <w:pPr>
        <w:pStyle w:val="42"/>
        <w:widowControl/>
        <w:tabs>
          <w:tab w:val="left" w:pos="993"/>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16.供应商参加本项目资格预审不得有下列情形：</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（1）提供虚假材料谋取成交；</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（2）采取不正当手段诋毁、排挤其他供应商；</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（3）与采购人、采购代理机构、或其他供应商恶意串通；</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（4）向采购人、采购代理机构、资格预审小组成员行贿或者提供其他不正当利益；</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（5）在资格预审过程中与采购人、采购代理机构进行协商；</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（6）拒绝有关部门的监督检查或者向监督检查部门提供虚假情况；</w:t>
      </w:r>
    </w:p>
    <w:p>
      <w:pPr>
        <w:pStyle w:val="42"/>
        <w:widowControl/>
        <w:tabs>
          <w:tab w:val="left" w:pos="1134"/>
        </w:tabs>
        <w:adjustRightInd w:val="0"/>
        <w:snapToGrid w:val="0"/>
        <w:spacing w:line="500" w:lineRule="exact"/>
        <w:ind w:left="0"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（7）法律法规规定的其他情形。</w:t>
      </w:r>
    </w:p>
    <w:p>
      <w:pPr>
        <w:pStyle w:val="2"/>
        <w:widowControl/>
        <w:tabs>
          <w:tab w:val="left" w:pos="1134"/>
        </w:tabs>
        <w:adjustRightInd w:val="0"/>
        <w:snapToGrid w:val="0"/>
        <w:spacing w:after="0" w:line="50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供应商有上述情形的，按照规定追究法律责任，具备（1）-（7）条情形之一的，同时将取消被确认为资格预审合格的资格。</w:t>
      </w:r>
    </w:p>
    <w:p>
      <w:pPr>
        <w:ind w:firstLine="200"/>
        <w:rPr>
          <w:color w:val="000000" w:themeColor="text1"/>
        </w:rPr>
      </w:pP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43" w:name="八、询问、质疑和投诉"/>
      <w:bookmarkEnd w:id="43"/>
      <w:bookmarkStart w:id="44" w:name="_Toc60399680"/>
      <w:bookmarkStart w:id="45" w:name="_Toc60221287"/>
      <w:r>
        <w:rPr>
          <w:rFonts w:ascii="黑体" w:hAnsi="黑体" w:eastAsia="黑体" w:cs="仿宋"/>
          <w:b w:val="0"/>
          <w:color w:val="000000" w:themeColor="text1"/>
          <w:sz w:val="28"/>
          <w:szCs w:val="28"/>
        </w:rPr>
        <w:t>八</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询问、质疑和投诉</w:t>
      </w:r>
      <w:bookmarkEnd w:id="44"/>
      <w:bookmarkEnd w:id="45"/>
    </w:p>
    <w:p>
      <w:pPr>
        <w:pStyle w:val="2"/>
        <w:widowControl/>
        <w:adjustRightInd w:val="0"/>
        <w:snapToGrid w:val="0"/>
        <w:spacing w:after="0" w:line="500" w:lineRule="exact"/>
        <w:ind w:firstLine="560" w:firstLineChars="200"/>
        <w:jc w:val="both"/>
        <w:rPr>
          <w:rFonts w:hint="default" w:ascii="宋体" w:hAnsi="宋体" w:eastAsia="宋体" w:cs="仿宋"/>
          <w:color w:val="000000" w:themeColor="text1"/>
          <w:sz w:val="28"/>
          <w:szCs w:val="28"/>
        </w:rPr>
      </w:pPr>
      <w:r>
        <w:rPr>
          <w:rFonts w:ascii="宋体" w:hAnsi="宋体" w:eastAsia="宋体" w:cs="仿宋"/>
          <w:color w:val="000000" w:themeColor="text1"/>
          <w:sz w:val="28"/>
          <w:szCs w:val="28"/>
        </w:rPr>
        <w:t>17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ind w:firstLine="200"/>
        <w:rPr>
          <w:color w:val="000000" w:themeColor="text1"/>
        </w:rPr>
      </w:pPr>
    </w:p>
    <w:p>
      <w:pPr>
        <w:pStyle w:val="4"/>
        <w:widowControl/>
        <w:adjustRightInd w:val="0"/>
        <w:snapToGrid w:val="0"/>
        <w:spacing w:before="0" w:line="360" w:lineRule="auto"/>
        <w:rPr>
          <w:rFonts w:hint="default" w:ascii="黑体" w:hAnsi="黑体" w:eastAsia="黑体" w:cs="仿宋"/>
          <w:b w:val="0"/>
          <w:color w:val="000000" w:themeColor="text1"/>
          <w:sz w:val="28"/>
          <w:szCs w:val="28"/>
        </w:rPr>
      </w:pPr>
      <w:bookmarkStart w:id="46" w:name="九、其__他"/>
      <w:bookmarkEnd w:id="46"/>
      <w:bookmarkStart w:id="47" w:name="第三章_申请人资格条件要求及其他类似效力要求"/>
      <w:bookmarkEnd w:id="47"/>
      <w:bookmarkStart w:id="48" w:name="_Toc60221288"/>
      <w:bookmarkStart w:id="49" w:name="_Toc60399681"/>
      <w:r>
        <w:rPr>
          <w:rFonts w:ascii="黑体" w:hAnsi="黑体" w:eastAsia="黑体" w:cs="仿宋"/>
          <w:b w:val="0"/>
          <w:color w:val="000000" w:themeColor="text1"/>
          <w:sz w:val="28"/>
          <w:szCs w:val="28"/>
        </w:rPr>
        <w:t>九</w:t>
      </w:r>
      <w:r>
        <w:rPr>
          <w:rFonts w:hint="default" w:ascii="黑体" w:hAnsi="黑体" w:eastAsia="黑体" w:cs="仿宋"/>
          <w:b w:val="0"/>
          <w:color w:val="000000" w:themeColor="text1"/>
          <w:sz w:val="28"/>
          <w:szCs w:val="28"/>
        </w:rPr>
        <w:t>、</w:t>
      </w:r>
      <w:r>
        <w:rPr>
          <w:rFonts w:ascii="黑体" w:hAnsi="黑体" w:eastAsia="黑体" w:cs="仿宋"/>
          <w:b w:val="0"/>
          <w:color w:val="000000" w:themeColor="text1"/>
          <w:sz w:val="28"/>
          <w:szCs w:val="28"/>
        </w:rPr>
        <w:t>其  他</w:t>
      </w:r>
      <w:bookmarkEnd w:id="48"/>
      <w:bookmarkEnd w:id="49"/>
    </w:p>
    <w:p>
      <w:pPr>
        <w:pStyle w:val="2"/>
        <w:widowControl/>
        <w:adjustRightInd w:val="0"/>
        <w:snapToGrid w:val="0"/>
        <w:spacing w:after="0" w:line="500" w:lineRule="exact"/>
        <w:ind w:firstLine="560" w:firstLineChars="200"/>
        <w:jc w:val="both"/>
        <w:rPr>
          <w:rFonts w:hint="default" w:ascii="宋体" w:hAnsi="宋体" w:eastAsia="宋体" w:cs="仿宋"/>
          <w:color w:val="000000" w:themeColor="text1"/>
          <w:sz w:val="28"/>
          <w:szCs w:val="28"/>
        </w:rPr>
        <w:sectPr>
          <w:footerReference r:id="rId4" w:type="first"/>
          <w:footerReference r:id="rId3" w:type="default"/>
          <w:pgSz w:w="11907" w:h="16840"/>
          <w:pgMar w:top="1474" w:right="1418" w:bottom="1247" w:left="1418" w:header="851" w:footer="851" w:gutter="0"/>
          <w:pgNumType w:start="0"/>
          <w:cols w:space="425" w:num="1"/>
          <w:titlePg/>
          <w:docGrid w:type="linesAndChars" w:linePitch="312" w:charSpace="0"/>
        </w:sectPr>
      </w:pPr>
      <w:r>
        <w:rPr>
          <w:rFonts w:ascii="宋体" w:hAnsi="宋体" w:eastAsia="宋体" w:cs="仿宋"/>
          <w:color w:val="000000" w:themeColor="text1"/>
          <w:sz w:val="28"/>
          <w:szCs w:val="28"/>
        </w:rPr>
        <w:t>18.本资格预审文件中所引相关法律制度规定，在政府采购中有变化的，按照变化后的相关法律制度规定执行。本章规定的内容条款，在本项目递交资格预审申请文件截止时间届满后，因相关法律制度规定的变化导致不符合相关法律制度规定的，直接按照变化后的相关法律制度规定执行，本资格预审文件不再做调整。</w:t>
      </w:r>
    </w:p>
    <w:p>
      <w:pPr>
        <w:pStyle w:val="42"/>
        <w:tabs>
          <w:tab w:val="left" w:pos="1161"/>
        </w:tabs>
        <w:adjustRightInd w:val="0"/>
        <w:snapToGrid w:val="0"/>
        <w:spacing w:line="540" w:lineRule="exact"/>
        <w:ind w:left="0" w:firstLine="0"/>
        <w:jc w:val="both"/>
        <w:rPr>
          <w:rFonts w:hint="default" w:cs="仿宋" w:asciiTheme="minorEastAsia" w:hAnsiTheme="minorEastAsia" w:eastAsiaTheme="minorEastAsia"/>
          <w:color w:val="000000" w:themeColor="text1"/>
          <w:spacing w:val="-1"/>
          <w:sz w:val="28"/>
          <w:szCs w:val="28"/>
        </w:rPr>
      </w:pPr>
      <w:bookmarkStart w:id="50" w:name="一、总则"/>
      <w:bookmarkEnd w:id="50"/>
      <w:bookmarkStart w:id="51" w:name="_bookmark1"/>
      <w:bookmarkEnd w:id="51"/>
      <w:bookmarkStart w:id="52" w:name="三、资格预审审核标准"/>
      <w:bookmarkEnd w:id="52"/>
      <w:bookmarkStart w:id="53" w:name="_Toc1361"/>
      <w:bookmarkStart w:id="54" w:name="_Toc44342855"/>
    </w:p>
    <w:p>
      <w:pPr>
        <w:spacing w:line="440" w:lineRule="exact"/>
        <w:ind w:firstLine="560" w:firstLineChars="200"/>
        <w:rPr>
          <w:rFonts w:ascii="黑体" w:hAnsi="黑体" w:eastAsia="黑体" w:cs="Times New Roman"/>
          <w:color w:val="000000" w:themeColor="text1"/>
          <w:kern w:val="44"/>
          <w:sz w:val="36"/>
          <w:szCs w:val="36"/>
        </w:rPr>
      </w:pPr>
      <w:bookmarkStart w:id="55" w:name="_Toc60399685"/>
      <w:r>
        <w:rPr>
          <w:rFonts w:hint="eastAsia" w:ascii="黑体" w:hAnsi="黑体" w:eastAsia="黑体" w:cs="仿宋"/>
          <w:color w:val="000000" w:themeColor="text1"/>
          <w:sz w:val="28"/>
          <w:szCs w:val="28"/>
        </w:rPr>
        <w:t>第三章</w:t>
      </w:r>
      <w:bookmarkEnd w:id="53"/>
      <w:bookmarkEnd w:id="54"/>
      <w:bookmarkEnd w:id="55"/>
      <w:r>
        <w:rPr>
          <w:rFonts w:hint="eastAsia" w:ascii="黑体" w:hAnsi="黑体" w:eastAsia="黑体" w:cs="仿宋"/>
          <w:color w:val="000000" w:themeColor="text1"/>
          <w:sz w:val="28"/>
          <w:szCs w:val="28"/>
        </w:rPr>
        <w:t xml:space="preserve">   </w:t>
      </w:r>
      <w:r>
        <w:rPr>
          <w:rFonts w:hint="eastAsia" w:ascii="黑体" w:hAnsi="黑体" w:eastAsia="黑体" w:cs="Times New Roman"/>
          <w:color w:val="000000" w:themeColor="text1"/>
          <w:kern w:val="44"/>
          <w:sz w:val="36"/>
          <w:szCs w:val="36"/>
          <w:highlight w:val="white"/>
        </w:rPr>
        <w:t>供应商资格资质性及其他类似效力要求与应提供的相关证明材料</w:t>
      </w:r>
      <w:r>
        <w:rPr>
          <w:rFonts w:hint="eastAsia" w:hAnsi="宋体"/>
          <w:b/>
          <w:bCs/>
          <w:color w:val="000000" w:themeColor="text1"/>
          <w:sz w:val="24"/>
        </w:rPr>
        <w:t>（实质性要求）</w:t>
      </w:r>
    </w:p>
    <w:p>
      <w:pPr>
        <w:rPr>
          <w:rFonts w:ascii="Calibri" w:hAnsi="Calibri" w:eastAsia="宋体" w:cs="Times New Roman"/>
          <w:color w:val="000000" w:themeColor="text1"/>
          <w:szCs w:val="22"/>
          <w:highlight w:val="red"/>
        </w:rPr>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498"/>
        <w:gridCol w:w="1582"/>
        <w:gridCol w:w="1854"/>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pStyle w:val="65"/>
              <w:spacing w:line="56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序号</w:t>
            </w:r>
          </w:p>
        </w:tc>
        <w:tc>
          <w:tcPr>
            <w:tcW w:w="2132" w:type="pct"/>
            <w:gridSpan w:val="3"/>
            <w:vAlign w:val="center"/>
          </w:tcPr>
          <w:p>
            <w:pPr>
              <w:pStyle w:val="65"/>
              <w:spacing w:line="560" w:lineRule="exact"/>
              <w:ind w:firstLine="0"/>
              <w:jc w:val="center"/>
              <w:rPr>
                <w:rFonts w:ascii="仿宋" w:hAnsi="仿宋" w:eastAsia="仿宋"/>
                <w:color w:val="000000" w:themeColor="text1"/>
                <w:sz w:val="28"/>
                <w:szCs w:val="28"/>
              </w:rPr>
            </w:pPr>
            <w:r>
              <w:rPr>
                <w:rFonts w:hint="eastAsia" w:ascii="仿宋" w:hAnsi="仿宋" w:eastAsia="仿宋"/>
                <w:b/>
                <w:color w:val="000000" w:themeColor="text1"/>
                <w:sz w:val="28"/>
                <w:szCs w:val="28"/>
              </w:rPr>
              <w:t>供应商资格资质性及其他类似效力要求</w:t>
            </w:r>
          </w:p>
        </w:tc>
        <w:tc>
          <w:tcPr>
            <w:tcW w:w="2502" w:type="pct"/>
            <w:vAlign w:val="center"/>
          </w:tcPr>
          <w:p>
            <w:pPr>
              <w:pStyle w:val="65"/>
              <w:spacing w:line="560" w:lineRule="exact"/>
              <w:ind w:firstLine="0"/>
              <w:jc w:val="center"/>
              <w:rPr>
                <w:rFonts w:ascii="仿宋" w:hAnsi="仿宋" w:eastAsia="仿宋"/>
                <w:color w:val="000000" w:themeColor="text1"/>
                <w:sz w:val="28"/>
                <w:szCs w:val="28"/>
              </w:rPr>
            </w:pPr>
            <w:r>
              <w:rPr>
                <w:rFonts w:hint="eastAsia" w:ascii="仿宋" w:hAnsi="仿宋" w:eastAsia="仿宋"/>
                <w:b/>
                <w:color w:val="000000" w:themeColor="text1"/>
                <w:sz w:val="28"/>
                <w:szCs w:val="28"/>
              </w:rPr>
              <w:t>要求提供的相关证明材料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65" w:type="pct"/>
            <w:vMerge w:val="restart"/>
            <w:vAlign w:val="center"/>
          </w:tcPr>
          <w:p>
            <w:pPr>
              <w:pStyle w:val="65"/>
              <w:spacing w:line="56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pacing w:val="-20"/>
                <w:sz w:val="28"/>
                <w:szCs w:val="28"/>
              </w:rPr>
              <w:t>一</w:t>
            </w:r>
            <w:r>
              <w:rPr>
                <w:rFonts w:hint="eastAsia" w:ascii="仿宋" w:hAnsi="仿宋" w:eastAsia="仿宋"/>
                <w:b/>
                <w:color w:val="000000" w:themeColor="text1"/>
                <w:sz w:val="28"/>
                <w:szCs w:val="28"/>
              </w:rPr>
              <w:t>、</w:t>
            </w:r>
          </w:p>
          <w:p>
            <w:pPr>
              <w:pStyle w:val="65"/>
              <w:spacing w:line="560" w:lineRule="exact"/>
              <w:ind w:firstLine="0"/>
              <w:jc w:val="center"/>
              <w:rPr>
                <w:rFonts w:ascii="仿宋" w:hAnsi="仿宋" w:eastAsia="仿宋"/>
                <w:b/>
                <w:color w:val="000000" w:themeColor="text1"/>
                <w:sz w:val="28"/>
                <w:szCs w:val="28"/>
              </w:rPr>
            </w:pPr>
          </w:p>
          <w:p>
            <w:pPr>
              <w:pStyle w:val="65"/>
              <w:spacing w:line="560" w:lineRule="exact"/>
              <w:ind w:firstLine="0"/>
              <w:jc w:val="center"/>
              <w:rPr>
                <w:rFonts w:ascii="仿宋" w:hAnsi="仿宋" w:eastAsia="仿宋"/>
                <w:b/>
                <w:color w:val="000000" w:themeColor="text1"/>
                <w:sz w:val="28"/>
                <w:szCs w:val="28"/>
              </w:rPr>
            </w:pPr>
          </w:p>
        </w:tc>
        <w:tc>
          <w:tcPr>
            <w:tcW w:w="246" w:type="pct"/>
            <w:vMerge w:val="restart"/>
            <w:vAlign w:val="center"/>
          </w:tcPr>
          <w:p>
            <w:pPr>
              <w:pStyle w:val="65"/>
              <w:spacing w:line="56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资</w:t>
            </w:r>
          </w:p>
          <w:p>
            <w:pPr>
              <w:pStyle w:val="65"/>
              <w:spacing w:line="56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格</w:t>
            </w:r>
          </w:p>
          <w:p>
            <w:pPr>
              <w:pStyle w:val="65"/>
              <w:spacing w:line="560" w:lineRule="exact"/>
              <w:ind w:firstLine="0"/>
              <w:jc w:val="center"/>
              <w:rPr>
                <w:rFonts w:ascii="仿宋" w:hAnsi="仿宋" w:eastAsia="仿宋"/>
                <w:b/>
                <w:color w:val="000000" w:themeColor="text1"/>
                <w:sz w:val="28"/>
                <w:szCs w:val="28"/>
              </w:rPr>
            </w:pPr>
            <w:r>
              <w:rPr>
                <w:rFonts w:hint="eastAsia" w:ascii="仿宋" w:hAnsi="仿宋" w:eastAsia="仿宋"/>
                <w:b/>
                <w:color w:val="000000" w:themeColor="text1"/>
                <w:sz w:val="28"/>
                <w:szCs w:val="28"/>
              </w:rPr>
              <w:t>要</w:t>
            </w:r>
          </w:p>
          <w:p>
            <w:pPr>
              <w:pStyle w:val="65"/>
              <w:spacing w:line="560" w:lineRule="exact"/>
              <w:ind w:firstLine="0"/>
              <w:jc w:val="center"/>
              <w:rPr>
                <w:rFonts w:ascii="仿宋" w:hAnsi="仿宋" w:eastAsia="仿宋"/>
                <w:color w:val="000000" w:themeColor="text1"/>
                <w:sz w:val="28"/>
                <w:szCs w:val="28"/>
              </w:rPr>
            </w:pPr>
            <w:r>
              <w:rPr>
                <w:rFonts w:hint="eastAsia" w:ascii="仿宋" w:hAnsi="仿宋" w:eastAsia="仿宋"/>
                <w:b/>
                <w:color w:val="000000" w:themeColor="text1"/>
                <w:sz w:val="28"/>
                <w:szCs w:val="28"/>
              </w:rPr>
              <w:t>求</w:t>
            </w:r>
          </w:p>
        </w:tc>
        <w:tc>
          <w:tcPr>
            <w:tcW w:w="1886" w:type="pct"/>
            <w:gridSpan w:val="2"/>
            <w:tcBorders>
              <w:bottom w:val="single" w:color="auto" w:sz="4" w:space="0"/>
            </w:tcBorders>
            <w:vAlign w:val="center"/>
          </w:tcPr>
          <w:p>
            <w:pPr>
              <w:pStyle w:val="66"/>
              <w:tabs>
                <w:tab w:val="left" w:pos="7665"/>
              </w:tabs>
              <w:spacing w:line="560" w:lineRule="exact"/>
              <w:rPr>
                <w:rFonts w:ascii="仿宋" w:hAnsi="仿宋" w:eastAsia="仿宋"/>
                <w:color w:val="000000" w:themeColor="text1"/>
                <w:sz w:val="28"/>
                <w:szCs w:val="28"/>
              </w:rPr>
            </w:pPr>
            <w:r>
              <w:rPr>
                <w:rFonts w:hint="eastAsia" w:ascii="仿宋" w:hAnsi="仿宋" w:eastAsia="仿宋"/>
                <w:color w:val="000000" w:themeColor="text1"/>
                <w:sz w:val="28"/>
                <w:szCs w:val="28"/>
              </w:rPr>
              <w:t>1、具有独立承担民事责任的能力</w:t>
            </w:r>
          </w:p>
        </w:tc>
        <w:tc>
          <w:tcPr>
            <w:tcW w:w="2502" w:type="pct"/>
            <w:tcBorders>
              <w:bottom w:val="single" w:color="auto" w:sz="4" w:space="0"/>
            </w:tcBorders>
          </w:tcPr>
          <w:p>
            <w:pPr>
              <w:pStyle w:val="66"/>
              <w:spacing w:line="56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（1）供应商为企业（包括合伙企业）、个体工商户的，提供工商营业执照、税务登记和组织机构代码证或提供由工商行政管理部门核发的法人和其他组织统一社会信用代码的营业执照（原件扫描件）；</w:t>
            </w:r>
          </w:p>
          <w:p>
            <w:pPr>
              <w:pStyle w:val="66"/>
              <w:spacing w:line="56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（2）供应商属于企业分支机构的，提供企业分支机构营业执照、税务登记和组织机构代码证或统一社会信用代码的营业执照（原件扫描件）；</w:t>
            </w:r>
          </w:p>
          <w:p>
            <w:pPr>
              <w:pStyle w:val="66"/>
              <w:spacing w:line="56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（3）供应商为其他组织的，提供合法的法人证书或执业许可证等证明文件（原件扫描件）；</w:t>
            </w:r>
          </w:p>
          <w:p>
            <w:pPr>
              <w:pStyle w:val="67"/>
              <w:spacing w:line="560" w:lineRule="exact"/>
              <w:ind w:firstLine="560"/>
              <w:rPr>
                <w:rFonts w:ascii="仿宋" w:hAnsi="仿宋" w:eastAsia="仿宋"/>
                <w:color w:val="000000" w:themeColor="text1"/>
                <w:sz w:val="28"/>
                <w:szCs w:val="28"/>
              </w:rPr>
            </w:pPr>
            <w:r>
              <w:rPr>
                <w:rFonts w:hint="eastAsia" w:ascii="仿宋" w:hAnsi="仿宋" w:eastAsia="仿宋"/>
                <w:color w:val="000000" w:themeColor="text1"/>
                <w:sz w:val="28"/>
                <w:szCs w:val="28"/>
              </w:rPr>
              <w:t>（4）供应商为自然人的，提供为中国公民的自然人身份证明（原件扫描件）。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pStyle w:val="66"/>
              <w:tabs>
                <w:tab w:val="left" w:pos="7665"/>
              </w:tabs>
              <w:spacing w:line="560" w:lineRule="exact"/>
              <w:rPr>
                <w:rFonts w:ascii="仿宋" w:hAnsi="仿宋" w:eastAsia="仿宋"/>
                <w:color w:val="000000" w:themeColor="text1"/>
                <w:sz w:val="28"/>
                <w:szCs w:val="28"/>
              </w:rPr>
            </w:pPr>
            <w:r>
              <w:rPr>
                <w:rFonts w:hint="eastAsia" w:ascii="仿宋" w:hAnsi="仿宋" w:eastAsia="仿宋"/>
                <w:color w:val="000000" w:themeColor="text1"/>
                <w:sz w:val="28"/>
                <w:szCs w:val="28"/>
              </w:rPr>
              <w:t>2、具有良好的商业信誉和健全的财务会计制度；</w:t>
            </w:r>
          </w:p>
        </w:tc>
        <w:tc>
          <w:tcPr>
            <w:tcW w:w="2502" w:type="pct"/>
          </w:tcPr>
          <w:p>
            <w:pPr>
              <w:pStyle w:val="68"/>
              <w:spacing w:line="560" w:lineRule="exact"/>
              <w:ind w:firstLine="560" w:firstLineChars="200"/>
              <w:rPr>
                <w:rFonts w:ascii="仿宋" w:hAnsi="仿宋" w:eastAsia="仿宋" w:cs="黑体"/>
                <w:color w:val="000000" w:themeColor="text1"/>
                <w:sz w:val="28"/>
                <w:szCs w:val="28"/>
              </w:rPr>
            </w:pPr>
            <w:r>
              <w:rPr>
                <w:rFonts w:hint="eastAsia" w:ascii="仿宋" w:hAnsi="仿宋" w:eastAsia="仿宋" w:cs="黑体"/>
                <w:color w:val="000000" w:themeColor="text1"/>
                <w:sz w:val="28"/>
                <w:szCs w:val="28"/>
                <w:lang w:val="zh-CN"/>
              </w:rPr>
              <w:t>供应商具有良好的商业信誉（在参加政府采购活动时做出承诺，详见：响应文件格式“承诺函”）；健全的财务会计制度</w:t>
            </w:r>
            <w:r>
              <w:rPr>
                <w:rFonts w:hint="eastAsia" w:ascii="仿宋" w:hAnsi="仿宋" w:eastAsia="仿宋" w:cs="黑体"/>
                <w:color w:val="000000" w:themeColor="text1"/>
                <w:sz w:val="28"/>
                <w:szCs w:val="28"/>
              </w:rPr>
              <w:t>(只需要具备下列之一)</w:t>
            </w:r>
            <w:r>
              <w:rPr>
                <w:rFonts w:hint="eastAsia" w:ascii="仿宋" w:hAnsi="仿宋" w:eastAsia="仿宋" w:cs="黑体"/>
                <w:color w:val="000000" w:themeColor="text1"/>
                <w:sz w:val="28"/>
                <w:szCs w:val="28"/>
                <w:lang w:val="zh-CN"/>
              </w:rPr>
              <w:t>：</w:t>
            </w:r>
          </w:p>
          <w:p>
            <w:pPr>
              <w:pStyle w:val="68"/>
              <w:spacing w:line="560" w:lineRule="exact"/>
              <w:ind w:firstLine="560" w:firstLineChars="200"/>
              <w:rPr>
                <w:rFonts w:ascii="仿宋" w:hAnsi="仿宋" w:eastAsia="仿宋" w:cs="黑体"/>
                <w:color w:val="000000" w:themeColor="text1"/>
                <w:sz w:val="28"/>
                <w:szCs w:val="28"/>
                <w:lang w:val="zh-CN"/>
              </w:rPr>
            </w:pPr>
            <w:r>
              <w:rPr>
                <w:rFonts w:hint="eastAsia" w:ascii="仿宋" w:hAnsi="仿宋" w:eastAsia="仿宋" w:cs="黑体"/>
                <w:color w:val="000000" w:themeColor="text1"/>
                <w:sz w:val="28"/>
                <w:szCs w:val="28"/>
                <w:lang w:val="zh-CN"/>
              </w:rPr>
              <w:t>（1）供应商是法人的，提供经审计的财务报告，包括：资产负债表、利润表、现金流量表、所有者权益变动表（执行小企业会计制度的可不提供所有者权益变动表）及其附注，或基本开户银行出具的资信证明。</w:t>
            </w:r>
          </w:p>
          <w:p>
            <w:pPr>
              <w:pStyle w:val="68"/>
              <w:spacing w:line="560" w:lineRule="exact"/>
              <w:ind w:firstLine="560" w:firstLineChars="200"/>
              <w:rPr>
                <w:rFonts w:ascii="仿宋" w:hAnsi="仿宋" w:eastAsia="仿宋" w:cs="黑体"/>
                <w:color w:val="000000" w:themeColor="text1"/>
                <w:sz w:val="28"/>
                <w:szCs w:val="28"/>
                <w:lang w:val="zh-CN"/>
              </w:rPr>
            </w:pPr>
            <w:r>
              <w:rPr>
                <w:rFonts w:hint="eastAsia" w:ascii="仿宋" w:hAnsi="仿宋" w:eastAsia="仿宋" w:cs="黑体"/>
                <w:color w:val="000000" w:themeColor="text1"/>
                <w:sz w:val="28"/>
                <w:szCs w:val="28"/>
                <w:lang w:val="zh-CN"/>
              </w:rPr>
              <w:t>（2）部分其他组织和自然人可以提供银行出具的资信证明。</w:t>
            </w:r>
          </w:p>
          <w:p>
            <w:pPr>
              <w:pStyle w:val="69"/>
              <w:spacing w:line="560" w:lineRule="exact"/>
              <w:ind w:firstLine="560" w:firstLineChars="200"/>
              <w:rPr>
                <w:rFonts w:ascii="仿宋" w:hAnsi="仿宋" w:eastAsia="仿宋" w:cs="黑体"/>
                <w:color w:val="000000" w:themeColor="text1"/>
                <w:sz w:val="28"/>
                <w:szCs w:val="28"/>
                <w:lang w:val="zh-CN"/>
              </w:rPr>
            </w:pPr>
            <w:r>
              <w:rPr>
                <w:rFonts w:hint="eastAsia" w:ascii="仿宋" w:hAnsi="仿宋" w:eastAsia="仿宋" w:cs="黑体"/>
                <w:color w:val="000000" w:themeColor="text1"/>
                <w:sz w:val="28"/>
                <w:szCs w:val="28"/>
                <w:lang w:val="zh-CN"/>
              </w:rPr>
              <w:t>（3）供应商也可提供财政部门认可的政府采购专业担保机构出具的担保函（扫描件）</w:t>
            </w:r>
          </w:p>
          <w:p>
            <w:pPr>
              <w:pStyle w:val="67"/>
              <w:spacing w:line="560" w:lineRule="exact"/>
              <w:ind w:firstLine="420" w:firstLineChars="150"/>
              <w:rPr>
                <w:rFonts w:ascii="仿宋" w:hAnsi="仿宋" w:eastAsia="仿宋"/>
                <w:color w:val="000000" w:themeColor="text1"/>
                <w:sz w:val="28"/>
                <w:szCs w:val="28"/>
              </w:rPr>
            </w:pPr>
            <w:r>
              <w:rPr>
                <w:rFonts w:hint="eastAsia" w:ascii="仿宋" w:hAnsi="仿宋" w:eastAsia="仿宋" w:cs="黑体"/>
                <w:color w:val="000000" w:themeColor="text1"/>
                <w:sz w:val="28"/>
                <w:szCs w:val="28"/>
                <w:lang w:val="zh-CN"/>
              </w:rPr>
              <w:t>（</w:t>
            </w:r>
            <w:r>
              <w:rPr>
                <w:rFonts w:hint="eastAsia" w:ascii="仿宋" w:hAnsi="仿宋" w:eastAsia="仿宋" w:cs="黑体"/>
                <w:color w:val="000000" w:themeColor="text1"/>
                <w:sz w:val="28"/>
                <w:szCs w:val="28"/>
              </w:rPr>
              <w:t>4</w:t>
            </w:r>
            <w:r>
              <w:rPr>
                <w:rFonts w:hint="eastAsia" w:ascii="仿宋" w:hAnsi="仿宋" w:eastAsia="仿宋" w:cs="黑体"/>
                <w:color w:val="000000" w:themeColor="text1"/>
                <w:sz w:val="28"/>
                <w:szCs w:val="28"/>
                <w:lang w:val="zh-CN"/>
              </w:rPr>
              <w:t>）供应商也可提供健全的财务管理制度（扫描件）</w:t>
            </w:r>
            <w:r>
              <w:rPr>
                <w:rFonts w:hint="eastAsia" w:ascii="仿宋" w:hAnsi="仿宋" w:eastAsia="仿宋"/>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pStyle w:val="66"/>
              <w:tabs>
                <w:tab w:val="left" w:pos="7665"/>
              </w:tabs>
              <w:spacing w:line="560" w:lineRule="exact"/>
              <w:rPr>
                <w:rFonts w:ascii="仿宋" w:hAnsi="仿宋" w:eastAsia="仿宋"/>
                <w:color w:val="000000" w:themeColor="text1"/>
                <w:sz w:val="28"/>
                <w:szCs w:val="28"/>
              </w:rPr>
            </w:pPr>
            <w:r>
              <w:rPr>
                <w:rFonts w:hint="eastAsia" w:ascii="仿宋" w:hAnsi="仿宋" w:eastAsia="仿宋"/>
                <w:color w:val="000000" w:themeColor="text1"/>
                <w:sz w:val="28"/>
                <w:szCs w:val="28"/>
              </w:rPr>
              <w:t>3、具有履行合同所必须的设备和专业技术能力；</w:t>
            </w:r>
          </w:p>
        </w:tc>
        <w:tc>
          <w:tcPr>
            <w:tcW w:w="2502" w:type="pct"/>
          </w:tcPr>
          <w:p>
            <w:pPr>
              <w:pStyle w:val="67"/>
              <w:spacing w:line="560" w:lineRule="exact"/>
              <w:ind w:firstLine="528"/>
              <w:rPr>
                <w:rFonts w:ascii="仿宋" w:hAnsi="仿宋" w:eastAsia="仿宋"/>
                <w:b/>
                <w:color w:val="000000" w:themeColor="text1"/>
                <w:sz w:val="28"/>
                <w:szCs w:val="28"/>
              </w:rPr>
            </w:pPr>
            <w:r>
              <w:rPr>
                <w:rFonts w:hint="eastAsia" w:ascii="仿宋" w:hAnsi="仿宋" w:eastAsia="仿宋"/>
                <w:color w:val="000000" w:themeColor="text1"/>
                <w:spacing w:val="-8"/>
                <w:sz w:val="28"/>
                <w:szCs w:val="28"/>
              </w:rPr>
              <w:t>供应商在参加政府采购活动时</w:t>
            </w:r>
            <w:r>
              <w:rPr>
                <w:rFonts w:hint="eastAsia" w:ascii="仿宋" w:hAnsi="仿宋" w:eastAsia="仿宋"/>
                <w:color w:val="000000" w:themeColor="text1"/>
                <w:sz w:val="28"/>
                <w:szCs w:val="28"/>
              </w:rPr>
              <w:t>做出承诺（详见：响应文件格式“承诺函”）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pStyle w:val="66"/>
              <w:tabs>
                <w:tab w:val="left" w:pos="7665"/>
              </w:tabs>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4、具有依法缴纳税收和社会保障资金的良好记录；</w:t>
            </w:r>
          </w:p>
        </w:tc>
        <w:tc>
          <w:tcPr>
            <w:tcW w:w="2502" w:type="pct"/>
          </w:tcPr>
          <w:p>
            <w:pPr>
              <w:pStyle w:val="67"/>
              <w:spacing w:line="560" w:lineRule="exact"/>
              <w:ind w:firstLine="528"/>
              <w:rPr>
                <w:rFonts w:ascii="仿宋" w:hAnsi="仿宋" w:eastAsia="仿宋"/>
                <w:color w:val="000000" w:themeColor="text1"/>
                <w:sz w:val="28"/>
                <w:szCs w:val="28"/>
              </w:rPr>
            </w:pPr>
            <w:r>
              <w:rPr>
                <w:rFonts w:hint="eastAsia" w:ascii="仿宋" w:hAnsi="仿宋" w:eastAsia="仿宋"/>
                <w:color w:val="000000" w:themeColor="text1"/>
                <w:spacing w:val="-8"/>
                <w:sz w:val="28"/>
                <w:szCs w:val="28"/>
              </w:rPr>
              <w:t>供应商可提供近一年内任意时间的缴纳税收的银行电子回单（票据）或者税务部门出具的纳税证明扫描件、供应商近一年内任意时间的缴纳社保的银行电子回单（票据）或社保部门出具的社保缴纳证明材料（扫描件），或在参加政府采购活动时做出承诺（详见：响应文件格式“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pStyle w:val="66"/>
              <w:tabs>
                <w:tab w:val="left" w:pos="7665"/>
              </w:tabs>
              <w:spacing w:line="560" w:lineRule="exact"/>
              <w:rPr>
                <w:rFonts w:ascii="仿宋" w:hAnsi="仿宋" w:eastAsia="仿宋"/>
                <w:color w:val="000000" w:themeColor="text1"/>
                <w:spacing w:val="-8"/>
                <w:sz w:val="28"/>
                <w:szCs w:val="28"/>
              </w:rPr>
            </w:pPr>
            <w:r>
              <w:rPr>
                <w:rFonts w:hint="eastAsia" w:ascii="仿宋" w:hAnsi="仿宋" w:eastAsia="仿宋"/>
                <w:color w:val="000000" w:themeColor="text1"/>
                <w:sz w:val="28"/>
                <w:szCs w:val="28"/>
              </w:rPr>
              <w:t>5、</w:t>
            </w:r>
            <w:r>
              <w:rPr>
                <w:rFonts w:hint="eastAsia" w:ascii="仿宋" w:hAnsi="仿宋" w:eastAsia="仿宋"/>
                <w:color w:val="000000" w:themeColor="text1"/>
                <w:spacing w:val="-8"/>
                <w:sz w:val="28"/>
                <w:szCs w:val="28"/>
              </w:rPr>
              <w:t>参加本次政府采购活动前三年内，在经营活动中没有重大违法违规记录；</w:t>
            </w:r>
          </w:p>
        </w:tc>
        <w:tc>
          <w:tcPr>
            <w:tcW w:w="2502" w:type="pct"/>
          </w:tcPr>
          <w:p>
            <w:pPr>
              <w:widowControl/>
              <w:spacing w:line="56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供应商在参加政府采购活动时做出承诺（详见：响应文件格式“承诺函”）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pStyle w:val="66"/>
              <w:tabs>
                <w:tab w:val="left" w:pos="7665"/>
              </w:tabs>
              <w:spacing w:line="560" w:lineRule="exact"/>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6、（1）项目经理：具备机电工程专业或消防设施工程专业二级或以上建造师执业资格，同时具备有效的安全生产考核合格证。（证书在有效期内）</w:t>
            </w:r>
          </w:p>
          <w:p>
            <w:pPr>
              <w:pStyle w:val="66"/>
              <w:tabs>
                <w:tab w:val="left" w:pos="7665"/>
              </w:tabs>
              <w:spacing w:line="560" w:lineRule="exact"/>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（2）项目技术负责人：具备机电工程类专业或消防设施工程专业中级或以上职称。（证书在有效期内）</w:t>
            </w:r>
          </w:p>
        </w:tc>
        <w:tc>
          <w:tcPr>
            <w:tcW w:w="2502" w:type="pct"/>
          </w:tcPr>
          <w:p>
            <w:pPr>
              <w:pStyle w:val="66"/>
              <w:spacing w:line="560" w:lineRule="exact"/>
              <w:ind w:firstLine="560" w:firstLineChars="200"/>
              <w:rPr>
                <w:rFonts w:ascii="仿宋" w:hAnsi="仿宋" w:eastAsia="仿宋"/>
                <w:color w:val="000000" w:themeColor="text1"/>
                <w:spacing w:val="-8"/>
                <w:sz w:val="28"/>
                <w:szCs w:val="28"/>
              </w:rPr>
            </w:pPr>
            <w:r>
              <w:rPr>
                <w:rFonts w:hint="eastAsia" w:ascii="仿宋" w:hAnsi="仿宋" w:eastAsia="仿宋"/>
                <w:color w:val="333333"/>
                <w:sz w:val="28"/>
                <w:szCs w:val="28"/>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spacing w:line="560" w:lineRule="exact"/>
              <w:rPr>
                <w:rFonts w:ascii="仿宋" w:hAnsi="仿宋" w:eastAsia="仿宋" w:cs="宋体"/>
                <w:color w:val="333333"/>
                <w:kern w:val="0"/>
                <w:sz w:val="28"/>
                <w:szCs w:val="28"/>
              </w:rPr>
            </w:pPr>
            <w:r>
              <w:rPr>
                <w:rFonts w:hint="eastAsia" w:ascii="仿宋" w:hAnsi="仿宋" w:eastAsia="仿宋"/>
                <w:color w:val="000000" w:themeColor="text1"/>
                <w:spacing w:val="-8"/>
                <w:sz w:val="28"/>
                <w:szCs w:val="28"/>
              </w:rPr>
              <w:t>7、</w:t>
            </w:r>
            <w:r>
              <w:rPr>
                <w:rFonts w:hint="eastAsia" w:ascii="仿宋" w:hAnsi="仿宋" w:eastAsia="仿宋" w:cs="Times New Roman"/>
                <w:sz w:val="28"/>
                <w:szCs w:val="28"/>
              </w:rPr>
              <w:t>省外企业应具备《四川省省外建筑企业入川承揽业务验证登记证》或带二维码的《四川省省外施工、监理入川承揽业务信息录入证》或具有的入川登记备案的相关证明材料。</w:t>
            </w:r>
            <w:r>
              <w:rPr>
                <w:rFonts w:hint="eastAsia" w:ascii="仿宋" w:hAnsi="仿宋" w:eastAsia="仿宋" w:cs="宋体"/>
                <w:color w:val="333333"/>
                <w:kern w:val="0"/>
                <w:sz w:val="28"/>
                <w:szCs w:val="28"/>
              </w:rPr>
              <w:t xml:space="preserve"> </w:t>
            </w:r>
          </w:p>
        </w:tc>
        <w:tc>
          <w:tcPr>
            <w:tcW w:w="2502" w:type="pct"/>
          </w:tcPr>
          <w:p>
            <w:pPr>
              <w:pStyle w:val="67"/>
              <w:spacing w:line="560" w:lineRule="exact"/>
              <w:ind w:firstLine="348" w:firstLineChars="132"/>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spacing w:line="560" w:lineRule="exact"/>
              <w:rPr>
                <w:rFonts w:ascii="仿宋" w:hAnsi="仿宋" w:eastAsia="仿宋" w:cs="宋体"/>
                <w:color w:val="333333"/>
                <w:kern w:val="0"/>
                <w:sz w:val="28"/>
                <w:szCs w:val="28"/>
              </w:rPr>
            </w:pPr>
            <w:r>
              <w:rPr>
                <w:rFonts w:hint="eastAsia" w:ascii="仿宋" w:hAnsi="仿宋" w:eastAsia="仿宋"/>
                <w:color w:val="000000" w:themeColor="text1"/>
                <w:spacing w:val="-8"/>
                <w:sz w:val="28"/>
                <w:szCs w:val="28"/>
              </w:rPr>
              <w:t>8、（1）</w:t>
            </w:r>
            <w:r>
              <w:rPr>
                <w:rFonts w:hint="eastAsia" w:ascii="仿宋" w:hAnsi="仿宋" w:eastAsia="仿宋" w:cs="宋体"/>
                <w:color w:val="333333"/>
                <w:kern w:val="0"/>
                <w:sz w:val="28"/>
                <w:szCs w:val="28"/>
              </w:rPr>
              <w:t>具备有效的《安全生产许可证》。</w:t>
            </w:r>
          </w:p>
          <w:p>
            <w:pPr>
              <w:spacing w:line="560" w:lineRule="exact"/>
              <w:rPr>
                <w:rFonts w:ascii="仿宋" w:hAnsi="仿宋" w:eastAsia="仿宋" w:cs="宋体"/>
                <w:color w:val="333333"/>
                <w:kern w:val="0"/>
                <w:sz w:val="28"/>
                <w:szCs w:val="28"/>
              </w:rPr>
            </w:pPr>
            <w:r>
              <w:rPr>
                <w:rFonts w:hint="eastAsia" w:ascii="仿宋" w:hAnsi="仿宋" w:eastAsia="仿宋" w:cs="Times New Roman"/>
                <w:sz w:val="28"/>
                <w:szCs w:val="28"/>
              </w:rPr>
              <w:t>（2）</w:t>
            </w:r>
            <w:r>
              <w:rPr>
                <w:rFonts w:hint="eastAsia" w:ascii="仿宋" w:hAnsi="仿宋" w:eastAsia="仿宋" w:cs="宋体"/>
                <w:color w:val="333333"/>
                <w:kern w:val="0"/>
                <w:sz w:val="28"/>
                <w:szCs w:val="28"/>
              </w:rPr>
              <w:t>供应商具有国家建设行政部门核发的消防设施工程专业承包二级或以上资质。</w:t>
            </w:r>
          </w:p>
        </w:tc>
        <w:tc>
          <w:tcPr>
            <w:tcW w:w="2502" w:type="pct"/>
          </w:tcPr>
          <w:p>
            <w:pPr>
              <w:pStyle w:val="67"/>
              <w:spacing w:line="560" w:lineRule="exact"/>
              <w:ind w:firstLine="348" w:firstLineChars="132"/>
              <w:rPr>
                <w:rFonts w:ascii="仿宋" w:hAnsi="仿宋" w:eastAsia="仿宋"/>
                <w:color w:val="000000" w:themeColor="text1"/>
                <w:spacing w:val="-8"/>
                <w:sz w:val="28"/>
                <w:szCs w:val="28"/>
              </w:rPr>
            </w:pPr>
            <w:r>
              <w:rPr>
                <w:rFonts w:hint="eastAsia" w:ascii="仿宋" w:hAnsi="仿宋" w:eastAsia="仿宋"/>
                <w:color w:val="000000" w:themeColor="text1"/>
                <w:spacing w:val="-8"/>
                <w:sz w:val="28"/>
                <w:szCs w:val="28"/>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1886" w:type="pct"/>
            <w:gridSpan w:val="2"/>
            <w:vAlign w:val="center"/>
          </w:tcPr>
          <w:p>
            <w:pPr>
              <w:spacing w:line="560" w:lineRule="exact"/>
              <w:rPr>
                <w:rFonts w:ascii="仿宋" w:hAnsi="仿宋" w:eastAsia="仿宋" w:cs="Times New Roman"/>
                <w:color w:val="000000" w:themeColor="text1"/>
                <w:spacing w:val="-8"/>
                <w:sz w:val="28"/>
                <w:szCs w:val="28"/>
              </w:rPr>
            </w:pPr>
            <w:r>
              <w:rPr>
                <w:rFonts w:hint="eastAsia" w:ascii="仿宋" w:hAnsi="仿宋" w:eastAsia="仿宋" w:cs="Times New Roman"/>
                <w:color w:val="000000" w:themeColor="text1"/>
                <w:spacing w:val="-8"/>
                <w:sz w:val="28"/>
                <w:szCs w:val="28"/>
              </w:rPr>
              <w:t>9、</w:t>
            </w:r>
            <w:r>
              <w:rPr>
                <w:rFonts w:hint="eastAsia" w:ascii="仿宋" w:hAnsi="仿宋" w:eastAsia="仿宋" w:cs="宋体"/>
                <w:color w:val="000000" w:themeColor="text1"/>
                <w:sz w:val="28"/>
                <w:szCs w:val="28"/>
              </w:rPr>
              <w:t>法律、行政法规规定的其他条件；</w:t>
            </w:r>
          </w:p>
        </w:tc>
        <w:tc>
          <w:tcPr>
            <w:tcW w:w="2502" w:type="pct"/>
          </w:tcPr>
          <w:p>
            <w:pPr>
              <w:pStyle w:val="53"/>
              <w:spacing w:line="560" w:lineRule="exact"/>
              <w:ind w:firstLine="528"/>
              <w:textAlignment w:val="baseline"/>
              <w:rPr>
                <w:rFonts w:ascii="仿宋" w:hAnsi="仿宋" w:eastAsia="仿宋"/>
                <w:color w:val="000000" w:themeColor="text1"/>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65" w:type="pct"/>
            <w:vMerge w:val="continue"/>
          </w:tcPr>
          <w:p>
            <w:pPr>
              <w:pStyle w:val="65"/>
              <w:spacing w:line="560" w:lineRule="exact"/>
              <w:ind w:firstLine="0"/>
              <w:rPr>
                <w:rFonts w:ascii="仿宋" w:hAnsi="仿宋" w:eastAsia="仿宋"/>
                <w:b/>
                <w:color w:val="000000" w:themeColor="text1"/>
                <w:sz w:val="28"/>
                <w:szCs w:val="28"/>
              </w:rPr>
            </w:pPr>
          </w:p>
        </w:tc>
        <w:tc>
          <w:tcPr>
            <w:tcW w:w="246" w:type="pct"/>
            <w:vMerge w:val="continue"/>
          </w:tcPr>
          <w:p>
            <w:pPr>
              <w:pStyle w:val="65"/>
              <w:spacing w:line="560" w:lineRule="exact"/>
              <w:ind w:firstLine="0"/>
              <w:rPr>
                <w:rFonts w:ascii="仿宋" w:hAnsi="仿宋" w:eastAsia="仿宋"/>
                <w:b/>
                <w:color w:val="000000" w:themeColor="text1"/>
                <w:sz w:val="28"/>
                <w:szCs w:val="28"/>
              </w:rPr>
            </w:pPr>
          </w:p>
        </w:tc>
        <w:tc>
          <w:tcPr>
            <w:tcW w:w="870" w:type="pct"/>
            <w:vAlign w:val="center"/>
          </w:tcPr>
          <w:p>
            <w:pPr>
              <w:spacing w:line="560" w:lineRule="exact"/>
              <w:ind w:firstLine="560" w:firstLineChars="200"/>
              <w:rPr>
                <w:rFonts w:ascii="仿宋" w:hAnsi="仿宋" w:eastAsia="仿宋" w:cs="Times New Roman"/>
                <w:color w:val="000000" w:themeColor="text1"/>
                <w:spacing w:val="-8"/>
                <w:sz w:val="28"/>
                <w:szCs w:val="28"/>
              </w:rPr>
            </w:pPr>
            <w:r>
              <w:rPr>
                <w:rFonts w:hint="eastAsia" w:ascii="仿宋" w:hAnsi="仿宋" w:eastAsia="仿宋" w:cs="仿宋"/>
                <w:color w:val="000000" w:themeColor="text1"/>
                <w:sz w:val="28"/>
                <w:szCs w:val="28"/>
              </w:rPr>
              <w:t>10.</w:t>
            </w:r>
            <w:r>
              <w:rPr>
                <w:rFonts w:ascii="仿宋" w:hAnsi="仿宋" w:eastAsia="仿宋" w:cs="仿宋"/>
                <w:color w:val="000000" w:themeColor="text1"/>
                <w:sz w:val="28"/>
                <w:szCs w:val="28"/>
              </w:rPr>
              <w:t>专门面向中小微企业采购的项目</w:t>
            </w:r>
            <w:r>
              <w:rPr>
                <w:rFonts w:hint="eastAsia" w:ascii="仿宋" w:hAnsi="仿宋" w:eastAsia="仿宋" w:cs="仿宋"/>
                <w:color w:val="000000" w:themeColor="text1"/>
                <w:sz w:val="28"/>
                <w:szCs w:val="28"/>
              </w:rPr>
              <w:t>另</w:t>
            </w:r>
            <w:r>
              <w:rPr>
                <w:rFonts w:ascii="仿宋" w:hAnsi="仿宋" w:eastAsia="仿宋" w:cs="仿宋"/>
                <w:color w:val="000000" w:themeColor="text1"/>
                <w:sz w:val="28"/>
                <w:szCs w:val="28"/>
              </w:rPr>
              <w:t>须提供的证明材料</w:t>
            </w:r>
            <w:r>
              <w:rPr>
                <w:rFonts w:hint="eastAsia" w:ascii="仿宋" w:hAnsi="仿宋" w:eastAsia="仿宋" w:cs="仿宋"/>
                <w:color w:val="000000" w:themeColor="text1"/>
                <w:sz w:val="28"/>
                <w:szCs w:val="28"/>
              </w:rPr>
              <w:t>之一</w:t>
            </w:r>
          </w:p>
        </w:tc>
        <w:tc>
          <w:tcPr>
            <w:tcW w:w="1016" w:type="pct"/>
            <w:vAlign w:val="center"/>
          </w:tcPr>
          <w:p>
            <w:pPr>
              <w:pStyle w:val="41"/>
              <w:widowControl/>
              <w:adjustRightInd w:val="0"/>
              <w:snapToGrid w:val="0"/>
              <w:spacing w:line="560" w:lineRule="exact"/>
              <w:ind w:right="111" w:rightChars="53"/>
              <w:jc w:val="both"/>
              <w:rPr>
                <w:rFonts w:hint="default"/>
                <w:color w:val="000000" w:themeColor="text1"/>
                <w:sz w:val="28"/>
                <w:szCs w:val="28"/>
              </w:rPr>
            </w:pPr>
            <w:r>
              <w:rPr>
                <w:color w:val="000000" w:themeColor="text1"/>
                <w:sz w:val="28"/>
                <w:szCs w:val="28"/>
              </w:rPr>
              <w:t>《中小企业申明函》、《残疾人福利性单位声明函》或监狱企业的证明文件。</w:t>
            </w:r>
          </w:p>
          <w:p>
            <w:pPr>
              <w:spacing w:line="560" w:lineRule="exact"/>
              <w:rPr>
                <w:rFonts w:ascii="仿宋" w:hAnsi="仿宋" w:eastAsia="仿宋" w:cs="Times New Roman"/>
                <w:color w:val="000000" w:themeColor="text1"/>
                <w:spacing w:val="-8"/>
                <w:sz w:val="28"/>
                <w:szCs w:val="28"/>
              </w:rPr>
            </w:pPr>
            <w:r>
              <w:rPr>
                <w:rFonts w:ascii="仿宋" w:hAnsi="仿宋" w:eastAsia="仿宋"/>
                <w:color w:val="000000" w:themeColor="text1"/>
                <w:sz w:val="28"/>
                <w:szCs w:val="28"/>
              </w:rPr>
              <w:t>注：供应商为残疾人福利性单位的视同为小型、微型企业，供应商为监狱企业的视同为小型、微型企业。</w:t>
            </w:r>
          </w:p>
        </w:tc>
        <w:tc>
          <w:tcPr>
            <w:tcW w:w="2502" w:type="pct"/>
          </w:tcPr>
          <w:p>
            <w:pPr>
              <w:adjustRightInd w:val="0"/>
              <w:snapToGrid w:val="0"/>
              <w:spacing w:line="560" w:lineRule="exact"/>
              <w:rPr>
                <w:rFonts w:ascii="仿宋" w:hAnsi="仿宋" w:eastAsia="仿宋" w:cs="Times New Roman"/>
                <w:color w:val="000000" w:themeColor="text1"/>
                <w:sz w:val="28"/>
                <w:szCs w:val="28"/>
              </w:rPr>
            </w:pPr>
            <w:r>
              <w:rPr>
                <w:rFonts w:hint="eastAsia" w:ascii="仿宋" w:hAnsi="仿宋" w:eastAsia="仿宋" w:cs="宋体"/>
                <w:color w:val="000000" w:themeColor="text1"/>
                <w:kern w:val="0"/>
                <w:sz w:val="28"/>
                <w:szCs w:val="28"/>
                <w:highlight w:val="white"/>
              </w:rPr>
              <w:t>1.中小微企业应当提供《中小企业声明函》</w:t>
            </w:r>
            <w:r>
              <w:rPr>
                <w:rFonts w:hint="eastAsia" w:ascii="仿宋" w:hAnsi="仿宋" w:eastAsia="仿宋" w:cs="Times New Roman"/>
                <w:bCs/>
                <w:color w:val="000000" w:themeColor="text1"/>
                <w:spacing w:val="8"/>
                <w:sz w:val="28"/>
                <w:szCs w:val="28"/>
              </w:rPr>
              <w:t>原件扫描件</w:t>
            </w:r>
            <w:r>
              <w:rPr>
                <w:rFonts w:hint="eastAsia" w:ascii="仿宋" w:hAnsi="仿宋" w:eastAsia="仿宋" w:cs="宋体"/>
                <w:color w:val="000000" w:themeColor="text1"/>
                <w:kern w:val="0"/>
                <w:sz w:val="28"/>
                <w:szCs w:val="28"/>
                <w:highlight w:val="white"/>
              </w:rPr>
              <w:t>。2.监狱企业应当提供由省级以上监狱管理局、戒毒管理局（含新疆生产建设兵团）出具的属于监狱企业的证明文件扫描件。3.残疾人福利性单位应当提供《残疾人福利性单位声明函》</w:t>
            </w:r>
            <w:r>
              <w:rPr>
                <w:rFonts w:hint="eastAsia" w:ascii="仿宋" w:hAnsi="仿宋" w:eastAsia="仿宋" w:cs="Times New Roman"/>
                <w:bCs/>
                <w:color w:val="000000" w:themeColor="text1"/>
                <w:spacing w:val="8"/>
                <w:sz w:val="28"/>
                <w:szCs w:val="28"/>
              </w:rPr>
              <w:t>原件扫描件</w:t>
            </w:r>
            <w:r>
              <w:rPr>
                <w:rFonts w:hint="eastAsia" w:ascii="仿宋" w:hAnsi="仿宋" w:eastAsia="仿宋" w:cs="宋体"/>
                <w:color w:val="000000" w:themeColor="text1"/>
                <w:kern w:val="0"/>
                <w:sz w:val="28"/>
                <w:szCs w:val="28"/>
                <w:highlight w:val="white"/>
              </w:rPr>
              <w:t>并附在响应文件中。</w:t>
            </w:r>
          </w:p>
        </w:tc>
      </w:tr>
    </w:tbl>
    <w:p>
      <w:pPr>
        <w:pStyle w:val="67"/>
        <w:spacing w:line="380" w:lineRule="exact"/>
        <w:ind w:left="890" w:leftChars="200" w:hanging="470" w:hangingChars="196"/>
        <w:rPr>
          <w:bCs/>
          <w:color w:val="000000" w:themeColor="text1"/>
          <w:spacing w:val="8"/>
          <w:sz w:val="24"/>
        </w:rPr>
      </w:pPr>
      <w:r>
        <w:rPr>
          <w:rFonts w:hint="eastAsia"/>
          <w:b/>
          <w:color w:val="000000" w:themeColor="text1"/>
          <w:sz w:val="24"/>
        </w:rPr>
        <w:t>注：</w:t>
      </w:r>
      <w:r>
        <w:rPr>
          <w:rFonts w:hint="eastAsia"/>
          <w:color w:val="000000" w:themeColor="text1"/>
          <w:sz w:val="24"/>
        </w:rPr>
        <w:t>1、供应商的资格、资质性及其他类似效力要求</w:t>
      </w:r>
      <w:r>
        <w:rPr>
          <w:rFonts w:hint="eastAsia"/>
          <w:bCs/>
          <w:color w:val="000000" w:themeColor="text1"/>
          <w:spacing w:val="8"/>
          <w:sz w:val="24"/>
        </w:rPr>
        <w:t>证明资料（原件扫描件）。</w:t>
      </w:r>
    </w:p>
    <w:p>
      <w:pPr>
        <w:pStyle w:val="67"/>
        <w:spacing w:line="380" w:lineRule="exact"/>
        <w:ind w:left="829" w:leftChars="395" w:firstLine="120" w:firstLineChars="50"/>
        <w:rPr>
          <w:rFonts w:ascii="宋体" w:hAnsi="宋体"/>
          <w:color w:val="000000" w:themeColor="text1"/>
          <w:sz w:val="24"/>
        </w:rPr>
      </w:pPr>
      <w:r>
        <w:rPr>
          <w:rFonts w:hint="eastAsia"/>
          <w:color w:val="000000" w:themeColor="text1"/>
          <w:sz w:val="24"/>
        </w:rPr>
        <w:t>2、以上证明材料一项不符合要求的,作为无效响应文件处理。</w:t>
      </w:r>
    </w:p>
    <w:p>
      <w:pPr>
        <w:pStyle w:val="41"/>
        <w:widowControl/>
        <w:adjustRightInd w:val="0"/>
        <w:snapToGrid w:val="0"/>
        <w:spacing w:line="240" w:lineRule="atLeast"/>
        <w:ind w:right="111" w:rightChars="53" w:firstLine="720" w:firstLineChars="300"/>
        <w:jc w:val="both"/>
        <w:rPr>
          <w:rFonts w:hint="default" w:cs="仿宋" w:asciiTheme="majorEastAsia" w:hAnsiTheme="majorEastAsia" w:eastAsiaTheme="majorEastAsia"/>
          <w:color w:val="000000" w:themeColor="text1"/>
          <w:sz w:val="24"/>
          <w:szCs w:val="24"/>
        </w:rPr>
      </w:pPr>
    </w:p>
    <w:p>
      <w:pPr>
        <w:pStyle w:val="41"/>
        <w:widowControl/>
        <w:adjustRightInd w:val="0"/>
        <w:snapToGrid w:val="0"/>
        <w:spacing w:line="240" w:lineRule="atLeast"/>
        <w:ind w:right="111" w:rightChars="53" w:firstLine="720" w:firstLineChars="300"/>
        <w:jc w:val="both"/>
        <w:rPr>
          <w:rFonts w:hint="default" w:cs="仿宋" w:asciiTheme="majorEastAsia" w:hAnsiTheme="majorEastAsia" w:eastAsiaTheme="majorEastAsia"/>
          <w:color w:val="000000" w:themeColor="text1"/>
          <w:sz w:val="24"/>
          <w:szCs w:val="24"/>
        </w:rPr>
      </w:pPr>
    </w:p>
    <w:p>
      <w:pPr>
        <w:pStyle w:val="41"/>
        <w:widowControl/>
        <w:adjustRightInd w:val="0"/>
        <w:snapToGrid w:val="0"/>
        <w:spacing w:line="240" w:lineRule="atLeast"/>
        <w:ind w:right="111" w:rightChars="53" w:firstLine="660" w:firstLineChars="300"/>
        <w:jc w:val="both"/>
        <w:rPr>
          <w:rFonts w:hint="default" w:asciiTheme="majorEastAsia" w:hAnsiTheme="majorEastAsia" w:eastAsiaTheme="majorEastAsia"/>
          <w:color w:val="000000" w:themeColor="text1"/>
        </w:rPr>
      </w:pPr>
    </w:p>
    <w:p>
      <w:pPr>
        <w:pStyle w:val="42"/>
        <w:tabs>
          <w:tab w:val="left" w:pos="709"/>
        </w:tabs>
        <w:adjustRightInd w:val="0"/>
        <w:snapToGrid w:val="0"/>
        <w:spacing w:line="560" w:lineRule="exact"/>
        <w:jc w:val="both"/>
        <w:rPr>
          <w:rFonts w:hint="default" w:cs="仿宋" w:asciiTheme="minorEastAsia" w:hAnsiTheme="minorEastAsia" w:eastAsiaTheme="minorEastAsia"/>
          <w:snapToGrid w:val="0"/>
          <w:color w:val="000000" w:themeColor="text1"/>
          <w:sz w:val="28"/>
          <w:szCs w:val="28"/>
        </w:rPr>
      </w:pPr>
    </w:p>
    <w:p>
      <w:pPr>
        <w:pStyle w:val="42"/>
        <w:tabs>
          <w:tab w:val="left" w:pos="709"/>
        </w:tabs>
        <w:adjustRightInd w:val="0"/>
        <w:snapToGrid w:val="0"/>
        <w:spacing w:line="560" w:lineRule="exact"/>
        <w:jc w:val="both"/>
        <w:rPr>
          <w:rFonts w:hint="default" w:cs="仿宋" w:asciiTheme="minorEastAsia" w:hAnsiTheme="minorEastAsia" w:eastAsiaTheme="minorEastAsia"/>
          <w:snapToGrid w:val="0"/>
          <w:color w:val="000000" w:themeColor="text1"/>
          <w:sz w:val="28"/>
          <w:szCs w:val="28"/>
        </w:rPr>
      </w:pPr>
    </w:p>
    <w:p>
      <w:pPr>
        <w:pStyle w:val="42"/>
        <w:tabs>
          <w:tab w:val="left" w:pos="709"/>
        </w:tabs>
        <w:adjustRightInd w:val="0"/>
        <w:snapToGrid w:val="0"/>
        <w:spacing w:line="560" w:lineRule="exact"/>
        <w:jc w:val="both"/>
        <w:rPr>
          <w:rFonts w:hint="default" w:cs="仿宋" w:asciiTheme="minorEastAsia" w:hAnsiTheme="minorEastAsia" w:eastAsiaTheme="minorEastAsia"/>
          <w:snapToGrid w:val="0"/>
          <w:color w:val="000000" w:themeColor="text1"/>
          <w:sz w:val="28"/>
          <w:szCs w:val="28"/>
        </w:rPr>
      </w:pPr>
    </w:p>
    <w:p>
      <w:pPr>
        <w:pStyle w:val="42"/>
        <w:tabs>
          <w:tab w:val="left" w:pos="709"/>
        </w:tabs>
        <w:adjustRightInd w:val="0"/>
        <w:snapToGrid w:val="0"/>
        <w:spacing w:line="560" w:lineRule="exact"/>
        <w:jc w:val="both"/>
        <w:rPr>
          <w:rFonts w:hint="default" w:cs="仿宋" w:asciiTheme="minorEastAsia" w:hAnsiTheme="minorEastAsia" w:eastAsiaTheme="minorEastAsia"/>
          <w:snapToGrid w:val="0"/>
          <w:color w:val="000000" w:themeColor="text1"/>
          <w:sz w:val="28"/>
          <w:szCs w:val="28"/>
        </w:rPr>
      </w:pPr>
    </w:p>
    <w:p>
      <w:pPr>
        <w:pStyle w:val="3"/>
        <w:widowControl/>
        <w:snapToGrid w:val="0"/>
        <w:spacing w:line="540" w:lineRule="exact"/>
        <w:ind w:firstLine="1800" w:firstLineChars="500"/>
        <w:jc w:val="both"/>
        <w:rPr>
          <w:rFonts w:hint="default" w:ascii="黑体" w:hAnsi="黑体" w:eastAsia="黑体" w:cs="仿宋"/>
          <w:b w:val="0"/>
          <w:color w:val="000000" w:themeColor="text1"/>
          <w:sz w:val="36"/>
          <w:szCs w:val="36"/>
        </w:rPr>
      </w:pPr>
      <w:bookmarkStart w:id="56" w:name="_Toc60399690"/>
      <w:r>
        <w:rPr>
          <w:rFonts w:ascii="黑体" w:hAnsi="黑体" w:eastAsia="黑体" w:cs="仿宋"/>
          <w:b w:val="0"/>
          <w:color w:val="000000" w:themeColor="text1"/>
          <w:sz w:val="36"/>
          <w:szCs w:val="36"/>
        </w:rPr>
        <w:t>第四章  资格预审申请文件格式</w:t>
      </w:r>
      <w:bookmarkEnd w:id="56"/>
    </w:p>
    <w:p>
      <w:pPr>
        <w:rPr>
          <w:color w:val="000000" w:themeColor="text1"/>
        </w:rPr>
      </w:pPr>
    </w:p>
    <w:p>
      <w:pPr>
        <w:pStyle w:val="42"/>
        <w:widowControl/>
        <w:tabs>
          <w:tab w:val="left" w:pos="851"/>
        </w:tabs>
        <w:adjustRightInd w:val="0"/>
        <w:snapToGrid w:val="0"/>
        <w:spacing w:line="540" w:lineRule="exact"/>
        <w:ind w:left="0" w:firstLine="560" w:firstLineChars="200"/>
        <w:jc w:val="both"/>
        <w:rPr>
          <w:rFonts w:hint="default" w:cs="仿宋" w:asciiTheme="minorEastAsia" w:hAnsiTheme="minorEastAsia" w:eastAsiaTheme="minorEastAsia"/>
          <w:snapToGrid w:val="0"/>
          <w:color w:val="000000" w:themeColor="text1"/>
          <w:sz w:val="28"/>
          <w:szCs w:val="28"/>
        </w:rPr>
      </w:pPr>
      <w:bookmarkStart w:id="57" w:name="一、本章所制申请文件格式，除格式中明确将该格式作为实质性要求的，一律不具有强制性"/>
      <w:bookmarkEnd w:id="57"/>
      <w:r>
        <w:rPr>
          <w:rFonts w:cs="仿宋" w:asciiTheme="minorEastAsia" w:hAnsiTheme="minorEastAsia" w:eastAsiaTheme="minorEastAsia"/>
          <w:snapToGrid w:val="0"/>
          <w:color w:val="000000" w:themeColor="text1"/>
          <w:sz w:val="28"/>
          <w:szCs w:val="28"/>
        </w:rPr>
        <w:t>一、本章所制申请文件格式，除格式中明确将该格式作为实质性要求的，一律不具有强制性，但是，供应商申请文件相关资料和本章所制格式不一致的，需涵盖所有要求内容， 未按要求提供导致申请文件被判为无效申请文件，后果由供应商自行承担。</w:t>
      </w:r>
    </w:p>
    <w:p>
      <w:pPr>
        <w:pStyle w:val="42"/>
        <w:widowControl/>
        <w:tabs>
          <w:tab w:val="left" w:pos="851"/>
        </w:tabs>
        <w:adjustRightInd w:val="0"/>
        <w:snapToGrid w:val="0"/>
        <w:spacing w:line="540" w:lineRule="exact"/>
        <w:ind w:left="0" w:firstLine="560" w:firstLineChars="200"/>
        <w:jc w:val="both"/>
        <w:rPr>
          <w:rFonts w:hint="default" w:cs="仿宋" w:asciiTheme="minorEastAsia" w:hAnsiTheme="minorEastAsia" w:eastAsiaTheme="minorEastAsia"/>
          <w:snapToGrid w:val="0"/>
          <w:color w:val="000000" w:themeColor="text1"/>
          <w:sz w:val="28"/>
          <w:szCs w:val="28"/>
        </w:rPr>
      </w:pPr>
      <w:bookmarkStart w:id="58" w:name="二、本章所制申请文件格式有关表格中的备注栏，由申请人根据自身情况作解释性说明，不"/>
      <w:bookmarkEnd w:id="58"/>
      <w:r>
        <w:rPr>
          <w:rFonts w:cs="仿宋" w:asciiTheme="minorEastAsia" w:hAnsiTheme="minorEastAsia" w:eastAsiaTheme="minorEastAsia"/>
          <w:snapToGrid w:val="0"/>
          <w:color w:val="000000" w:themeColor="text1"/>
          <w:sz w:val="28"/>
          <w:szCs w:val="28"/>
        </w:rPr>
        <w:t>二、本章所制申请文件格式有关表格中的备注栏，由供应商根据自身情况作解释性说明，不作为必填项。</w:t>
      </w:r>
    </w:p>
    <w:p>
      <w:pPr>
        <w:pStyle w:val="42"/>
        <w:widowControl/>
        <w:tabs>
          <w:tab w:val="left" w:pos="851"/>
        </w:tabs>
        <w:adjustRightInd w:val="0"/>
        <w:snapToGrid w:val="0"/>
        <w:spacing w:line="54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三、未提供具体格式的由供应商自拟。</w:t>
      </w:r>
    </w:p>
    <w:p>
      <w:pPr>
        <w:pStyle w:val="42"/>
        <w:widowControl/>
        <w:tabs>
          <w:tab w:val="left" w:pos="851"/>
        </w:tabs>
        <w:adjustRightInd w:val="0"/>
        <w:snapToGrid w:val="0"/>
        <w:spacing w:line="540" w:lineRule="exact"/>
        <w:ind w:left="0" w:firstLine="618" w:firstLineChars="221"/>
        <w:rPr>
          <w:rFonts w:hint="default" w:cs="仿宋" w:asciiTheme="minorEastAsia" w:hAnsiTheme="minorEastAsia" w:eastAsiaTheme="minorEastAsia"/>
          <w:snapToGrid w:val="0"/>
          <w:color w:val="000000" w:themeColor="text1"/>
          <w:sz w:val="28"/>
          <w:szCs w:val="28"/>
        </w:rPr>
        <w:sectPr>
          <w:pgSz w:w="11907" w:h="16840"/>
          <w:pgMar w:top="1474" w:right="1418" w:bottom="1247" w:left="1418" w:header="851" w:footer="851" w:gutter="0"/>
          <w:cols w:space="425" w:num="1"/>
          <w:docGrid w:type="linesAndChars" w:linePitch="312" w:charSpace="0"/>
        </w:sectPr>
      </w:pPr>
    </w:p>
    <w:p>
      <w:pPr>
        <w:rPr>
          <w:rFonts w:ascii="宋体" w:hAnsi="宋体" w:eastAsia="宋体" w:cs="Times New Roman"/>
          <w:b/>
          <w:color w:val="000000" w:themeColor="text1"/>
          <w:sz w:val="28"/>
          <w:szCs w:val="28"/>
        </w:rPr>
      </w:pPr>
      <w:r>
        <w:rPr>
          <w:rFonts w:hint="eastAsia" w:ascii="宋体" w:hAnsi="宋体" w:eastAsia="宋体" w:cs="Times New Roman"/>
          <w:b/>
          <w:color w:val="000000" w:themeColor="text1"/>
          <w:sz w:val="28"/>
          <w:szCs w:val="28"/>
        </w:rPr>
        <w:t>资格预审申请文件封面</w:t>
      </w:r>
    </w:p>
    <w:p>
      <w:pPr>
        <w:jc w:val="right"/>
        <w:rPr>
          <w:rFonts w:ascii="Times New Roman" w:hAnsi="Times New Roman" w:eastAsia="宋体" w:cs="Times New Roman"/>
          <w:color w:val="000000" w:themeColor="text1"/>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pStyle w:val="20"/>
        <w:ind w:firstLine="220"/>
        <w:rPr>
          <w:rFonts w:hint="default"/>
          <w:color w:val="000000" w:themeColor="text1"/>
        </w:rPr>
      </w:pPr>
    </w:p>
    <w:p>
      <w:pPr>
        <w:pStyle w:val="20"/>
        <w:ind w:firstLine="220"/>
        <w:rPr>
          <w:rFonts w:hint="default"/>
          <w:color w:val="000000" w:themeColor="text1"/>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38" w:lineRule="exact"/>
        <w:jc w:val="left"/>
        <w:rPr>
          <w:rFonts w:ascii="仿宋" w:hAnsi="仿宋" w:eastAsia="仿宋" w:cs="仿宋"/>
          <w:color w:val="000000" w:themeColor="text1"/>
          <w:sz w:val="20"/>
          <w:szCs w:val="20"/>
        </w:rPr>
      </w:pPr>
    </w:p>
    <w:p>
      <w:pPr>
        <w:autoSpaceDE w:val="0"/>
        <w:autoSpaceDN w:val="0"/>
        <w:spacing w:line="548" w:lineRule="exact"/>
        <w:jc w:val="center"/>
        <w:rPr>
          <w:rFonts w:ascii="黑体" w:hAnsi="黑体" w:eastAsia="黑体" w:cs="仿宋"/>
          <w:color w:val="000000" w:themeColor="text1"/>
          <w:sz w:val="20"/>
          <w:szCs w:val="20"/>
        </w:rPr>
      </w:pPr>
      <w:r>
        <w:rPr>
          <w:rFonts w:hint="eastAsia" w:ascii="黑体" w:hAnsi="黑体" w:eastAsia="黑体" w:cs="仿宋"/>
          <w:b/>
          <w:color w:val="000000" w:themeColor="text1"/>
          <w:kern w:val="0"/>
          <w:sz w:val="48"/>
          <w:szCs w:val="48"/>
        </w:rPr>
        <w:t>资格预审申请文件</w:t>
      </w:r>
    </w:p>
    <w:p>
      <w:pPr>
        <w:autoSpaceDE w:val="0"/>
        <w:autoSpaceDN w:val="0"/>
        <w:spacing w:line="205" w:lineRule="exact"/>
        <w:jc w:val="left"/>
        <w:rPr>
          <w:rFonts w:ascii="仿宋" w:hAnsi="仿宋" w:eastAsia="仿宋" w:cs="仿宋"/>
          <w:color w:val="000000" w:themeColor="text1"/>
          <w:sz w:val="20"/>
          <w:szCs w:val="20"/>
        </w:rPr>
      </w:pPr>
    </w:p>
    <w:p>
      <w:pPr>
        <w:autoSpaceDE w:val="0"/>
        <w:autoSpaceDN w:val="0"/>
        <w:spacing w:line="320" w:lineRule="exact"/>
        <w:ind w:firstLine="2800" w:firstLineChars="1000"/>
        <w:rPr>
          <w:rFonts w:ascii="宋体" w:hAnsi="宋体" w:eastAsia="宋体" w:cs="仿宋"/>
          <w:color w:val="000000" w:themeColor="text1"/>
          <w:kern w:val="0"/>
          <w:sz w:val="28"/>
          <w:szCs w:val="28"/>
        </w:rPr>
      </w:pPr>
      <w:r>
        <w:rPr>
          <w:rFonts w:hint="eastAsia" w:ascii="宋体" w:hAnsi="宋体" w:eastAsia="宋体" w:cs="仿宋"/>
          <w:color w:val="000000" w:themeColor="text1"/>
          <w:kern w:val="0"/>
          <w:sz w:val="28"/>
          <w:szCs w:val="28"/>
        </w:rPr>
        <w:t>采购项目编号：</w:t>
      </w:r>
    </w:p>
    <w:p>
      <w:pPr>
        <w:pStyle w:val="20"/>
        <w:ind w:firstLine="280"/>
        <w:rPr>
          <w:rFonts w:hint="default" w:ascii="宋体" w:hAnsi="宋体" w:eastAsia="宋体"/>
          <w:color w:val="000000" w:themeColor="text1"/>
          <w:sz w:val="28"/>
          <w:szCs w:val="28"/>
        </w:rPr>
      </w:pPr>
      <w:r>
        <w:rPr>
          <w:rFonts w:ascii="宋体" w:hAnsi="宋体" w:eastAsia="宋体"/>
          <w:color w:val="000000" w:themeColor="text1"/>
          <w:sz w:val="28"/>
          <w:szCs w:val="28"/>
        </w:rPr>
        <w:t xml:space="preserve">                  采购项目</w:t>
      </w:r>
      <w:r>
        <w:rPr>
          <w:rFonts w:hint="default" w:ascii="宋体" w:hAnsi="宋体" w:eastAsia="宋体"/>
          <w:color w:val="000000" w:themeColor="text1"/>
          <w:sz w:val="28"/>
          <w:szCs w:val="28"/>
        </w:rPr>
        <w:t>名称：</w:t>
      </w: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pStyle w:val="20"/>
        <w:ind w:firstLine="220"/>
        <w:rPr>
          <w:rFonts w:hint="default"/>
          <w:color w:val="000000" w:themeColor="text1"/>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ascii="仿宋" w:hAnsi="仿宋" w:eastAsia="仿宋" w:cs="仿宋"/>
          <w:color w:val="000000" w:themeColor="text1"/>
          <w:sz w:val="20"/>
          <w:szCs w:val="20"/>
        </w:rPr>
      </w:pPr>
    </w:p>
    <w:p>
      <w:pPr>
        <w:autoSpaceDE w:val="0"/>
        <w:autoSpaceDN w:val="0"/>
        <w:spacing w:line="200" w:lineRule="exact"/>
        <w:jc w:val="left"/>
        <w:rPr>
          <w:rFonts w:cs="仿宋" w:asciiTheme="minorEastAsia" w:hAnsiTheme="minorEastAsia"/>
          <w:color w:val="000000" w:themeColor="text1"/>
          <w:sz w:val="28"/>
          <w:szCs w:val="28"/>
        </w:rPr>
      </w:pPr>
    </w:p>
    <w:p>
      <w:pPr>
        <w:autoSpaceDE w:val="0"/>
        <w:autoSpaceDN w:val="0"/>
        <w:spacing w:line="200" w:lineRule="exact"/>
        <w:jc w:val="left"/>
        <w:rPr>
          <w:rFonts w:cs="仿宋" w:asciiTheme="minorEastAsia" w:hAnsiTheme="minorEastAsia"/>
          <w:color w:val="000000" w:themeColor="text1"/>
          <w:sz w:val="28"/>
          <w:szCs w:val="28"/>
        </w:rPr>
      </w:pPr>
    </w:p>
    <w:p>
      <w:pPr>
        <w:autoSpaceDE w:val="0"/>
        <w:autoSpaceDN w:val="0"/>
        <w:spacing w:line="200" w:lineRule="exact"/>
        <w:jc w:val="left"/>
        <w:rPr>
          <w:rFonts w:cs="仿宋" w:asciiTheme="minorEastAsia" w:hAnsiTheme="minorEastAsia"/>
          <w:color w:val="000000" w:themeColor="text1"/>
          <w:sz w:val="28"/>
          <w:szCs w:val="28"/>
        </w:rPr>
      </w:pPr>
    </w:p>
    <w:p>
      <w:pPr>
        <w:autoSpaceDE w:val="0"/>
        <w:autoSpaceDN w:val="0"/>
        <w:spacing w:line="209" w:lineRule="exact"/>
        <w:jc w:val="left"/>
        <w:rPr>
          <w:rFonts w:cs="仿宋" w:asciiTheme="minorEastAsia" w:hAnsiTheme="minorEastAsia"/>
          <w:color w:val="000000" w:themeColor="text1"/>
          <w:sz w:val="28"/>
          <w:szCs w:val="28"/>
        </w:rPr>
      </w:pPr>
    </w:p>
    <w:tbl>
      <w:tblPr>
        <w:tblStyle w:val="21"/>
        <w:tblW w:w="7040" w:type="dxa"/>
        <w:tblInd w:w="2140" w:type="dxa"/>
        <w:tblLayout w:type="fixed"/>
        <w:tblCellMar>
          <w:top w:w="0" w:type="dxa"/>
          <w:left w:w="0" w:type="dxa"/>
          <w:bottom w:w="0" w:type="dxa"/>
          <w:right w:w="0" w:type="dxa"/>
        </w:tblCellMar>
      </w:tblPr>
      <w:tblGrid>
        <w:gridCol w:w="840"/>
        <w:gridCol w:w="580"/>
        <w:gridCol w:w="120"/>
        <w:gridCol w:w="160"/>
        <w:gridCol w:w="120"/>
        <w:gridCol w:w="560"/>
        <w:gridCol w:w="280"/>
        <w:gridCol w:w="580"/>
        <w:gridCol w:w="120"/>
        <w:gridCol w:w="300"/>
        <w:gridCol w:w="560"/>
        <w:gridCol w:w="580"/>
        <w:gridCol w:w="280"/>
        <w:gridCol w:w="1960"/>
      </w:tblGrid>
      <w:tr>
        <w:tblPrEx>
          <w:tblCellMar>
            <w:top w:w="0" w:type="dxa"/>
            <w:left w:w="0" w:type="dxa"/>
            <w:bottom w:w="0" w:type="dxa"/>
            <w:right w:w="0" w:type="dxa"/>
          </w:tblCellMar>
        </w:tblPrEx>
        <w:trPr>
          <w:trHeight w:val="319" w:hRule="atLeast"/>
        </w:trPr>
        <w:tc>
          <w:tcPr>
            <w:tcW w:w="1820" w:type="dxa"/>
            <w:gridSpan w:val="5"/>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供应商名称：</w:t>
            </w: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30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20" w:type="dxa"/>
            <w:gridSpan w:val="3"/>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（盖单位章）</w:t>
            </w:r>
          </w:p>
        </w:tc>
      </w:tr>
      <w:tr>
        <w:tblPrEx>
          <w:tblCellMar>
            <w:top w:w="0" w:type="dxa"/>
            <w:left w:w="0" w:type="dxa"/>
            <w:bottom w:w="0" w:type="dxa"/>
            <w:right w:w="0" w:type="dxa"/>
          </w:tblCellMar>
        </w:tblPrEx>
        <w:trPr>
          <w:trHeight w:val="20" w:hRule="atLeast"/>
        </w:trPr>
        <w:tc>
          <w:tcPr>
            <w:tcW w:w="84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60" w:type="dxa"/>
            <w:tcBorders>
              <w:top w:val="nil"/>
              <w:left w:val="nil"/>
              <w:bottom w:val="nil"/>
              <w:right w:val="single" w:color="auto" w:sz="8" w:space="0"/>
            </w:tcBorders>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6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30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6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r>
      <w:tr>
        <w:tblPrEx>
          <w:tblCellMar>
            <w:top w:w="0" w:type="dxa"/>
            <w:left w:w="0" w:type="dxa"/>
            <w:bottom w:w="0" w:type="dxa"/>
            <w:right w:w="0" w:type="dxa"/>
          </w:tblCellMar>
        </w:tblPrEx>
        <w:trPr>
          <w:trHeight w:val="604" w:hRule="atLeast"/>
        </w:trPr>
        <w:tc>
          <w:tcPr>
            <w:tcW w:w="1820" w:type="dxa"/>
            <w:gridSpan w:val="5"/>
            <w:shd w:val="clear" w:color="auto" w:fill="auto"/>
            <w:vAlign w:val="bottom"/>
          </w:tcPr>
          <w:p>
            <w:pPr>
              <w:autoSpaceDE w:val="0"/>
              <w:autoSpaceDN w:val="0"/>
              <w:spacing w:line="320" w:lineRule="exact"/>
              <w:ind w:left="20"/>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供应商地址：</w:t>
            </w: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30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r>
      <w:tr>
        <w:tblPrEx>
          <w:tblCellMar>
            <w:top w:w="0" w:type="dxa"/>
            <w:left w:w="0" w:type="dxa"/>
            <w:bottom w:w="0" w:type="dxa"/>
            <w:right w:w="0" w:type="dxa"/>
          </w:tblCellMar>
        </w:tblPrEx>
        <w:trPr>
          <w:trHeight w:val="20" w:hRule="atLeast"/>
        </w:trPr>
        <w:tc>
          <w:tcPr>
            <w:tcW w:w="84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6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680" w:type="dxa"/>
            <w:gridSpan w:val="2"/>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700" w:type="dxa"/>
            <w:gridSpan w:val="2"/>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30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6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580" w:type="dxa"/>
            <w:shd w:val="clear" w:color="auto" w:fill="000000"/>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spacing w:line="20" w:lineRule="exact"/>
              <w:jc w:val="left"/>
              <w:rPr>
                <w:rFonts w:cs="仿宋" w:asciiTheme="minorEastAsia" w:hAnsiTheme="minorEastAsia"/>
                <w:color w:val="000000" w:themeColor="text1"/>
                <w:sz w:val="28"/>
                <w:szCs w:val="28"/>
              </w:rPr>
            </w:pPr>
          </w:p>
        </w:tc>
      </w:tr>
      <w:tr>
        <w:tblPrEx>
          <w:tblCellMar>
            <w:top w:w="0" w:type="dxa"/>
            <w:left w:w="0" w:type="dxa"/>
            <w:bottom w:w="0" w:type="dxa"/>
            <w:right w:w="0" w:type="dxa"/>
          </w:tblCellMar>
        </w:tblPrEx>
        <w:trPr>
          <w:trHeight w:val="724" w:hRule="atLeast"/>
        </w:trPr>
        <w:tc>
          <w:tcPr>
            <w:tcW w:w="4220" w:type="dxa"/>
            <w:gridSpan w:val="11"/>
            <w:shd w:val="clear" w:color="auto" w:fill="auto"/>
            <w:vAlign w:val="bottom"/>
          </w:tcPr>
          <w:p>
            <w:pPr>
              <w:autoSpaceDE w:val="0"/>
              <w:autoSpaceDN w:val="0"/>
              <w:spacing w:line="320" w:lineRule="exact"/>
              <w:ind w:left="20"/>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法定代表人或其委托代理人：</w:t>
            </w: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w w:val="98"/>
                <w:kern w:val="0"/>
                <w:sz w:val="28"/>
                <w:szCs w:val="28"/>
              </w:rPr>
              <w:t>（签章）</w:t>
            </w:r>
          </w:p>
        </w:tc>
      </w:tr>
      <w:tr>
        <w:tblPrEx>
          <w:tblCellMar>
            <w:top w:w="0" w:type="dxa"/>
            <w:left w:w="0" w:type="dxa"/>
            <w:bottom w:w="0" w:type="dxa"/>
            <w:right w:w="0" w:type="dxa"/>
          </w:tblCellMar>
        </w:tblPrEx>
        <w:trPr>
          <w:trHeight w:val="724" w:hRule="atLeast"/>
        </w:trPr>
        <w:tc>
          <w:tcPr>
            <w:tcW w:w="1820" w:type="dxa"/>
            <w:gridSpan w:val="5"/>
            <w:shd w:val="clear" w:color="auto" w:fill="auto"/>
            <w:vAlign w:val="bottom"/>
          </w:tcPr>
          <w:p>
            <w:pPr>
              <w:autoSpaceDE w:val="0"/>
              <w:autoSpaceDN w:val="0"/>
              <w:spacing w:line="320" w:lineRule="exact"/>
              <w:ind w:left="20"/>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联系电话：</w:t>
            </w:r>
          </w:p>
        </w:tc>
        <w:tc>
          <w:tcPr>
            <w:tcW w:w="5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30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6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r>
    </w:tbl>
    <w:p>
      <w:pPr>
        <w:autoSpaceDE w:val="0"/>
        <w:autoSpaceDN w:val="0"/>
        <w:jc w:val="left"/>
        <w:rPr>
          <w:rFonts w:cs="仿宋" w:asciiTheme="minorEastAsia" w:hAnsiTheme="minorEastAsia"/>
          <w:color w:val="000000" w:themeColor="text1"/>
          <w:sz w:val="28"/>
          <w:szCs w:val="28"/>
        </w:rPr>
      </w:pPr>
    </w:p>
    <w:tbl>
      <w:tblPr>
        <w:tblStyle w:val="21"/>
        <w:tblW w:w="7040" w:type="dxa"/>
        <w:tblInd w:w="2140" w:type="dxa"/>
        <w:tblLayout w:type="fixed"/>
        <w:tblCellMar>
          <w:top w:w="0" w:type="dxa"/>
          <w:left w:w="0" w:type="dxa"/>
          <w:bottom w:w="0" w:type="dxa"/>
          <w:right w:w="0" w:type="dxa"/>
        </w:tblCellMar>
      </w:tblPr>
      <w:tblGrid>
        <w:gridCol w:w="840"/>
        <w:gridCol w:w="580"/>
        <w:gridCol w:w="120"/>
        <w:gridCol w:w="280"/>
        <w:gridCol w:w="560"/>
        <w:gridCol w:w="860"/>
        <w:gridCol w:w="120"/>
        <w:gridCol w:w="860"/>
        <w:gridCol w:w="580"/>
        <w:gridCol w:w="280"/>
        <w:gridCol w:w="1960"/>
      </w:tblGrid>
      <w:tr>
        <w:tblPrEx>
          <w:tblCellMar>
            <w:top w:w="0" w:type="dxa"/>
            <w:left w:w="0" w:type="dxa"/>
            <w:bottom w:w="0" w:type="dxa"/>
            <w:right w:w="0" w:type="dxa"/>
          </w:tblCellMar>
        </w:tblPrEx>
        <w:trPr>
          <w:trHeight w:val="724" w:hRule="atLeast"/>
        </w:trPr>
        <w:tc>
          <w:tcPr>
            <w:tcW w:w="84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2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tcBorders>
              <w:top w:val="single" w:color="auto" w:sz="8" w:space="0"/>
              <w:left w:val="nil"/>
              <w:bottom w:val="nil"/>
              <w:right w:val="nil"/>
            </w:tcBorders>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w w:val="92"/>
                <w:kern w:val="0"/>
                <w:sz w:val="28"/>
                <w:szCs w:val="28"/>
              </w:rPr>
              <w:t>年</w:t>
            </w:r>
          </w:p>
        </w:tc>
        <w:tc>
          <w:tcPr>
            <w:tcW w:w="560" w:type="dxa"/>
            <w:tcBorders>
              <w:top w:val="single" w:color="auto" w:sz="8" w:space="0"/>
              <w:left w:val="nil"/>
              <w:bottom w:val="nil"/>
              <w:right w:val="nil"/>
            </w:tcBorders>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860" w:type="dxa"/>
            <w:tcBorders>
              <w:top w:val="single" w:color="auto" w:sz="8" w:space="0"/>
              <w:left w:val="nil"/>
              <w:bottom w:val="nil"/>
              <w:right w:val="nil"/>
            </w:tcBorders>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月</w:t>
            </w:r>
          </w:p>
        </w:tc>
        <w:tc>
          <w:tcPr>
            <w:tcW w:w="12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860" w:type="dxa"/>
            <w:shd w:val="clear" w:color="auto" w:fill="auto"/>
            <w:vAlign w:val="bottom"/>
          </w:tcPr>
          <w:p>
            <w:pPr>
              <w:autoSpaceDE w:val="0"/>
              <w:autoSpaceDN w:val="0"/>
              <w:spacing w:line="320" w:lineRule="exact"/>
              <w:jc w:val="left"/>
              <w:rPr>
                <w:rFonts w:cs="仿宋" w:asciiTheme="minorEastAsia" w:hAnsiTheme="minorEastAsia"/>
                <w:color w:val="000000" w:themeColor="text1"/>
                <w:sz w:val="28"/>
                <w:szCs w:val="28"/>
              </w:rPr>
            </w:pPr>
            <w:r>
              <w:rPr>
                <w:rFonts w:hint="eastAsia" w:cs="仿宋" w:asciiTheme="minorEastAsia" w:hAnsiTheme="minorEastAsia"/>
                <w:b/>
                <w:color w:val="000000" w:themeColor="text1"/>
                <w:kern w:val="0"/>
                <w:sz w:val="28"/>
                <w:szCs w:val="28"/>
              </w:rPr>
              <w:t>日</w:t>
            </w:r>
          </w:p>
        </w:tc>
        <w:tc>
          <w:tcPr>
            <w:tcW w:w="5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28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c>
          <w:tcPr>
            <w:tcW w:w="1960" w:type="dxa"/>
            <w:shd w:val="clear" w:color="auto" w:fill="auto"/>
            <w:vAlign w:val="bottom"/>
          </w:tcPr>
          <w:p>
            <w:pPr>
              <w:autoSpaceDE w:val="0"/>
              <w:autoSpaceDN w:val="0"/>
              <w:jc w:val="left"/>
              <w:rPr>
                <w:rFonts w:cs="仿宋" w:asciiTheme="minorEastAsia" w:hAnsiTheme="minorEastAsia"/>
                <w:color w:val="000000" w:themeColor="text1"/>
                <w:sz w:val="28"/>
                <w:szCs w:val="28"/>
              </w:rPr>
            </w:pPr>
          </w:p>
        </w:tc>
      </w:tr>
    </w:tbl>
    <w:p>
      <w:pPr>
        <w:pStyle w:val="2"/>
        <w:widowControl/>
        <w:rPr>
          <w:rFonts w:hint="default" w:cs="仿宋" w:asciiTheme="minorEastAsia" w:hAnsiTheme="minorEastAsia" w:eastAsiaTheme="minorEastAsia"/>
          <w:color w:val="000000" w:themeColor="text1"/>
          <w:sz w:val="28"/>
          <w:szCs w:val="28"/>
        </w:rPr>
      </w:pPr>
    </w:p>
    <w:p>
      <w:pPr>
        <w:widowControl/>
        <w:autoSpaceDN w:val="0"/>
        <w:jc w:val="left"/>
        <w:rPr>
          <w:rFonts w:ascii="仿宋" w:hAnsi="仿宋" w:eastAsia="仿宋" w:cs="仿宋"/>
          <w:b/>
          <w:color w:val="000000" w:themeColor="text1"/>
          <w:sz w:val="30"/>
          <w:szCs w:val="22"/>
        </w:rPr>
      </w:pPr>
      <w:bookmarkStart w:id="59" w:name="二、法定代表人/单位负责人授权书"/>
      <w:bookmarkEnd w:id="59"/>
      <w:bookmarkStart w:id="60" w:name="一、法定代表人/单位负责人身份证明"/>
      <w:bookmarkEnd w:id="60"/>
      <w:r>
        <w:rPr>
          <w:rFonts w:hint="eastAsia" w:ascii="仿宋" w:hAnsi="仿宋" w:eastAsia="仿宋" w:cs="仿宋"/>
          <w:b/>
          <w:color w:val="000000" w:themeColor="text1"/>
          <w:sz w:val="30"/>
          <w:szCs w:val="22"/>
          <w:lang w:val="zh-CN" w:bidi="zh-CN"/>
        </w:rPr>
        <w:br w:type="page"/>
      </w:r>
    </w:p>
    <w:p>
      <w:pPr>
        <w:tabs>
          <w:tab w:val="left" w:pos="5160"/>
        </w:tabs>
        <w:autoSpaceDE w:val="0"/>
        <w:autoSpaceDN w:val="0"/>
        <w:spacing w:line="500" w:lineRule="exact"/>
        <w:ind w:left="4300"/>
        <w:rPr>
          <w:rFonts w:ascii="黑体" w:hAnsi="黑体" w:eastAsia="黑体" w:cs="仿宋"/>
          <w:color w:val="000000" w:themeColor="text1"/>
          <w:sz w:val="36"/>
          <w:szCs w:val="36"/>
        </w:rPr>
      </w:pPr>
      <w:r>
        <w:rPr>
          <w:rFonts w:hint="eastAsia" w:ascii="黑体" w:hAnsi="黑体" w:eastAsia="黑体" w:cs="仿宋"/>
          <w:color w:val="000000" w:themeColor="text1"/>
          <w:kern w:val="0"/>
          <w:sz w:val="36"/>
          <w:szCs w:val="36"/>
        </w:rPr>
        <w:t>目</w:t>
      </w:r>
      <w:r>
        <w:rPr>
          <w:rFonts w:hint="eastAsia" w:ascii="黑体" w:hAnsi="黑体" w:eastAsia="黑体" w:cs="仿宋"/>
          <w:color w:val="000000" w:themeColor="text1"/>
          <w:kern w:val="0"/>
          <w:sz w:val="36"/>
          <w:szCs w:val="36"/>
        </w:rPr>
        <w:tab/>
      </w:r>
      <w:r>
        <w:rPr>
          <w:rFonts w:hint="eastAsia" w:ascii="黑体" w:hAnsi="黑体" w:eastAsia="黑体" w:cs="仿宋"/>
          <w:color w:val="000000" w:themeColor="text1"/>
          <w:sz w:val="36"/>
          <w:szCs w:val="36"/>
        </w:rPr>
        <w:t>录</w:t>
      </w:r>
    </w:p>
    <w:p>
      <w:pPr>
        <w:autoSpaceDE w:val="0"/>
        <w:autoSpaceDN w:val="0"/>
        <w:spacing w:line="500" w:lineRule="exact"/>
        <w:jc w:val="left"/>
        <w:rPr>
          <w:rFonts w:ascii="仿宋" w:hAnsi="仿宋" w:eastAsia="仿宋" w:cs="仿宋"/>
          <w:color w:val="000000" w:themeColor="text1"/>
          <w:sz w:val="20"/>
          <w:szCs w:val="20"/>
        </w:rPr>
      </w:pPr>
    </w:p>
    <w:p>
      <w:pPr>
        <w:pStyle w:val="4"/>
        <w:snapToGrid w:val="0"/>
        <w:spacing w:before="0" w:line="500" w:lineRule="exact"/>
        <w:rPr>
          <w:rFonts w:hint="default" w:cs="仿宋" w:asciiTheme="minorEastAsia" w:hAnsiTheme="minorEastAsia"/>
          <w:color w:val="000000" w:themeColor="text1"/>
          <w:sz w:val="28"/>
          <w:szCs w:val="28"/>
        </w:rPr>
      </w:pPr>
      <w:r>
        <w:rPr>
          <w:rFonts w:ascii="黑体" w:hAnsi="黑体" w:eastAsia="黑体" w:cs="仿宋"/>
          <w:b w:val="0"/>
          <w:color w:val="000000" w:themeColor="text1"/>
          <w:sz w:val="32"/>
          <w:szCs w:val="32"/>
        </w:rPr>
        <w:t>一、法定代表人（负责人）授权书（实质性要求）</w:t>
      </w:r>
    </w:p>
    <w:p>
      <w:pPr>
        <w:pStyle w:val="4"/>
        <w:snapToGrid w:val="0"/>
        <w:spacing w:before="0" w:line="500" w:lineRule="exact"/>
        <w:ind w:firstLine="960" w:firstLineChars="300"/>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二、承诺函（实质性要求）</w:t>
      </w:r>
    </w:p>
    <w:p>
      <w:pPr>
        <w:pStyle w:val="4"/>
        <w:snapToGrid w:val="0"/>
        <w:spacing w:before="0" w:line="500" w:lineRule="exact"/>
        <w:ind w:firstLine="960" w:firstLineChars="300"/>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三、资格证明材料（实质性要求）</w:t>
      </w:r>
    </w:p>
    <w:p>
      <w:pPr>
        <w:pStyle w:val="58"/>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四、法律、行政法规规定的其他条件（如有）</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五、中小企业声明函（专门面向中小企业的项目提供）</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六、残疾人福利性单位声明函（专门面向中小企业的项目提供）</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七、监狱企业的证明文件（专门面向中小企业的项目提供）</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八、供应商基本情况表</w:t>
      </w:r>
    </w:p>
    <w:p>
      <w:pPr>
        <w:autoSpaceDE w:val="0"/>
        <w:autoSpaceDN w:val="0"/>
        <w:spacing w:line="500" w:lineRule="exact"/>
        <w:ind w:firstLine="960" w:firstLineChars="300"/>
        <w:jc w:val="left"/>
        <w:rPr>
          <w:rFonts w:ascii="黑体" w:hAnsi="黑体" w:eastAsia="黑体" w:cs="仿宋"/>
          <w:color w:val="000000" w:themeColor="text1"/>
          <w:kern w:val="0"/>
          <w:sz w:val="32"/>
          <w:szCs w:val="32"/>
        </w:rPr>
      </w:pPr>
      <w:r>
        <w:rPr>
          <w:rFonts w:hint="eastAsia" w:ascii="黑体" w:hAnsi="黑体" w:eastAsia="黑体" w:cs="仿宋"/>
          <w:color w:val="000000" w:themeColor="text1"/>
          <w:kern w:val="0"/>
          <w:sz w:val="32"/>
          <w:szCs w:val="32"/>
        </w:rPr>
        <w:t>九、供应商认为需要提供的其他文件和资料。</w:t>
      </w:r>
    </w:p>
    <w:p>
      <w:pPr>
        <w:autoSpaceDE w:val="0"/>
        <w:autoSpaceDN w:val="0"/>
        <w:jc w:val="left"/>
        <w:rPr>
          <w:rFonts w:ascii="黑体" w:hAnsi="黑体" w:eastAsia="黑体" w:cs="仿宋"/>
          <w:color w:val="000000" w:themeColor="text1"/>
          <w:kern w:val="0"/>
          <w:sz w:val="32"/>
          <w:szCs w:val="32"/>
        </w:rPr>
      </w:pPr>
    </w:p>
    <w:p>
      <w:pPr>
        <w:autoSpaceDE w:val="0"/>
        <w:autoSpaceDN w:val="0"/>
        <w:spacing w:line="228" w:lineRule="exact"/>
        <w:jc w:val="left"/>
        <w:rPr>
          <w:rFonts w:ascii="仿宋" w:hAnsi="仿宋" w:eastAsia="仿宋" w:cs="仿宋"/>
          <w:color w:val="000000" w:themeColor="text1"/>
          <w:sz w:val="20"/>
          <w:szCs w:val="20"/>
        </w:rPr>
      </w:pPr>
    </w:p>
    <w:p>
      <w:pPr>
        <w:widowControl/>
        <w:autoSpaceDN w:val="0"/>
        <w:jc w:val="left"/>
        <w:rPr>
          <w:rFonts w:ascii="仿宋" w:hAnsi="仿宋" w:eastAsia="仿宋" w:cs="仿宋"/>
          <w:color w:val="000000" w:themeColor="text1"/>
          <w:szCs w:val="21"/>
        </w:rPr>
      </w:pPr>
      <w:r>
        <w:rPr>
          <w:rFonts w:hint="eastAsia" w:ascii="仿宋" w:hAnsi="仿宋" w:eastAsia="仿宋" w:cs="仿宋"/>
          <w:color w:val="000000" w:themeColor="text1"/>
          <w:szCs w:val="21"/>
          <w:lang w:val="zh-CN" w:bidi="zh-CN"/>
        </w:rPr>
        <w:br w:type="page"/>
      </w:r>
    </w:p>
    <w:p>
      <w:pPr>
        <w:pStyle w:val="4"/>
        <w:snapToGrid w:val="0"/>
        <w:spacing w:before="0" w:line="500" w:lineRule="exact"/>
        <w:rPr>
          <w:rFonts w:hint="default" w:ascii="黑体" w:hAnsi="黑体" w:eastAsia="黑体" w:cs="仿宋"/>
          <w:b w:val="0"/>
          <w:color w:val="000000" w:themeColor="text1"/>
          <w:sz w:val="32"/>
          <w:szCs w:val="32"/>
        </w:rPr>
      </w:pPr>
      <w:bookmarkStart w:id="61" w:name="_Toc1021"/>
      <w:bookmarkStart w:id="62" w:name="_Toc60399691"/>
      <w:r>
        <w:rPr>
          <w:rFonts w:ascii="黑体" w:hAnsi="黑体" w:eastAsia="黑体" w:cs="仿宋"/>
          <w:b w:val="0"/>
          <w:color w:val="000000" w:themeColor="text1"/>
          <w:sz w:val="32"/>
          <w:szCs w:val="32"/>
        </w:rPr>
        <w:t>一、法定代表人（负责人）授权书（格式）</w:t>
      </w:r>
    </w:p>
    <w:p>
      <w:pPr>
        <w:pStyle w:val="4"/>
        <w:snapToGrid w:val="0"/>
        <w:spacing w:before="0" w:line="500" w:lineRule="exact"/>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__________________（采购代理机构名称）：</w:t>
      </w:r>
    </w:p>
    <w:p>
      <w:pPr>
        <w:pStyle w:val="4"/>
        <w:snapToGrid w:val="0"/>
        <w:spacing w:before="0" w:line="500" w:lineRule="exact"/>
        <w:rPr>
          <w:rFonts w:hint="default" w:ascii="黑体" w:hAnsi="黑体" w:eastAsia="黑体" w:cs="仿宋"/>
          <w:b w:val="0"/>
          <w:color w:val="000000" w:themeColor="text1"/>
          <w:sz w:val="32"/>
          <w:szCs w:val="32"/>
        </w:rPr>
      </w:pPr>
      <w:r>
        <w:rPr>
          <w:rFonts w:hint="default" w:ascii="黑体" w:hAnsi="黑体" w:eastAsia="黑体" w:cs="仿宋"/>
          <w:b w:val="0"/>
          <w:color w:val="000000" w:themeColor="text1"/>
          <w:sz w:val="32"/>
          <w:szCs w:val="32"/>
        </w:rPr>
        <w:t xml:space="preserve">     </w:t>
      </w:r>
      <w:r>
        <w:rPr>
          <w:rFonts w:ascii="黑体" w:hAnsi="黑体" w:eastAsia="黑体" w:cs="仿宋"/>
          <w:b w:val="0"/>
          <w:color w:val="000000" w:themeColor="text1"/>
          <w:sz w:val="32"/>
          <w:szCs w:val="32"/>
        </w:rPr>
        <w:t>本授权声明：XXX（供应商名称）XXX（法定代表人（负责人）姓名、职务）授权XXX（被授权人姓名、职务）为我方“XXX”项目（采购项目编号XXX）资格预审采购活动的合法代表，以我方</w:t>
      </w:r>
    </w:p>
    <w:p>
      <w:pPr>
        <w:pStyle w:val="4"/>
        <w:snapToGrid w:val="0"/>
        <w:spacing w:before="0" w:line="500" w:lineRule="exact"/>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名义全权处理该项目有关资格预审采购活动等一切事宜。</w:t>
      </w:r>
    </w:p>
    <w:p>
      <w:pPr>
        <w:pStyle w:val="4"/>
        <w:snapToGrid w:val="0"/>
        <w:spacing w:before="0" w:line="500" w:lineRule="exact"/>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特此声明。</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法定代表人（负责人）：（签章）</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授权代表：（签章）</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供应商名称：（签章）</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日期：   年  月  日</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注：必须附法定代表人（负责人）和授权代表的身份证（正反两面扫描件）。</w:t>
      </w: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p>
    <w:p>
      <w:pPr>
        <w:pStyle w:val="4"/>
        <w:snapToGrid w:val="0"/>
        <w:spacing w:before="0" w:line="500" w:lineRule="exact"/>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二、承诺函</w:t>
      </w:r>
      <w:bookmarkEnd w:id="61"/>
      <w:r>
        <w:rPr>
          <w:rFonts w:ascii="黑体" w:hAnsi="黑体" w:eastAsia="黑体" w:cs="仿宋"/>
          <w:b w:val="0"/>
          <w:color w:val="000000" w:themeColor="text1"/>
          <w:sz w:val="32"/>
          <w:szCs w:val="32"/>
        </w:rPr>
        <w:t>（实质性要求）</w:t>
      </w:r>
      <w:bookmarkEnd w:id="62"/>
    </w:p>
    <w:p>
      <w:pPr>
        <w:spacing w:line="500" w:lineRule="exact"/>
        <w:rPr>
          <w:rFonts w:ascii="宋体" w:hAnsi="宋体"/>
          <w:color w:val="000000" w:themeColor="text1"/>
          <w:sz w:val="28"/>
          <w:szCs w:val="28"/>
        </w:rPr>
      </w:pPr>
      <w:bookmarkStart w:id="63" w:name="致：四川致恒招标代理有限公司"/>
      <w:bookmarkEnd w:id="63"/>
      <w:bookmarkStart w:id="64" w:name="我公司作为本次采购项目的申请人，根据资格预审文件要求，现郑重承诺如下："/>
      <w:bookmarkEnd w:id="64"/>
    </w:p>
    <w:p>
      <w:pPr>
        <w:spacing w:line="500" w:lineRule="exact"/>
        <w:rPr>
          <w:rFonts w:ascii="宋体" w:hAnsi="宋体"/>
          <w:color w:val="000000" w:themeColor="text1"/>
          <w:sz w:val="28"/>
          <w:szCs w:val="28"/>
        </w:rPr>
      </w:pPr>
      <w:r>
        <w:rPr>
          <w:rFonts w:hint="eastAsia" w:ascii="宋体" w:hAnsi="宋体"/>
          <w:color w:val="000000" w:themeColor="text1"/>
          <w:sz w:val="28"/>
          <w:szCs w:val="28"/>
        </w:rPr>
        <w:t>__________________（采购人名称）：</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我公司作为XXXX采购项目的供应商，根据资格预审文件要求，现郑重承诺如下：</w:t>
      </w:r>
      <w:bookmarkStart w:id="65" w:name="一、具备《中华人民共和国政府采购法》第二十二条第一款和本项目规定的条件："/>
      <w:bookmarkEnd w:id="65"/>
    </w:p>
    <w:p>
      <w:pPr>
        <w:pStyle w:val="2"/>
        <w:snapToGrid w:val="0"/>
        <w:spacing w:after="0" w:line="500" w:lineRule="exact"/>
        <w:ind w:right="-29" w:firstLine="556"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pacing w:val="-1"/>
          <w:sz w:val="28"/>
          <w:szCs w:val="28"/>
        </w:rPr>
        <w:t>一、具备《中华人民共和国政府采购法》第二十二条第一款和本项目规定的条件：</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bookmarkStart w:id="66" w:name="（一）具有独立承担民事责任的能力；___（二）具有良好的商业信誉和健全的财务会计"/>
      <w:bookmarkEnd w:id="66"/>
      <w:r>
        <w:rPr>
          <w:rFonts w:cs="仿宋" w:asciiTheme="minorEastAsia" w:hAnsiTheme="minorEastAsia" w:eastAsiaTheme="minorEastAsia"/>
          <w:color w:val="000000" w:themeColor="text1"/>
          <w:sz w:val="28"/>
          <w:szCs w:val="28"/>
        </w:rPr>
        <w:t>（一）具有独立承担民事责任的能力；</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（二）具有良好的商业信誉和健全的财务会计制度；</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（三）具有履行合同所必需的设备和专业技术能力；</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（四）具有依法缴纳税收和社会保障资金的良好记录；</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（五）参加政府采购活动前三年内，在经营活动中没有重大违法记录；</w:t>
      </w:r>
    </w:p>
    <w:p>
      <w:pPr>
        <w:pStyle w:val="2"/>
        <w:snapToGrid w:val="0"/>
        <w:spacing w:after="0" w:line="500" w:lineRule="exact"/>
        <w:ind w:firstLine="560" w:firstLineChars="20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（六）法律、行政法规规定的其他条件；</w:t>
      </w:r>
    </w:p>
    <w:p>
      <w:pPr>
        <w:pStyle w:val="2"/>
        <w:snapToGrid w:val="0"/>
        <w:spacing w:after="0" w:line="500" w:lineRule="exact"/>
        <w:ind w:right="-29" w:firstLine="560" w:firstLineChars="200"/>
        <w:jc w:val="both"/>
        <w:rPr>
          <w:rFonts w:hint="default" w:cs="仿宋" w:asciiTheme="minorEastAsia" w:hAnsiTheme="minorEastAsia" w:eastAsiaTheme="minorEastAsia"/>
          <w:color w:val="000000" w:themeColor="text1"/>
          <w:sz w:val="28"/>
          <w:szCs w:val="28"/>
        </w:rPr>
      </w:pPr>
      <w:bookmarkStart w:id="67" w:name="二、完全接受和满足本项目资格预审文件中规定的实质性要求，如对资格预审文件有异议，"/>
      <w:bookmarkEnd w:id="67"/>
      <w:bookmarkStart w:id="68" w:name="（六）法律、行政法规规定的其他条件；"/>
      <w:bookmarkEnd w:id="68"/>
      <w:r>
        <w:rPr>
          <w:rFonts w:cs="仿宋" w:asciiTheme="minorEastAsia" w:hAnsiTheme="minorEastAsia" w:eastAsiaTheme="minorEastAsia"/>
          <w:color w:val="000000" w:themeColor="text1"/>
          <w:sz w:val="28"/>
          <w:szCs w:val="28"/>
        </w:rPr>
        <w:t>二、我公司完全接受和满足本项目资格预审文件中规定的实质性要求，如对资格预审文件有异议，已经在递交申请文件截止时间届满前依法进行维权救济，不存在对资格预审文件有异议的同时又参加资格预审活动以求侥幸成交或者为实现其他非法目的的行为。</w:t>
      </w:r>
    </w:p>
    <w:p>
      <w:pPr>
        <w:pStyle w:val="2"/>
        <w:snapToGrid w:val="0"/>
        <w:spacing w:after="0" w:line="500" w:lineRule="exact"/>
        <w:ind w:right="-29" w:firstLine="560" w:firstLineChars="200"/>
        <w:jc w:val="both"/>
        <w:rPr>
          <w:rFonts w:hint="default" w:cs="仿宋" w:asciiTheme="minorEastAsia" w:hAnsiTheme="minorEastAsia" w:eastAsiaTheme="minorEastAsia"/>
          <w:color w:val="000000" w:themeColor="text1"/>
          <w:sz w:val="28"/>
          <w:szCs w:val="28"/>
        </w:rPr>
      </w:pPr>
      <w:bookmarkStart w:id="69" w:name="三、我公司截至资格预审申请文件递交截止日未被列入失信被执行人、重大税收违法案件当"/>
      <w:bookmarkEnd w:id="69"/>
      <w:r>
        <w:rPr>
          <w:rFonts w:cs="仿宋" w:asciiTheme="minorEastAsia" w:hAnsiTheme="minorEastAsia" w:eastAsiaTheme="minorEastAsia"/>
          <w:color w:val="000000" w:themeColor="text1"/>
          <w:sz w:val="28"/>
          <w:szCs w:val="28"/>
        </w:rPr>
        <w:t>三、我公司截至资格预审申请文件递交截止日未被列入失信被执行人、重大税收违法案件当事人名单、政府采购严重违法失信行为记录名单。</w:t>
      </w:r>
    </w:p>
    <w:p>
      <w:pPr>
        <w:pStyle w:val="2"/>
        <w:snapToGrid w:val="0"/>
        <w:spacing w:after="0" w:line="500" w:lineRule="exact"/>
        <w:ind w:right="-29" w:firstLine="560" w:firstLineChars="200"/>
        <w:jc w:val="both"/>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四、我公司及我公司现任法定代表人、主要负责人在参加本次政府采购活动前3年内没有行贿犯罪记录；</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0" w:name="五、为采购项目提供整体设计、规范编制或者项目管理、监理、检测等服务的供应商，不得"/>
      <w:bookmarkEnd w:id="70"/>
      <w:bookmarkStart w:id="71" w:name="四、我公司在参加本次采购活动中，不存在与单位负责人为同一人或者存在直接控股、管理"/>
      <w:bookmarkEnd w:id="71"/>
      <w:r>
        <w:rPr>
          <w:rFonts w:cs="仿宋" w:asciiTheme="minorEastAsia" w:hAnsiTheme="minorEastAsia" w:eastAsiaTheme="minorEastAsia"/>
          <w:color w:val="000000" w:themeColor="text1"/>
          <w:sz w:val="28"/>
          <w:szCs w:val="28"/>
        </w:rPr>
        <w:t>五、为采购项目提供整体设计、规范编制或者项目管理、监理、检测等服务的供应商， 不得再参加该采购项目的其他采购活动，我方承诺不属于此类禁止参加本项目的供应商。</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2" w:name="六、在参加本次采购活动中，不存在和其他供应商在同一合同项下的采购项目中，同时委托"/>
      <w:bookmarkEnd w:id="72"/>
      <w:r>
        <w:rPr>
          <w:rFonts w:cs="仿宋" w:asciiTheme="minorEastAsia" w:hAnsiTheme="minorEastAsia" w:eastAsiaTheme="minorEastAsia"/>
          <w:color w:val="000000" w:themeColor="text1"/>
          <w:sz w:val="28"/>
          <w:szCs w:val="28"/>
        </w:rPr>
        <w:t>六、在参加本次采购活动中，不存在和其他供应商在同一合同项下的采购项目中，同时委托同一个自然人、同一家庭的人员、同一单位的人员作为代理人的行为。</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3" w:name="七、我方实际控制人或者中高级管理人员或者其他工作人员，不存在同时是采购代理机构工"/>
      <w:bookmarkEnd w:id="73"/>
      <w:r>
        <w:rPr>
          <w:rFonts w:cs="仿宋" w:asciiTheme="minorEastAsia" w:hAnsiTheme="minorEastAsia" w:eastAsiaTheme="minorEastAsia"/>
          <w:color w:val="000000" w:themeColor="text1"/>
          <w:sz w:val="28"/>
          <w:szCs w:val="28"/>
        </w:rPr>
        <w:t>七、我方实际控制人或者中高级管理人员或者其他工作人员，不存在同时是采购代理机构工作人员的情形。</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4" w:name="八、不存在同一母公司的两家以上的子公司，以不同供应商身份同时参加本项目同一合同项"/>
      <w:bookmarkEnd w:id="74"/>
      <w:r>
        <w:rPr>
          <w:rFonts w:cs="仿宋" w:asciiTheme="minorEastAsia" w:hAnsiTheme="minorEastAsia" w:eastAsiaTheme="minorEastAsia"/>
          <w:color w:val="000000" w:themeColor="text1"/>
          <w:sz w:val="28"/>
          <w:szCs w:val="28"/>
        </w:rPr>
        <w:t>八、不存在同一母公司的两家以上的子公司，以不同供应商身份同时参加本项目同一合同项下的采购活动的情形。</w:t>
      </w: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5" w:name="九、我方与采购代理机构不存在关联关系，也不是采购代理机构的母公司或子公司。"/>
      <w:bookmarkEnd w:id="75"/>
      <w:r>
        <w:rPr>
          <w:rFonts w:cs="仿宋" w:asciiTheme="minorEastAsia" w:hAnsiTheme="minorEastAsia" w:eastAsiaTheme="minorEastAsia"/>
          <w:color w:val="000000" w:themeColor="text1"/>
          <w:sz w:val="28"/>
          <w:szCs w:val="28"/>
        </w:rPr>
        <w:t>九、我方与采购代理机构不存在关联关系，也不是采购代理机构的母公司或子公司。</w:t>
      </w:r>
      <w:bookmarkStart w:id="76" w:name="十、如果有《四川省政府采购当事人诚信管理办法》（川财采[2015]33号）规定的"/>
      <w:bookmarkEnd w:id="76"/>
    </w:p>
    <w:p>
      <w:pPr>
        <w:pStyle w:val="71"/>
        <w:ind w:firstLine="560"/>
        <w:rPr>
          <w:rFonts w:cs="仿宋" w:asciiTheme="minorEastAsia" w:hAnsiTheme="minorEastAsia" w:eastAsiaTheme="minorEastAsia"/>
          <w:color w:val="000000" w:themeColor="text1"/>
          <w:sz w:val="28"/>
          <w:szCs w:val="28"/>
        </w:rPr>
      </w:pPr>
      <w:r>
        <w:rPr>
          <w:rFonts w:hint="eastAsia" w:cs="仿宋" w:asciiTheme="minorEastAsia" w:hAnsiTheme="minorEastAsia" w:eastAsiaTheme="minorEastAsia"/>
          <w:color w:val="000000" w:themeColor="text1"/>
          <w:sz w:val="28"/>
          <w:szCs w:val="28"/>
          <w:lang w:val="en-US"/>
        </w:rPr>
        <w:t>十</w:t>
      </w:r>
      <w:r>
        <w:rPr>
          <w:rFonts w:cs="仿宋" w:asciiTheme="minorEastAsia" w:hAnsiTheme="minorEastAsia" w:eastAsiaTheme="minorEastAsia"/>
          <w:color w:val="000000" w:themeColor="text1"/>
          <w:sz w:val="28"/>
          <w:szCs w:val="28"/>
        </w:rPr>
        <w:t>、如果有《四川省政府采购当事人诚信管理办法》（川财采[2015]33 号）规定的记入诚信档案的失信行为，将在资格预审申请文件中全面如实反映。</w:t>
      </w:r>
      <w:bookmarkStart w:id="77" w:name="十一、我公司不属于禁止参加本项目政府采购活动的申请人。"/>
      <w:bookmarkEnd w:id="77"/>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p>
    <w:p>
      <w:pPr>
        <w:pStyle w:val="2"/>
        <w:snapToGrid w:val="0"/>
        <w:spacing w:after="0" w:line="500" w:lineRule="exact"/>
        <w:ind w:right="-29" w:firstLine="560" w:firstLineChars="200"/>
        <w:rPr>
          <w:rFonts w:hint="default" w:cs="仿宋" w:asciiTheme="minorEastAsia" w:hAnsiTheme="minorEastAsia" w:eastAsiaTheme="minorEastAsia"/>
          <w:color w:val="000000" w:themeColor="text1"/>
          <w:sz w:val="28"/>
          <w:szCs w:val="28"/>
        </w:rPr>
      </w:pPr>
      <w:bookmarkStart w:id="78" w:name="申请文件中提供的任何资料和响应承诺情况都是真实的、有效的、合法的。"/>
      <w:bookmarkEnd w:id="78"/>
      <w:r>
        <w:rPr>
          <w:rFonts w:cs="仿宋" w:asciiTheme="minorEastAsia" w:hAnsiTheme="minorEastAsia" w:eastAsiaTheme="minorEastAsia"/>
          <w:color w:val="000000" w:themeColor="text1"/>
          <w:sz w:val="28"/>
          <w:szCs w:val="28"/>
        </w:rPr>
        <w:t>本公司对上述承诺的内容事项真实性负责。如经查实上述承诺的内容事项存在虚假， 我公司愿意接受以提供虚假材料谋取成交追究法律责任。</w:t>
      </w:r>
    </w:p>
    <w:p>
      <w:pPr>
        <w:spacing w:line="500" w:lineRule="exact"/>
        <w:rPr>
          <w:color w:val="000000" w:themeColor="text1"/>
        </w:rPr>
      </w:pPr>
    </w:p>
    <w:p>
      <w:pPr>
        <w:pStyle w:val="20"/>
        <w:spacing w:after="0" w:line="500" w:lineRule="exact"/>
        <w:ind w:firstLine="220"/>
        <w:rPr>
          <w:rFonts w:hint="default"/>
          <w:color w:val="000000" w:themeColor="text1"/>
        </w:rPr>
      </w:pPr>
    </w:p>
    <w:p>
      <w:pPr>
        <w:pStyle w:val="2"/>
        <w:tabs>
          <w:tab w:val="left" w:pos="2959"/>
          <w:tab w:val="left" w:pos="3919"/>
        </w:tabs>
        <w:snapToGrid w:val="0"/>
        <w:spacing w:after="0" w:line="500" w:lineRule="exact"/>
        <w:ind w:left="920" w:firstLine="700" w:firstLineChars="250"/>
        <w:rPr>
          <w:rFonts w:hint="default" w:cs="仿宋" w:asciiTheme="minorEastAsia" w:hAnsiTheme="minorEastAsia" w:eastAsiaTheme="minorEastAsia"/>
          <w:color w:val="000000" w:themeColor="text1"/>
          <w:sz w:val="28"/>
          <w:szCs w:val="28"/>
          <w:u w:val="single"/>
        </w:rPr>
      </w:pPr>
      <w:r>
        <w:rPr>
          <w:rFonts w:cs="仿宋" w:asciiTheme="minorEastAsia" w:hAnsiTheme="minorEastAsia" w:eastAsiaTheme="minorEastAsia"/>
          <w:color w:val="000000" w:themeColor="text1"/>
          <w:sz w:val="28"/>
          <w:szCs w:val="28"/>
        </w:rPr>
        <w:t>供应商名称：XXXXXXXXX</w:t>
      </w:r>
      <w:r>
        <w:rPr>
          <w:rFonts w:cs="仿宋" w:asciiTheme="minorEastAsia" w:hAnsiTheme="minorEastAsia" w:eastAsiaTheme="minorEastAsia"/>
          <w:color w:val="000000" w:themeColor="text1"/>
          <w:sz w:val="28"/>
          <w:szCs w:val="28"/>
          <w:u w:val="single"/>
        </w:rPr>
        <w:t>（签章）</w:t>
      </w:r>
    </w:p>
    <w:p>
      <w:pPr>
        <w:rPr>
          <w:color w:val="000000" w:themeColor="text1"/>
        </w:rPr>
      </w:pPr>
    </w:p>
    <w:p>
      <w:pPr>
        <w:pStyle w:val="2"/>
        <w:tabs>
          <w:tab w:val="left" w:pos="1639"/>
          <w:tab w:val="left" w:pos="7999"/>
        </w:tabs>
        <w:snapToGrid w:val="0"/>
        <w:spacing w:after="0" w:line="500" w:lineRule="exact"/>
        <w:ind w:left="920" w:right="-29" w:firstLine="700" w:firstLineChars="250"/>
        <w:rPr>
          <w:rFonts w:hint="default" w:cs="仿宋" w:asciiTheme="minorEastAsia" w:hAnsiTheme="minorEastAsia" w:eastAsiaTheme="minorEastAsia"/>
          <w:color w:val="000000" w:themeColor="text1"/>
          <w:spacing w:val="-18"/>
          <w:sz w:val="28"/>
          <w:szCs w:val="28"/>
        </w:rPr>
      </w:pPr>
      <w:r>
        <w:rPr>
          <w:rFonts w:cs="仿宋" w:asciiTheme="minorEastAsia" w:hAnsiTheme="minorEastAsia" w:eastAsiaTheme="minorEastAsia"/>
          <w:color w:val="000000" w:themeColor="text1"/>
          <w:sz w:val="28"/>
          <w:szCs w:val="28"/>
        </w:rPr>
        <w:t>法定代表人/单位负责人XXXXXXXXX（签章）：</w:t>
      </w:r>
    </w:p>
    <w:p>
      <w:pPr>
        <w:pStyle w:val="2"/>
        <w:tabs>
          <w:tab w:val="left" w:pos="1639"/>
          <w:tab w:val="left" w:pos="7999"/>
        </w:tabs>
        <w:snapToGrid w:val="0"/>
        <w:spacing w:after="0" w:line="500" w:lineRule="exact"/>
        <w:ind w:left="920" w:right="-29" w:firstLine="700" w:firstLineChars="250"/>
        <w:rPr>
          <w:rFonts w:hint="default" w:cs="仿宋" w:asciiTheme="minorEastAsia" w:hAnsiTheme="minorEastAsia" w:eastAsiaTheme="minorEastAsia"/>
          <w:color w:val="000000" w:themeColor="text1"/>
          <w:sz w:val="28"/>
          <w:szCs w:val="28"/>
        </w:rPr>
      </w:pPr>
      <w:r>
        <w:rPr>
          <w:rFonts w:cs="仿宋" w:asciiTheme="minorEastAsia" w:hAnsiTheme="minorEastAsia" w:eastAsiaTheme="minorEastAsia"/>
          <w:color w:val="000000" w:themeColor="text1"/>
          <w:sz w:val="28"/>
          <w:szCs w:val="28"/>
        </w:rPr>
        <w:t>日期：</w:t>
      </w:r>
    </w:p>
    <w:p>
      <w:pPr>
        <w:rPr>
          <w:rFonts w:cs="仿宋" w:asciiTheme="minorEastAsia" w:hAnsiTheme="minorEastAsia"/>
          <w:color w:val="000000" w:themeColor="text1"/>
          <w:sz w:val="28"/>
          <w:szCs w:val="28"/>
          <w:lang w:val="zh-CN" w:bidi="zh-CN"/>
        </w:rPr>
        <w:sectPr>
          <w:pgSz w:w="11907" w:h="16840"/>
          <w:pgMar w:top="1474" w:right="1418" w:bottom="1247" w:left="1418" w:header="851" w:footer="851" w:gutter="0"/>
          <w:cols w:space="425" w:num="1"/>
          <w:docGrid w:type="linesAndChars" w:linePitch="312" w:charSpace="0"/>
        </w:sectPr>
      </w:pPr>
    </w:p>
    <w:p>
      <w:pPr>
        <w:pStyle w:val="4"/>
        <w:numPr>
          <w:ilvl w:val="0"/>
          <w:numId w:val="5"/>
        </w:numPr>
        <w:snapToGrid w:val="0"/>
        <w:spacing w:before="0" w:line="500" w:lineRule="exact"/>
        <w:ind w:firstLine="1920" w:firstLineChars="600"/>
        <w:jc w:val="both"/>
        <w:rPr>
          <w:rFonts w:hint="default" w:ascii="黑体" w:hAnsi="黑体" w:eastAsia="黑体" w:cs="仿宋"/>
          <w:b w:val="0"/>
          <w:color w:val="000000" w:themeColor="text1"/>
          <w:sz w:val="32"/>
          <w:szCs w:val="32"/>
        </w:rPr>
      </w:pPr>
      <w:bookmarkStart w:id="79" w:name="四、申请人诚信情况承诺函"/>
      <w:bookmarkEnd w:id="79"/>
      <w:bookmarkStart w:id="80" w:name="_Toc60399692"/>
      <w:bookmarkStart w:id="81" w:name="_Toc32510"/>
      <w:r>
        <w:rPr>
          <w:rFonts w:ascii="黑体" w:hAnsi="黑体" w:eastAsia="黑体" w:cs="仿宋"/>
          <w:b w:val="0"/>
          <w:color w:val="000000" w:themeColor="text1"/>
          <w:sz w:val="32"/>
          <w:szCs w:val="32"/>
        </w:rPr>
        <w:t>资格证明材料</w:t>
      </w:r>
      <w:r>
        <w:rPr>
          <w:rFonts w:hint="default" w:ascii="黑体" w:hAnsi="黑体" w:eastAsia="黑体" w:cs="仿宋"/>
          <w:b w:val="0"/>
          <w:color w:val="000000" w:themeColor="text1"/>
          <w:sz w:val="32"/>
          <w:szCs w:val="32"/>
        </w:rPr>
        <w:t>（实质性要求）</w:t>
      </w:r>
    </w:p>
    <w:p>
      <w:pPr>
        <w:rPr>
          <w:color w:val="000000" w:themeColor="text1"/>
        </w:rPr>
      </w:pPr>
    </w:p>
    <w:p>
      <w:pPr>
        <w:ind w:firstLine="480"/>
        <w:rPr>
          <w:rFonts w:ascii="宋体" w:hAnsi="宋体"/>
          <w:color w:val="000000" w:themeColor="text1"/>
          <w:sz w:val="28"/>
          <w:szCs w:val="28"/>
        </w:rPr>
      </w:pPr>
      <w:r>
        <w:rPr>
          <w:rFonts w:hint="eastAsia" w:ascii="宋体" w:hAnsi="宋体"/>
          <w:color w:val="000000" w:themeColor="text1"/>
          <w:sz w:val="28"/>
          <w:szCs w:val="28"/>
        </w:rPr>
        <w:t>供应商必须按本谈判</w:t>
      </w:r>
      <w:r>
        <w:rPr>
          <w:rFonts w:ascii="宋体" w:hAnsi="宋体"/>
          <w:color w:val="000000" w:themeColor="text1"/>
          <w:sz w:val="28"/>
          <w:szCs w:val="28"/>
        </w:rPr>
        <w:t>/</w:t>
      </w:r>
      <w:r>
        <w:rPr>
          <w:rFonts w:hint="eastAsia" w:ascii="宋体" w:hAnsi="宋体"/>
          <w:color w:val="000000" w:themeColor="text1"/>
          <w:sz w:val="28"/>
          <w:szCs w:val="28"/>
        </w:rPr>
        <w:t>磋商文件“第三章 供应商资格资质性及其他类似效力要求与应提供的相关证明材料”要求提供相关证明材料。否则，视为无效响应文件。</w:t>
      </w:r>
    </w:p>
    <w:p>
      <w:pPr>
        <w:pStyle w:val="8"/>
        <w:ind w:firstLine="280" w:firstLineChars="100"/>
        <w:rPr>
          <w:rFonts w:ascii="宋体" w:hAnsi="宋体"/>
          <w:color w:val="000000" w:themeColor="text1"/>
          <w:kern w:val="2"/>
          <w:sz w:val="28"/>
          <w:szCs w:val="28"/>
        </w:rPr>
      </w:pPr>
      <w:r>
        <w:rPr>
          <w:rFonts w:hint="eastAsia" w:ascii="宋体" w:hAnsi="宋体"/>
          <w:color w:val="000000" w:themeColor="text1"/>
          <w:kern w:val="2"/>
          <w:sz w:val="28"/>
          <w:szCs w:val="28"/>
        </w:rPr>
        <w:t>一、供应商的资格资质性及其他类似效力要求对应提供的相关证明材料</w:t>
      </w:r>
    </w:p>
    <w:p>
      <w:pPr>
        <w:pStyle w:val="8"/>
        <w:ind w:firstLine="560"/>
        <w:rPr>
          <w:rFonts w:ascii="宋体" w:hAnsi="宋体"/>
          <w:color w:val="000000" w:themeColor="text1"/>
          <w:kern w:val="2"/>
          <w:sz w:val="28"/>
          <w:szCs w:val="28"/>
        </w:rPr>
      </w:pPr>
      <w:r>
        <w:rPr>
          <w:rFonts w:hint="eastAsia" w:ascii="宋体" w:hAnsi="宋体"/>
          <w:color w:val="000000" w:themeColor="text1"/>
          <w:kern w:val="2"/>
          <w:sz w:val="28"/>
          <w:szCs w:val="28"/>
        </w:rPr>
        <w:t>1、</w:t>
      </w:r>
    </w:p>
    <w:p>
      <w:pPr>
        <w:pStyle w:val="8"/>
        <w:ind w:firstLine="560"/>
        <w:rPr>
          <w:rFonts w:ascii="宋体" w:hAnsi="宋体"/>
          <w:color w:val="000000" w:themeColor="text1"/>
          <w:kern w:val="2"/>
          <w:sz w:val="28"/>
          <w:szCs w:val="28"/>
        </w:rPr>
      </w:pPr>
      <w:r>
        <w:rPr>
          <w:rFonts w:hint="eastAsia" w:ascii="宋体" w:hAnsi="宋体"/>
          <w:color w:val="000000" w:themeColor="text1"/>
          <w:kern w:val="2"/>
          <w:sz w:val="28"/>
          <w:szCs w:val="28"/>
        </w:rPr>
        <w:t>2、</w:t>
      </w:r>
    </w:p>
    <w:p>
      <w:pPr>
        <w:pStyle w:val="8"/>
        <w:ind w:firstLine="560"/>
        <w:rPr>
          <w:rFonts w:ascii="宋体" w:hAnsi="宋体"/>
          <w:color w:val="000000" w:themeColor="text1"/>
          <w:kern w:val="2"/>
          <w:sz w:val="28"/>
          <w:szCs w:val="28"/>
        </w:rPr>
      </w:pPr>
      <w:r>
        <w:rPr>
          <w:rFonts w:hint="eastAsia" w:ascii="宋体" w:hAnsi="宋体"/>
          <w:color w:val="000000" w:themeColor="text1"/>
          <w:kern w:val="2"/>
          <w:sz w:val="28"/>
          <w:szCs w:val="28"/>
        </w:rPr>
        <w:t>3、</w:t>
      </w:r>
    </w:p>
    <w:p>
      <w:pPr>
        <w:pStyle w:val="4"/>
        <w:snapToGrid w:val="0"/>
        <w:spacing w:before="0" w:line="500" w:lineRule="exact"/>
        <w:ind w:firstLine="960" w:firstLineChars="300"/>
        <w:jc w:val="both"/>
        <w:rPr>
          <w:rFonts w:hint="default" w:ascii="黑体" w:hAnsi="黑体" w:eastAsia="黑体" w:cs="仿宋"/>
          <w:b w:val="0"/>
          <w:color w:val="000000" w:themeColor="text1"/>
          <w:sz w:val="32"/>
          <w:szCs w:val="32"/>
        </w:rPr>
      </w:pPr>
    </w:p>
    <w:p>
      <w:pPr>
        <w:pStyle w:val="4"/>
        <w:snapToGrid w:val="0"/>
        <w:spacing w:before="0" w:line="500" w:lineRule="exact"/>
        <w:ind w:firstLine="1280" w:firstLineChars="400"/>
        <w:jc w:val="both"/>
        <w:rPr>
          <w:rFonts w:hint="default" w:ascii="黑体" w:hAnsi="黑体" w:eastAsia="黑体" w:cs="仿宋"/>
          <w:b w:val="0"/>
          <w:color w:val="000000" w:themeColor="text1"/>
          <w:sz w:val="32"/>
          <w:szCs w:val="32"/>
        </w:rPr>
      </w:pPr>
      <w:r>
        <w:rPr>
          <w:rFonts w:ascii="黑体" w:hAnsi="黑体" w:eastAsia="黑体" w:cs="仿宋"/>
          <w:b w:val="0"/>
          <w:color w:val="000000" w:themeColor="text1"/>
          <w:sz w:val="32"/>
          <w:szCs w:val="32"/>
        </w:rPr>
        <w:t>四、法律、行政法规规定的其他条件（如有）</w:t>
      </w:r>
      <w:bookmarkEnd w:id="80"/>
    </w:p>
    <w:p>
      <w:pPr>
        <w:pStyle w:val="2"/>
        <w:tabs>
          <w:tab w:val="left" w:pos="1639"/>
          <w:tab w:val="left" w:pos="7999"/>
        </w:tabs>
        <w:snapToGrid w:val="0"/>
        <w:spacing w:line="500" w:lineRule="exact"/>
        <w:ind w:right="-29"/>
        <w:rPr>
          <w:rFonts w:hint="default" w:cs="仿宋" w:asciiTheme="minorEastAsia" w:hAnsiTheme="minorEastAsia" w:eastAsiaTheme="minorEastAsia"/>
          <w:color w:val="000000" w:themeColor="text1"/>
          <w:sz w:val="28"/>
          <w:szCs w:val="28"/>
        </w:rPr>
      </w:pPr>
    </w:p>
    <w:bookmarkEnd w:id="81"/>
    <w:p>
      <w:pPr>
        <w:pStyle w:val="4"/>
        <w:snapToGrid w:val="0"/>
        <w:spacing w:before="0" w:line="500" w:lineRule="exact"/>
        <w:rPr>
          <w:rFonts w:hint="default" w:ascii="黑体" w:hAnsi="黑体" w:eastAsia="黑体" w:cs="仿宋"/>
          <w:b w:val="0"/>
          <w:color w:val="000000" w:themeColor="text1"/>
          <w:sz w:val="32"/>
          <w:szCs w:val="32"/>
        </w:rPr>
      </w:pPr>
      <w:bookmarkStart w:id="82" w:name="_Toc1227"/>
      <w:bookmarkStart w:id="83" w:name="_Toc60399693"/>
      <w:r>
        <w:rPr>
          <w:rFonts w:ascii="黑体" w:hAnsi="黑体" w:eastAsia="黑体" w:cs="仿宋"/>
          <w:b w:val="0"/>
          <w:color w:val="000000" w:themeColor="text1"/>
          <w:sz w:val="32"/>
          <w:szCs w:val="32"/>
        </w:rPr>
        <w:t>五、中小企业声明函</w:t>
      </w:r>
      <w:bookmarkEnd w:id="82"/>
      <w:r>
        <w:rPr>
          <w:rFonts w:ascii="黑体" w:hAnsi="黑体" w:eastAsia="黑体" w:cs="仿宋"/>
          <w:b w:val="0"/>
          <w:color w:val="000000" w:themeColor="text1"/>
          <w:sz w:val="32"/>
          <w:szCs w:val="32"/>
        </w:rPr>
        <w:t>（专门面向中小企业项目适用）</w:t>
      </w:r>
      <w:bookmarkEnd w:id="83"/>
    </w:p>
    <w:p>
      <w:pPr>
        <w:rPr>
          <w:color w:val="000000" w:themeColor="text1"/>
        </w:rPr>
      </w:pPr>
    </w:p>
    <w:p>
      <w:pPr>
        <w:ind w:firstLine="560" w:firstLineChars="200"/>
        <w:rPr>
          <w:rFonts w:ascii="宋体" w:hAnsi="宋体"/>
          <w:color w:val="000000" w:themeColor="text1"/>
          <w:sz w:val="28"/>
          <w:szCs w:val="28"/>
        </w:rPr>
      </w:pPr>
      <w:r>
        <w:rPr>
          <w:rFonts w:ascii="宋体" w:hAnsi="宋体"/>
          <w:color w:val="000000" w:themeColor="text1"/>
          <w:sz w:val="28"/>
          <w:szCs w:val="28"/>
        </w:rPr>
        <w:t>本公司（联合体）郑重声明，根据《政府采购促进中小企业发展管理办法》（财库﹝2020﹞46号）的规定，本公司（联合体）参加（单位名称）的（项目名称）采购活动，工程的施工单位全部为符合政策要求的中小企业。相关企业（含联合体中的中小企业、签订分包意向协议的中小企业）的具体情 况如下：</w:t>
      </w:r>
    </w:p>
    <w:p>
      <w:pPr>
        <w:ind w:firstLine="560" w:firstLineChars="200"/>
        <w:rPr>
          <w:rFonts w:ascii="宋体" w:hAnsi="宋体"/>
          <w:color w:val="000000" w:themeColor="text1"/>
          <w:sz w:val="28"/>
          <w:szCs w:val="28"/>
        </w:rPr>
      </w:pPr>
      <w:r>
        <w:rPr>
          <w:rFonts w:ascii="宋体" w:hAnsi="宋体"/>
          <w:color w:val="000000" w:themeColor="text1"/>
          <w:sz w:val="28"/>
          <w:szCs w:val="28"/>
        </w:rPr>
        <w:t xml:space="preserve"> 1.</w:t>
      </w:r>
      <w:r>
        <w:rPr>
          <w:rFonts w:ascii="宋体" w:hAnsi="宋体"/>
          <w:color w:val="000000" w:themeColor="text1"/>
          <w:sz w:val="28"/>
          <w:szCs w:val="28"/>
          <w:u w:val="single"/>
        </w:rPr>
        <w:t>（标的名称）</w:t>
      </w:r>
      <w:r>
        <w:rPr>
          <w:rFonts w:ascii="宋体" w:hAnsi="宋体"/>
          <w:color w:val="000000" w:themeColor="text1"/>
          <w:sz w:val="28"/>
          <w:szCs w:val="28"/>
        </w:rPr>
        <w:t>，属于</w:t>
      </w:r>
      <w:r>
        <w:rPr>
          <w:rFonts w:hint="eastAsia" w:ascii="宋体" w:hAnsi="宋体"/>
          <w:color w:val="000000" w:themeColor="text1"/>
          <w:sz w:val="28"/>
          <w:szCs w:val="28"/>
        </w:rPr>
        <w:t>建筑业</w:t>
      </w:r>
      <w:r>
        <w:rPr>
          <w:rFonts w:ascii="宋体" w:hAnsi="宋体"/>
          <w:color w:val="000000" w:themeColor="text1"/>
          <w:sz w:val="28"/>
          <w:szCs w:val="28"/>
        </w:rPr>
        <w:t>；承建企业为</w:t>
      </w:r>
      <w:r>
        <w:rPr>
          <w:rFonts w:ascii="宋体" w:hAnsi="宋体"/>
          <w:color w:val="000000" w:themeColor="text1"/>
          <w:sz w:val="28"/>
          <w:szCs w:val="28"/>
          <w:u w:val="single"/>
        </w:rPr>
        <w:t>（企业名称）</w:t>
      </w:r>
      <w:r>
        <w:rPr>
          <w:rFonts w:ascii="宋体" w:hAnsi="宋体"/>
          <w:color w:val="000000" w:themeColor="text1"/>
          <w:sz w:val="28"/>
          <w:szCs w:val="28"/>
        </w:rPr>
        <w:t>，从业人员</w:t>
      </w:r>
      <w:r>
        <w:rPr>
          <w:rFonts w:hint="eastAsia" w:ascii="宋体" w:hAnsi="宋体"/>
          <w:color w:val="000000" w:themeColor="text1"/>
          <w:sz w:val="28"/>
          <w:szCs w:val="28"/>
        </w:rPr>
        <w:t>XXX</w:t>
      </w:r>
      <w:r>
        <w:rPr>
          <w:rFonts w:ascii="宋体" w:hAnsi="宋体"/>
          <w:color w:val="000000" w:themeColor="text1"/>
          <w:sz w:val="28"/>
          <w:szCs w:val="28"/>
        </w:rPr>
        <w:t>人，营业收入为</w:t>
      </w:r>
      <w:r>
        <w:rPr>
          <w:rFonts w:hint="eastAsia" w:ascii="宋体" w:hAnsi="宋体"/>
          <w:color w:val="000000" w:themeColor="text1"/>
          <w:sz w:val="28"/>
          <w:szCs w:val="28"/>
        </w:rPr>
        <w:t>XXX</w:t>
      </w:r>
      <w:r>
        <w:rPr>
          <w:rFonts w:ascii="宋体" w:hAnsi="宋体"/>
          <w:color w:val="000000" w:themeColor="text1"/>
          <w:sz w:val="28"/>
          <w:szCs w:val="28"/>
        </w:rPr>
        <w:t>万元，资产总额为</w:t>
      </w:r>
      <w:r>
        <w:rPr>
          <w:rFonts w:hint="eastAsia" w:ascii="宋体" w:hAnsi="宋体"/>
          <w:color w:val="000000" w:themeColor="text1"/>
          <w:sz w:val="28"/>
          <w:szCs w:val="28"/>
        </w:rPr>
        <w:t>XXX</w:t>
      </w:r>
      <w:r>
        <w:rPr>
          <w:rFonts w:ascii="宋体" w:hAnsi="宋体"/>
          <w:color w:val="000000" w:themeColor="text1"/>
          <w:sz w:val="28"/>
          <w:szCs w:val="28"/>
        </w:rPr>
        <w:t>万元，属于</w:t>
      </w:r>
      <w:r>
        <w:rPr>
          <w:rFonts w:ascii="宋体" w:hAnsi="宋体"/>
          <w:color w:val="000000" w:themeColor="text1"/>
          <w:sz w:val="28"/>
          <w:szCs w:val="28"/>
          <w:u w:val="single"/>
        </w:rPr>
        <w:t>（中型企业、小型企业、微型企业）</w:t>
      </w:r>
      <w:r>
        <w:rPr>
          <w:rFonts w:ascii="宋体" w:hAnsi="宋体"/>
          <w:color w:val="000000" w:themeColor="text1"/>
          <w:sz w:val="28"/>
          <w:szCs w:val="28"/>
        </w:rPr>
        <w:t xml:space="preserve">； </w:t>
      </w:r>
    </w:p>
    <w:p>
      <w:pPr>
        <w:ind w:firstLine="560" w:firstLineChars="200"/>
        <w:rPr>
          <w:rFonts w:ascii="宋体" w:hAnsi="宋体"/>
          <w:color w:val="000000" w:themeColor="text1"/>
          <w:sz w:val="28"/>
          <w:szCs w:val="28"/>
        </w:rPr>
      </w:pPr>
      <w:r>
        <w:rPr>
          <w:rFonts w:ascii="宋体" w:hAnsi="宋体"/>
          <w:color w:val="000000" w:themeColor="text1"/>
          <w:sz w:val="28"/>
          <w:szCs w:val="28"/>
        </w:rPr>
        <w:t>2.</w:t>
      </w:r>
      <w:r>
        <w:rPr>
          <w:rFonts w:ascii="宋体" w:hAnsi="宋体"/>
          <w:color w:val="000000" w:themeColor="text1"/>
          <w:sz w:val="28"/>
          <w:szCs w:val="28"/>
          <w:u w:val="single"/>
        </w:rPr>
        <w:t xml:space="preserve"> （标的名称）</w:t>
      </w:r>
      <w:r>
        <w:rPr>
          <w:rFonts w:ascii="宋体" w:hAnsi="宋体"/>
          <w:color w:val="000000" w:themeColor="text1"/>
          <w:sz w:val="28"/>
          <w:szCs w:val="28"/>
        </w:rPr>
        <w:t>，属于</w:t>
      </w:r>
      <w:r>
        <w:rPr>
          <w:rFonts w:hint="eastAsia" w:ascii="宋体" w:hAnsi="宋体"/>
          <w:color w:val="000000" w:themeColor="text1"/>
          <w:sz w:val="28"/>
          <w:szCs w:val="28"/>
        </w:rPr>
        <w:t>建筑业</w:t>
      </w:r>
      <w:r>
        <w:rPr>
          <w:rFonts w:ascii="宋体" w:hAnsi="宋体"/>
          <w:color w:val="000000" w:themeColor="text1"/>
          <w:sz w:val="28"/>
          <w:szCs w:val="28"/>
        </w:rPr>
        <w:t>；承建企业为</w:t>
      </w:r>
      <w:r>
        <w:rPr>
          <w:rFonts w:ascii="宋体" w:hAnsi="宋体"/>
          <w:color w:val="000000" w:themeColor="text1"/>
          <w:sz w:val="28"/>
          <w:szCs w:val="28"/>
          <w:u w:val="single"/>
        </w:rPr>
        <w:t>（企业名称）</w:t>
      </w:r>
      <w:r>
        <w:rPr>
          <w:rFonts w:ascii="宋体" w:hAnsi="宋体"/>
          <w:color w:val="000000" w:themeColor="text1"/>
          <w:sz w:val="28"/>
          <w:szCs w:val="28"/>
        </w:rPr>
        <w:t>，从业人员</w:t>
      </w:r>
      <w:r>
        <w:rPr>
          <w:rFonts w:hint="eastAsia" w:ascii="宋体" w:hAnsi="宋体"/>
          <w:color w:val="000000" w:themeColor="text1"/>
          <w:sz w:val="28"/>
          <w:szCs w:val="28"/>
        </w:rPr>
        <w:t>XXX</w:t>
      </w:r>
      <w:r>
        <w:rPr>
          <w:rFonts w:ascii="宋体" w:hAnsi="宋体"/>
          <w:color w:val="000000" w:themeColor="text1"/>
          <w:sz w:val="28"/>
          <w:szCs w:val="28"/>
        </w:rPr>
        <w:t>人，营业收入为</w:t>
      </w:r>
      <w:r>
        <w:rPr>
          <w:rFonts w:hint="eastAsia" w:ascii="宋体" w:hAnsi="宋体"/>
          <w:color w:val="000000" w:themeColor="text1"/>
          <w:sz w:val="28"/>
          <w:szCs w:val="28"/>
        </w:rPr>
        <w:t>XXX</w:t>
      </w:r>
      <w:r>
        <w:rPr>
          <w:rFonts w:ascii="宋体" w:hAnsi="宋体"/>
          <w:color w:val="000000" w:themeColor="text1"/>
          <w:sz w:val="28"/>
          <w:szCs w:val="28"/>
        </w:rPr>
        <w:t>万元，资产总额为</w:t>
      </w:r>
      <w:r>
        <w:rPr>
          <w:rFonts w:hint="eastAsia" w:ascii="宋体" w:hAnsi="宋体"/>
          <w:color w:val="000000" w:themeColor="text1"/>
          <w:sz w:val="28"/>
          <w:szCs w:val="28"/>
        </w:rPr>
        <w:t>XXX</w:t>
      </w:r>
      <w:r>
        <w:rPr>
          <w:rFonts w:ascii="宋体" w:hAnsi="宋体"/>
          <w:color w:val="000000" w:themeColor="text1"/>
          <w:sz w:val="28"/>
          <w:szCs w:val="28"/>
        </w:rPr>
        <w:t>万元，属于</w:t>
      </w:r>
      <w:r>
        <w:rPr>
          <w:rFonts w:ascii="宋体" w:hAnsi="宋体"/>
          <w:color w:val="000000" w:themeColor="text1"/>
          <w:sz w:val="28"/>
          <w:szCs w:val="28"/>
          <w:u w:val="single"/>
        </w:rPr>
        <w:t>（中型企业、小型企业、微型企业）</w:t>
      </w:r>
      <w:r>
        <w:rPr>
          <w:rFonts w:ascii="宋体" w:hAnsi="宋体"/>
          <w:color w:val="000000" w:themeColor="text1"/>
          <w:sz w:val="28"/>
          <w:szCs w:val="28"/>
        </w:rPr>
        <w:t xml:space="preserve">； </w:t>
      </w:r>
    </w:p>
    <w:p>
      <w:pPr>
        <w:ind w:firstLine="560" w:firstLineChars="200"/>
        <w:rPr>
          <w:rFonts w:ascii="宋体" w:hAnsi="宋体"/>
          <w:color w:val="000000" w:themeColor="text1"/>
          <w:sz w:val="28"/>
          <w:szCs w:val="28"/>
        </w:rPr>
      </w:pPr>
      <w:r>
        <w:rPr>
          <w:rFonts w:ascii="宋体" w:hAnsi="宋体"/>
          <w:color w:val="000000" w:themeColor="text1"/>
          <w:sz w:val="28"/>
          <w:szCs w:val="28"/>
        </w:rPr>
        <w:t>以上企业，不属于大企业的分支机构，不存在控股股东为大企业的情形，也不存在与大企业的负责人为同一人的情形。 本企业对上述声明内容的真实性负责。如有虚假，将依法承担相应责任。</w:t>
      </w: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r>
        <w:rPr>
          <w:rFonts w:ascii="宋体" w:hAnsi="宋体"/>
          <w:color w:val="000000" w:themeColor="text1"/>
          <w:sz w:val="28"/>
          <w:szCs w:val="28"/>
        </w:rPr>
        <w:t>企业名称（</w:t>
      </w:r>
      <w:r>
        <w:rPr>
          <w:rFonts w:hint="eastAsia" w:ascii="宋体" w:hAnsi="宋体"/>
          <w:color w:val="000000" w:themeColor="text1"/>
          <w:sz w:val="28"/>
          <w:szCs w:val="28"/>
        </w:rPr>
        <w:t>签</w:t>
      </w:r>
      <w:r>
        <w:rPr>
          <w:rFonts w:ascii="宋体" w:hAnsi="宋体"/>
          <w:color w:val="000000" w:themeColor="text1"/>
          <w:sz w:val="28"/>
          <w:szCs w:val="28"/>
        </w:rPr>
        <w:t xml:space="preserve">章）： </w:t>
      </w:r>
    </w:p>
    <w:p>
      <w:pPr>
        <w:ind w:firstLine="560" w:firstLineChars="200"/>
        <w:rPr>
          <w:rFonts w:ascii="宋体" w:hAnsi="宋体"/>
          <w:color w:val="000000" w:themeColor="text1"/>
          <w:sz w:val="28"/>
          <w:szCs w:val="28"/>
        </w:rPr>
      </w:pPr>
      <w:r>
        <w:rPr>
          <w:rFonts w:ascii="宋体" w:hAnsi="宋体"/>
          <w:color w:val="000000" w:themeColor="text1"/>
          <w:sz w:val="28"/>
          <w:szCs w:val="28"/>
        </w:rPr>
        <w:t>日 期：</w:t>
      </w:r>
    </w:p>
    <w:p>
      <w:pPr>
        <w:ind w:firstLine="560" w:firstLineChars="200"/>
        <w:rPr>
          <w:rFonts w:ascii="宋体" w:hAnsi="宋体"/>
          <w:color w:val="000000" w:themeColor="text1"/>
          <w:sz w:val="28"/>
          <w:szCs w:val="28"/>
        </w:rPr>
      </w:pPr>
    </w:p>
    <w:p>
      <w:pPr>
        <w:ind w:firstLine="560" w:firstLineChars="200"/>
        <w:rPr>
          <w:rFonts w:ascii="宋体" w:hAnsi="宋体"/>
          <w:color w:val="000000" w:themeColor="text1"/>
          <w:sz w:val="28"/>
          <w:szCs w:val="28"/>
        </w:rPr>
      </w:pPr>
      <w:r>
        <w:rPr>
          <w:rFonts w:hint="eastAsia" w:ascii="宋体" w:hAnsi="宋体"/>
          <w:color w:val="000000" w:themeColor="text1"/>
          <w:sz w:val="28"/>
          <w:szCs w:val="28"/>
        </w:rPr>
        <w:t>说明：</w:t>
      </w:r>
      <w:r>
        <w:rPr>
          <w:rFonts w:ascii="宋体" w:hAnsi="宋体"/>
          <w:color w:val="000000" w:themeColor="text1"/>
          <w:sz w:val="28"/>
          <w:szCs w:val="28"/>
        </w:rPr>
        <w:t xml:space="preserve"> 从业人员、营业收入、资产总额填报上一年度数据，无上一年度数据的新成立企业可不填报。</w:t>
      </w:r>
    </w:p>
    <w:p>
      <w:pPr>
        <w:rPr>
          <w:rFonts w:ascii="仿宋" w:hAnsi="仿宋" w:eastAsia="仿宋" w:cs="仿宋"/>
          <w:color w:val="000000" w:themeColor="text1"/>
          <w:sz w:val="24"/>
          <w:lang w:val="zh-CN" w:bidi="zh-CN"/>
        </w:rPr>
        <w:sectPr>
          <w:pgSz w:w="11907" w:h="16840"/>
          <w:pgMar w:top="1474" w:right="1418" w:bottom="1247" w:left="1418" w:header="851" w:footer="851" w:gutter="0"/>
          <w:cols w:space="425" w:num="1"/>
          <w:docGrid w:type="linesAndChars" w:linePitch="312" w:charSpace="0"/>
        </w:sectPr>
      </w:pPr>
    </w:p>
    <w:p>
      <w:pPr>
        <w:pStyle w:val="4"/>
        <w:snapToGrid w:val="0"/>
        <w:spacing w:before="0" w:line="500" w:lineRule="exact"/>
        <w:rPr>
          <w:rFonts w:hint="default" w:ascii="黑体" w:hAnsi="黑体" w:eastAsia="黑体" w:cs="仿宋"/>
          <w:b w:val="0"/>
          <w:color w:val="000000" w:themeColor="text1"/>
          <w:sz w:val="32"/>
          <w:szCs w:val="32"/>
        </w:rPr>
      </w:pPr>
      <w:bookmarkStart w:id="84" w:name="_Toc60399694"/>
      <w:r>
        <w:rPr>
          <w:rFonts w:ascii="黑体" w:hAnsi="黑体" w:eastAsia="黑体" w:cs="仿宋"/>
          <w:b w:val="0"/>
          <w:color w:val="000000" w:themeColor="text1"/>
          <w:sz w:val="32"/>
          <w:szCs w:val="32"/>
        </w:rPr>
        <w:t>六、残疾人福利性单位声明函（专门面向中小企业项目适用）</w:t>
      </w:r>
      <w:bookmarkEnd w:id="84"/>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ind w:firstLine="480" w:firstLineChars="200"/>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本单位郑重声明，根据《财政部民政部中国残疾人联合会关于促进残疾人就业政府采购政策的通知》（财库〔</w:t>
      </w:r>
      <w:r>
        <w:rPr>
          <w:rFonts w:cs="仿宋" w:asciiTheme="minorEastAsia" w:hAnsiTheme="minorEastAsia"/>
          <w:color w:val="000000" w:themeColor="text1"/>
          <w:kern w:val="0"/>
          <w:sz w:val="24"/>
          <w:szCs w:val="22"/>
        </w:rPr>
        <w:t>2017</w:t>
      </w:r>
      <w:r>
        <w:rPr>
          <w:rFonts w:hint="eastAsia" w:cs="仿宋" w:asciiTheme="minorEastAsia" w:hAnsiTheme="minorEastAsia"/>
          <w:color w:val="000000" w:themeColor="text1"/>
          <w:kern w:val="0"/>
          <w:sz w:val="24"/>
          <w:szCs w:val="22"/>
        </w:rPr>
        <w:t>〕</w:t>
      </w:r>
      <w:r>
        <w:rPr>
          <w:rFonts w:cs="仿宋" w:asciiTheme="minorEastAsia" w:hAnsiTheme="minorEastAsia"/>
          <w:color w:val="000000" w:themeColor="text1"/>
          <w:kern w:val="0"/>
          <w:sz w:val="24"/>
          <w:szCs w:val="22"/>
        </w:rPr>
        <w:t xml:space="preserve"> 141</w:t>
      </w:r>
      <w:r>
        <w:rPr>
          <w:rFonts w:hint="eastAsia" w:cs="仿宋" w:asciiTheme="minorEastAsia" w:hAnsiTheme="minorEastAsia"/>
          <w:color w:val="000000" w:themeColor="text1"/>
          <w:kern w:val="0"/>
          <w:sz w:val="24"/>
          <w:szCs w:val="22"/>
        </w:rPr>
        <w:t>号）的规定，本单位为符合条件的残疾人福利性单位，且本单位参加</w:t>
      </w:r>
      <w:r>
        <w:rPr>
          <w:rFonts w:cs="仿宋" w:asciiTheme="minorEastAsia" w:hAnsiTheme="minorEastAsia"/>
          <w:color w:val="000000" w:themeColor="text1"/>
          <w:kern w:val="0"/>
          <w:sz w:val="24"/>
          <w:szCs w:val="22"/>
        </w:rPr>
        <w:t>XXXX</w:t>
      </w:r>
      <w:r>
        <w:rPr>
          <w:rFonts w:hint="eastAsia" w:cs="仿宋" w:asciiTheme="minorEastAsia" w:hAnsiTheme="minorEastAsia"/>
          <w:color w:val="000000" w:themeColor="text1"/>
          <w:kern w:val="0"/>
          <w:sz w:val="24"/>
          <w:szCs w:val="22"/>
        </w:rPr>
        <w:t>单位的</w:t>
      </w:r>
      <w:r>
        <w:rPr>
          <w:rFonts w:cs="仿宋" w:asciiTheme="minorEastAsia" w:hAnsiTheme="minorEastAsia"/>
          <w:color w:val="000000" w:themeColor="text1"/>
          <w:kern w:val="0"/>
          <w:sz w:val="24"/>
          <w:szCs w:val="22"/>
        </w:rPr>
        <w:t>XXXX</w:t>
      </w:r>
      <w:r>
        <w:rPr>
          <w:rFonts w:hint="eastAsia" w:cs="仿宋" w:asciiTheme="minorEastAsia" w:hAnsiTheme="minorEastAsia"/>
          <w:color w:val="000000" w:themeColor="text1"/>
          <w:kern w:val="0"/>
          <w:sz w:val="24"/>
          <w:szCs w:val="22"/>
        </w:rPr>
        <w:t>项目采购活动由本单位承担工程。</w:t>
      </w:r>
    </w:p>
    <w:p>
      <w:pPr>
        <w:autoSpaceDE w:val="0"/>
        <w:autoSpaceDN w:val="0"/>
        <w:spacing w:line="580" w:lineRule="exact"/>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本单位对上述声明的真实性负责。如有虚假，将依法承担相应责任。</w:t>
      </w: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ind w:firstLine="4800" w:firstLineChars="2000"/>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供应商名称（单位盖公章）：</w:t>
      </w:r>
    </w:p>
    <w:p>
      <w:pPr>
        <w:autoSpaceDE w:val="0"/>
        <w:autoSpaceDN w:val="0"/>
        <w:spacing w:line="580" w:lineRule="exact"/>
        <w:jc w:val="left"/>
        <w:rPr>
          <w:rFonts w:cs="仿宋" w:asciiTheme="minorEastAsia" w:hAnsiTheme="minorEastAsia"/>
          <w:color w:val="000000" w:themeColor="text1"/>
          <w:kern w:val="0"/>
          <w:sz w:val="24"/>
          <w:szCs w:val="22"/>
        </w:rPr>
      </w:pPr>
    </w:p>
    <w:p>
      <w:pPr>
        <w:autoSpaceDE w:val="0"/>
        <w:autoSpaceDN w:val="0"/>
        <w:spacing w:line="580" w:lineRule="exact"/>
        <w:ind w:firstLine="5040" w:firstLineChars="2100"/>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日  期：</w:t>
      </w:r>
    </w:p>
    <w:p>
      <w:pPr>
        <w:pStyle w:val="2"/>
        <w:widowControl/>
        <w:rPr>
          <w:rFonts w:hint="default" w:cs="仿宋"/>
          <w:color w:val="000000" w:themeColor="text1"/>
        </w:rPr>
      </w:pPr>
    </w:p>
    <w:p>
      <w:pPr>
        <w:pStyle w:val="2"/>
        <w:widowControl/>
        <w:spacing w:before="7"/>
        <w:rPr>
          <w:rFonts w:hint="default" w:cs="仿宋"/>
          <w:color w:val="000000" w:themeColor="text1"/>
        </w:rPr>
      </w:pPr>
    </w:p>
    <w:p>
      <w:pPr>
        <w:autoSpaceDE w:val="0"/>
        <w:autoSpaceDN w:val="0"/>
        <w:spacing w:line="500" w:lineRule="exact"/>
        <w:rPr>
          <w:rFonts w:cs="仿宋" w:asciiTheme="minorEastAsia" w:hAnsiTheme="minorEastAsia"/>
          <w:color w:val="000000" w:themeColor="text1"/>
          <w:sz w:val="24"/>
        </w:rPr>
      </w:pPr>
      <w:r>
        <w:rPr>
          <w:rFonts w:hint="eastAsia" w:cs="仿宋" w:asciiTheme="minorEastAsia" w:hAnsiTheme="minorEastAsia"/>
          <w:color w:val="000000" w:themeColor="text1"/>
          <w:kern w:val="0"/>
          <w:sz w:val="24"/>
        </w:rPr>
        <w:t>注：残疾人福利性单位视同小型、微型企业，享受预留份额、评审中价格扣除等促进中小企业发展的政府采购政策。残疾人福利性单位属于小型、微型企业的，不重复享受政策。</w:t>
      </w:r>
    </w:p>
    <w:p>
      <w:pPr>
        <w:pStyle w:val="2"/>
        <w:widowControl/>
        <w:spacing w:line="500" w:lineRule="exact"/>
        <w:rPr>
          <w:rFonts w:hint="default" w:cs="仿宋"/>
          <w:color w:val="000000" w:themeColor="text1"/>
        </w:rPr>
      </w:pPr>
      <w:r>
        <w:rPr>
          <w:rFonts w:cs="仿宋"/>
          <w:color w:val="000000" w:themeColor="text1"/>
          <w:lang w:val="zh-CN" w:bidi="zh-CN"/>
        </w:rPr>
        <w:br w:type="page"/>
      </w:r>
    </w:p>
    <w:p>
      <w:pPr>
        <w:pStyle w:val="4"/>
        <w:snapToGrid w:val="0"/>
        <w:spacing w:before="0" w:line="500" w:lineRule="exact"/>
        <w:rPr>
          <w:rFonts w:hint="default" w:ascii="黑体" w:hAnsi="黑体" w:eastAsia="黑体" w:cs="仿宋"/>
          <w:b w:val="0"/>
          <w:color w:val="000000" w:themeColor="text1"/>
          <w:sz w:val="32"/>
          <w:szCs w:val="32"/>
        </w:rPr>
      </w:pPr>
      <w:bookmarkStart w:id="85" w:name="_Toc60399695"/>
      <w:r>
        <w:rPr>
          <w:rFonts w:ascii="黑体" w:hAnsi="黑体" w:eastAsia="黑体" w:cs="仿宋"/>
          <w:b w:val="0"/>
          <w:color w:val="000000" w:themeColor="text1"/>
          <w:sz w:val="32"/>
          <w:szCs w:val="32"/>
        </w:rPr>
        <w:t xml:space="preserve">   七、监狱企业的证明文件（专门面向中小企业项目适用）</w:t>
      </w:r>
      <w:bookmarkEnd w:id="85"/>
    </w:p>
    <w:p>
      <w:pPr>
        <w:rPr>
          <w:color w:val="000000" w:themeColor="text1"/>
        </w:rPr>
      </w:pPr>
    </w:p>
    <w:p>
      <w:pPr>
        <w:autoSpaceDE w:val="0"/>
        <w:autoSpaceDN w:val="0"/>
        <w:spacing w:line="580" w:lineRule="exact"/>
        <w:jc w:val="left"/>
        <w:rPr>
          <w:rFonts w:cs="仿宋" w:asciiTheme="minorEastAsia" w:hAnsiTheme="minorEastAsia"/>
          <w:color w:val="000000" w:themeColor="text1"/>
          <w:kern w:val="0"/>
          <w:sz w:val="24"/>
          <w:szCs w:val="22"/>
        </w:rPr>
      </w:pPr>
      <w:r>
        <w:rPr>
          <w:rFonts w:hint="eastAsia" w:cs="仿宋" w:asciiTheme="minorEastAsia" w:hAnsiTheme="minorEastAsia"/>
          <w:color w:val="000000" w:themeColor="text1"/>
          <w:kern w:val="0"/>
          <w:sz w:val="24"/>
          <w:szCs w:val="22"/>
        </w:rPr>
        <w:t>说明：监狱企业参加政府采购活动时，应当提供由省级以上监狱管理局、戒毒管理局（含新疆生产建设兵团）出具的属于监狱企业的证明文件，并加盖单位公章。</w:t>
      </w:r>
    </w:p>
    <w:p>
      <w:pPr>
        <w:pStyle w:val="2"/>
        <w:rPr>
          <w:rFonts w:hint="default"/>
          <w:color w:val="000000" w:themeColor="text1"/>
        </w:rPr>
      </w:pPr>
    </w:p>
    <w:p>
      <w:pPr>
        <w:ind w:firstLine="2560" w:firstLineChars="800"/>
        <w:rPr>
          <w:rFonts w:ascii="黑体" w:hAnsi="黑体" w:eastAsia="黑体" w:cs="仿宋"/>
          <w:color w:val="000000" w:themeColor="text1"/>
          <w:kern w:val="0"/>
          <w:sz w:val="32"/>
          <w:szCs w:val="32"/>
          <w:lang w:val="zh-CN"/>
        </w:rPr>
      </w:pPr>
      <w:r>
        <w:rPr>
          <w:rFonts w:hint="eastAsia" w:ascii="黑体" w:hAnsi="黑体" w:eastAsia="黑体" w:cs="仿宋"/>
          <w:color w:val="000000" w:themeColor="text1"/>
          <w:kern w:val="0"/>
          <w:sz w:val="32"/>
          <w:szCs w:val="32"/>
          <w:lang w:val="zh-CN"/>
        </w:rPr>
        <w:t>八、供应商基本情况表</w:t>
      </w:r>
    </w:p>
    <w:p>
      <w:pPr>
        <w:keepNext/>
        <w:keepLines/>
        <w:spacing w:before="260" w:after="260" w:line="415" w:lineRule="auto"/>
        <w:jc w:val="center"/>
        <w:outlineLvl w:val="2"/>
        <w:rPr>
          <w:rFonts w:ascii="Calibri" w:hAnsi="Calibri" w:eastAsia="宋体" w:cs="Times New Roman"/>
          <w:b/>
          <w:bCs/>
          <w:color w:val="000000" w:themeColor="text1"/>
          <w:kern w:val="0"/>
          <w:sz w:val="32"/>
          <w:szCs w:val="32"/>
        </w:rPr>
      </w:pPr>
      <w:r>
        <w:rPr>
          <w:rFonts w:hint="eastAsia" w:ascii="Calibri" w:hAnsi="Calibri" w:eastAsia="宋体" w:cs="Times New Roman"/>
          <w:b/>
          <w:bCs/>
          <w:color w:val="000000" w:themeColor="text1"/>
          <w:kern w:val="0"/>
          <w:sz w:val="32"/>
          <w:szCs w:val="32"/>
          <w:highlight w:val="white"/>
        </w:rPr>
        <w:t>供应商基本情况表</w:t>
      </w:r>
    </w:p>
    <w:tbl>
      <w:tblPr>
        <w:tblStyle w:val="21"/>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48"/>
        <w:gridCol w:w="962"/>
        <w:gridCol w:w="52"/>
        <w:gridCol w:w="956"/>
        <w:gridCol w:w="1247"/>
        <w:gridCol w:w="1320"/>
        <w:gridCol w:w="367"/>
        <w:gridCol w:w="786"/>
        <w:gridCol w:w="14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供应商名称</w:t>
            </w:r>
          </w:p>
        </w:tc>
        <w:tc>
          <w:tcPr>
            <w:tcW w:w="7099" w:type="dxa"/>
            <w:gridSpan w:val="8"/>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注册地址</w:t>
            </w:r>
          </w:p>
        </w:tc>
        <w:tc>
          <w:tcPr>
            <w:tcW w:w="3217" w:type="dxa"/>
            <w:gridSpan w:val="4"/>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邮政编码</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Merge w:val="restart"/>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联系方式</w:t>
            </w:r>
          </w:p>
        </w:tc>
        <w:tc>
          <w:tcPr>
            <w:tcW w:w="1014"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联系人</w:t>
            </w:r>
          </w:p>
        </w:tc>
        <w:tc>
          <w:tcPr>
            <w:tcW w:w="2203" w:type="dxa"/>
            <w:gridSpan w:val="2"/>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电话</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8" w:type="dxa"/>
            <w:vMerge w:val="continue"/>
            <w:vAlign w:val="center"/>
          </w:tcPr>
          <w:p>
            <w:pPr>
              <w:spacing w:line="440" w:lineRule="exact"/>
              <w:rPr>
                <w:rFonts w:ascii="宋体" w:hAnsi="宋体" w:eastAsia="宋体" w:cs="Times New Roman"/>
                <w:color w:val="000000" w:themeColor="text1"/>
                <w:sz w:val="24"/>
                <w:szCs w:val="22"/>
              </w:rPr>
            </w:pPr>
          </w:p>
        </w:tc>
        <w:tc>
          <w:tcPr>
            <w:tcW w:w="1014"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传真</w:t>
            </w:r>
          </w:p>
        </w:tc>
        <w:tc>
          <w:tcPr>
            <w:tcW w:w="2203" w:type="dxa"/>
            <w:gridSpan w:val="2"/>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网址</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组织结构</w:t>
            </w:r>
          </w:p>
        </w:tc>
        <w:tc>
          <w:tcPr>
            <w:tcW w:w="7099" w:type="dxa"/>
            <w:gridSpan w:val="8"/>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法定代表人（负责人）</w:t>
            </w:r>
          </w:p>
        </w:tc>
        <w:tc>
          <w:tcPr>
            <w:tcW w:w="962"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姓名</w:t>
            </w:r>
          </w:p>
        </w:tc>
        <w:tc>
          <w:tcPr>
            <w:tcW w:w="1008" w:type="dxa"/>
            <w:gridSpan w:val="2"/>
            <w:vAlign w:val="center"/>
          </w:tcPr>
          <w:p>
            <w:pPr>
              <w:spacing w:line="440" w:lineRule="exact"/>
              <w:rPr>
                <w:rFonts w:ascii="宋体" w:hAnsi="宋体" w:eastAsia="宋体" w:cs="Times New Roman"/>
                <w:color w:val="000000" w:themeColor="text1"/>
                <w:sz w:val="24"/>
                <w:szCs w:val="22"/>
              </w:rPr>
            </w:pPr>
          </w:p>
        </w:tc>
        <w:tc>
          <w:tcPr>
            <w:tcW w:w="1247"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技术职称</w:t>
            </w:r>
          </w:p>
        </w:tc>
        <w:tc>
          <w:tcPr>
            <w:tcW w:w="1320" w:type="dxa"/>
            <w:vAlign w:val="center"/>
          </w:tcPr>
          <w:p>
            <w:pPr>
              <w:spacing w:line="440" w:lineRule="exact"/>
              <w:rPr>
                <w:rFonts w:ascii="宋体" w:hAnsi="宋体" w:eastAsia="宋体" w:cs="Times New Roman"/>
                <w:color w:val="000000" w:themeColor="text1"/>
                <w:sz w:val="24"/>
                <w:szCs w:val="22"/>
              </w:rPr>
            </w:pPr>
          </w:p>
        </w:tc>
        <w:tc>
          <w:tcPr>
            <w:tcW w:w="1153"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电话</w:t>
            </w:r>
          </w:p>
        </w:tc>
        <w:tc>
          <w:tcPr>
            <w:tcW w:w="1409" w:type="dxa"/>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技术负责人</w:t>
            </w:r>
          </w:p>
        </w:tc>
        <w:tc>
          <w:tcPr>
            <w:tcW w:w="962"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姓名</w:t>
            </w:r>
          </w:p>
        </w:tc>
        <w:tc>
          <w:tcPr>
            <w:tcW w:w="1008" w:type="dxa"/>
            <w:gridSpan w:val="2"/>
            <w:vAlign w:val="center"/>
          </w:tcPr>
          <w:p>
            <w:pPr>
              <w:spacing w:line="440" w:lineRule="exact"/>
              <w:rPr>
                <w:rFonts w:ascii="宋体" w:hAnsi="宋体" w:eastAsia="宋体" w:cs="Times New Roman"/>
                <w:color w:val="000000" w:themeColor="text1"/>
                <w:sz w:val="24"/>
                <w:szCs w:val="22"/>
              </w:rPr>
            </w:pPr>
          </w:p>
        </w:tc>
        <w:tc>
          <w:tcPr>
            <w:tcW w:w="1247"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技术职称</w:t>
            </w:r>
          </w:p>
        </w:tc>
        <w:tc>
          <w:tcPr>
            <w:tcW w:w="1320" w:type="dxa"/>
            <w:vAlign w:val="center"/>
          </w:tcPr>
          <w:p>
            <w:pPr>
              <w:spacing w:line="440" w:lineRule="exact"/>
              <w:rPr>
                <w:rFonts w:ascii="宋体" w:hAnsi="宋体" w:eastAsia="宋体" w:cs="Times New Roman"/>
                <w:color w:val="000000" w:themeColor="text1"/>
                <w:sz w:val="24"/>
                <w:szCs w:val="22"/>
              </w:rPr>
            </w:pPr>
          </w:p>
        </w:tc>
        <w:tc>
          <w:tcPr>
            <w:tcW w:w="1153"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电话</w:t>
            </w:r>
          </w:p>
        </w:tc>
        <w:tc>
          <w:tcPr>
            <w:tcW w:w="1409" w:type="dxa"/>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748" w:type="dxa"/>
            <w:vAlign w:val="center"/>
          </w:tcPr>
          <w:p>
            <w:pPr>
              <w:spacing w:line="440" w:lineRule="exact"/>
              <w:rPr>
                <w:rFonts w:ascii="宋体" w:hAnsi="宋体" w:eastAsia="宋体" w:cs="Times New Roman"/>
                <w:color w:val="000000" w:themeColor="text1"/>
                <w:sz w:val="24"/>
                <w:szCs w:val="22"/>
                <w:highlight w:val="white"/>
              </w:rPr>
            </w:pPr>
            <w:r>
              <w:rPr>
                <w:rFonts w:hint="eastAsia" w:ascii="宋体" w:hAnsi="宋体" w:eastAsia="宋体" w:cs="Times New Roman"/>
                <w:color w:val="000000" w:themeColor="text1"/>
                <w:sz w:val="24"/>
                <w:szCs w:val="22"/>
                <w:highlight w:val="white"/>
              </w:rPr>
              <w:t>项目经理</w:t>
            </w:r>
          </w:p>
        </w:tc>
        <w:tc>
          <w:tcPr>
            <w:tcW w:w="962"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姓名</w:t>
            </w:r>
          </w:p>
        </w:tc>
        <w:tc>
          <w:tcPr>
            <w:tcW w:w="1008" w:type="dxa"/>
            <w:gridSpan w:val="2"/>
            <w:vAlign w:val="center"/>
          </w:tcPr>
          <w:p>
            <w:pPr>
              <w:spacing w:line="440" w:lineRule="exact"/>
              <w:rPr>
                <w:rFonts w:ascii="宋体" w:hAnsi="宋体" w:eastAsia="宋体" w:cs="Times New Roman"/>
                <w:color w:val="000000" w:themeColor="text1"/>
                <w:sz w:val="24"/>
                <w:szCs w:val="22"/>
              </w:rPr>
            </w:pPr>
          </w:p>
        </w:tc>
        <w:tc>
          <w:tcPr>
            <w:tcW w:w="1247"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技术职称</w:t>
            </w:r>
          </w:p>
        </w:tc>
        <w:tc>
          <w:tcPr>
            <w:tcW w:w="1320" w:type="dxa"/>
            <w:vAlign w:val="center"/>
          </w:tcPr>
          <w:p>
            <w:pPr>
              <w:spacing w:line="440" w:lineRule="exact"/>
              <w:rPr>
                <w:rFonts w:ascii="宋体" w:hAnsi="宋体" w:eastAsia="宋体" w:cs="Times New Roman"/>
                <w:color w:val="000000" w:themeColor="text1"/>
                <w:sz w:val="24"/>
                <w:szCs w:val="22"/>
              </w:rPr>
            </w:pPr>
          </w:p>
        </w:tc>
        <w:tc>
          <w:tcPr>
            <w:tcW w:w="1153"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电话</w:t>
            </w:r>
          </w:p>
        </w:tc>
        <w:tc>
          <w:tcPr>
            <w:tcW w:w="1409" w:type="dxa"/>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成立时间</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5129" w:type="dxa"/>
            <w:gridSpan w:val="5"/>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企业资质等级</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restart"/>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其中</w:t>
            </w: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项目经理</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营业执照号</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高级职称人员</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注册资金</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中级职称人员</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开户银行</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初级职称人员</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账号</w:t>
            </w:r>
          </w:p>
        </w:tc>
        <w:tc>
          <w:tcPr>
            <w:tcW w:w="1970" w:type="dxa"/>
            <w:gridSpan w:val="3"/>
            <w:vAlign w:val="center"/>
          </w:tcPr>
          <w:p>
            <w:pPr>
              <w:spacing w:line="440" w:lineRule="exact"/>
              <w:rPr>
                <w:rFonts w:ascii="宋体" w:hAnsi="宋体" w:eastAsia="宋体" w:cs="Times New Roman"/>
                <w:color w:val="000000" w:themeColor="text1"/>
                <w:sz w:val="24"/>
                <w:szCs w:val="22"/>
              </w:rPr>
            </w:pPr>
          </w:p>
        </w:tc>
        <w:tc>
          <w:tcPr>
            <w:tcW w:w="1247" w:type="dxa"/>
            <w:vMerge w:val="continue"/>
            <w:vAlign w:val="center"/>
          </w:tcPr>
          <w:p>
            <w:pPr>
              <w:spacing w:line="440" w:lineRule="exact"/>
              <w:rPr>
                <w:rFonts w:ascii="宋体" w:hAnsi="宋体" w:eastAsia="宋体" w:cs="Times New Roman"/>
                <w:color w:val="000000" w:themeColor="text1"/>
                <w:sz w:val="24"/>
                <w:szCs w:val="22"/>
              </w:rPr>
            </w:pPr>
          </w:p>
        </w:tc>
        <w:tc>
          <w:tcPr>
            <w:tcW w:w="1687" w:type="dxa"/>
            <w:gridSpan w:val="2"/>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技工</w:t>
            </w:r>
          </w:p>
        </w:tc>
        <w:tc>
          <w:tcPr>
            <w:tcW w:w="2195" w:type="dxa"/>
            <w:gridSpan w:val="2"/>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08" w:hRule="atLeast"/>
        </w:trPr>
        <w:tc>
          <w:tcPr>
            <w:tcW w:w="1748" w:type="dxa"/>
            <w:vAlign w:val="center"/>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经营范围</w:t>
            </w:r>
          </w:p>
        </w:tc>
        <w:tc>
          <w:tcPr>
            <w:tcW w:w="7099" w:type="dxa"/>
            <w:gridSpan w:val="8"/>
            <w:vAlign w:val="center"/>
          </w:tcPr>
          <w:p>
            <w:pPr>
              <w:spacing w:line="440" w:lineRule="exact"/>
              <w:rPr>
                <w:rFonts w:ascii="宋体" w:hAnsi="宋体" w:eastAsia="宋体" w:cs="Times New Roman"/>
                <w:color w:val="000000" w:themeColor="text1"/>
                <w:sz w:val="24"/>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748" w:type="dxa"/>
          </w:tcPr>
          <w:p>
            <w:pPr>
              <w:spacing w:line="440" w:lineRule="exact"/>
              <w:rPr>
                <w:rFonts w:ascii="宋体" w:hAnsi="宋体" w:eastAsia="宋体" w:cs="Times New Roman"/>
                <w:color w:val="000000" w:themeColor="text1"/>
                <w:sz w:val="24"/>
                <w:szCs w:val="22"/>
              </w:rPr>
            </w:pPr>
            <w:r>
              <w:rPr>
                <w:rFonts w:hint="eastAsia" w:ascii="宋体" w:hAnsi="宋体" w:eastAsia="宋体" w:cs="Times New Roman"/>
                <w:color w:val="000000" w:themeColor="text1"/>
                <w:sz w:val="24"/>
                <w:szCs w:val="22"/>
                <w:highlight w:val="white"/>
              </w:rPr>
              <w:t>备注</w:t>
            </w:r>
          </w:p>
        </w:tc>
        <w:tc>
          <w:tcPr>
            <w:tcW w:w="7099" w:type="dxa"/>
            <w:gridSpan w:val="8"/>
          </w:tcPr>
          <w:p>
            <w:pPr>
              <w:spacing w:line="440" w:lineRule="exact"/>
              <w:rPr>
                <w:rFonts w:ascii="宋体" w:hAnsi="宋体" w:eastAsia="宋体" w:cs="Times New Roman"/>
                <w:color w:val="000000" w:themeColor="text1"/>
                <w:sz w:val="24"/>
                <w:szCs w:val="22"/>
              </w:rPr>
            </w:pPr>
          </w:p>
        </w:tc>
      </w:tr>
    </w:tbl>
    <w:p>
      <w:pPr>
        <w:pStyle w:val="32"/>
        <w:rPr>
          <w:color w:val="000000" w:themeColor="text1"/>
          <w:lang w:val="zh-CN"/>
        </w:rPr>
      </w:pPr>
    </w:p>
    <w:p>
      <w:pPr>
        <w:ind w:firstLine="960" w:firstLineChars="300"/>
        <w:rPr>
          <w:rFonts w:ascii="黑体" w:hAnsi="黑体" w:eastAsia="黑体" w:cs="仿宋"/>
          <w:color w:val="000000" w:themeColor="text1"/>
          <w:kern w:val="0"/>
          <w:sz w:val="32"/>
          <w:szCs w:val="32"/>
          <w:lang w:val="zh-CN"/>
        </w:rPr>
      </w:pPr>
      <w:r>
        <w:rPr>
          <w:rFonts w:hint="eastAsia" w:ascii="黑体" w:hAnsi="黑体" w:eastAsia="黑体" w:cs="仿宋"/>
          <w:color w:val="000000" w:themeColor="text1"/>
          <w:kern w:val="0"/>
          <w:sz w:val="32"/>
          <w:szCs w:val="32"/>
          <w:lang w:val="zh-CN"/>
        </w:rPr>
        <w:t>九、供应商认为需要提供的其他文件和资料。</w:t>
      </w:r>
    </w:p>
    <w:p>
      <w:pPr>
        <w:pStyle w:val="20"/>
        <w:ind w:firstLine="220"/>
        <w:rPr>
          <w:rFonts w:hint="default"/>
          <w:color w:val="000000" w:themeColor="text1"/>
          <w:lang w:val="zh-CN" w:bidi="zh-CN"/>
        </w:rPr>
      </w:pPr>
    </w:p>
    <w:p>
      <w:pPr>
        <w:pStyle w:val="20"/>
        <w:ind w:firstLine="220"/>
        <w:rPr>
          <w:rFonts w:hint="default"/>
          <w:color w:val="000000" w:themeColor="text1"/>
          <w:lang w:val="zh-CN" w:bidi="zh-CN"/>
        </w:rPr>
      </w:pPr>
    </w:p>
    <w:p>
      <w:pPr>
        <w:pStyle w:val="20"/>
        <w:ind w:firstLine="220"/>
        <w:rPr>
          <w:rFonts w:hint="default"/>
          <w:color w:val="000000" w:themeColor="text1"/>
          <w:lang w:val="zh-CN" w:bidi="zh-CN"/>
        </w:rPr>
      </w:pPr>
    </w:p>
    <w:p>
      <w:pPr>
        <w:pStyle w:val="3"/>
        <w:numPr>
          <w:ilvl w:val="0"/>
          <w:numId w:val="6"/>
        </w:numPr>
        <w:rPr>
          <w:rFonts w:hint="default" w:ascii="黑体" w:hAnsi="黑体" w:eastAsia="黑体"/>
          <w:b w:val="0"/>
          <w:color w:val="000000" w:themeColor="text1"/>
          <w:sz w:val="36"/>
          <w:szCs w:val="36"/>
        </w:rPr>
      </w:pPr>
      <w:bookmarkStart w:id="86" w:name="_Toc60399696"/>
      <w:r>
        <w:rPr>
          <w:rFonts w:ascii="黑体" w:hAnsi="黑体" w:eastAsia="黑体"/>
          <w:b w:val="0"/>
          <w:color w:val="000000" w:themeColor="text1"/>
          <w:sz w:val="36"/>
          <w:szCs w:val="36"/>
        </w:rPr>
        <w:t>项目概况</w:t>
      </w:r>
      <w:bookmarkEnd w:id="86"/>
    </w:p>
    <w:p>
      <w:pPr>
        <w:autoSpaceDE w:val="0"/>
        <w:autoSpaceDN w:val="0"/>
        <w:spacing w:line="360" w:lineRule="auto"/>
        <w:ind w:firstLine="560" w:firstLineChars="200"/>
        <w:rPr>
          <w:rFonts w:ascii="仿宋" w:hAnsi="仿宋" w:eastAsia="仿宋"/>
          <w:color w:val="000000" w:themeColor="text1"/>
          <w:sz w:val="30"/>
          <w:szCs w:val="30"/>
        </w:rPr>
      </w:pPr>
      <w:r>
        <w:rPr>
          <w:rFonts w:hint="eastAsia" w:ascii="宋体" w:hAnsi="宋体" w:eastAsia="宋体" w:cs="仿宋"/>
          <w:b/>
          <w:color w:val="000000" w:themeColor="text1"/>
          <w:sz w:val="28"/>
          <w:szCs w:val="28"/>
        </w:rPr>
        <w:t>一</w:t>
      </w:r>
      <w:r>
        <w:rPr>
          <w:rFonts w:ascii="宋体" w:hAnsi="宋体" w:eastAsia="宋体" w:cs="仿宋"/>
          <w:b/>
          <w:color w:val="000000" w:themeColor="text1"/>
          <w:sz w:val="28"/>
          <w:szCs w:val="28"/>
        </w:rPr>
        <w:t>、</w:t>
      </w:r>
      <w:r>
        <w:rPr>
          <w:rFonts w:hint="eastAsia" w:ascii="宋体" w:hAnsi="宋体" w:eastAsia="宋体" w:cs="仿宋"/>
          <w:b/>
          <w:color w:val="000000" w:themeColor="text1"/>
          <w:sz w:val="28"/>
          <w:szCs w:val="28"/>
        </w:rPr>
        <w:t>项目名称：</w:t>
      </w:r>
      <w:r>
        <w:rPr>
          <w:rFonts w:hint="eastAsia" w:ascii="仿宋" w:hAnsi="仿宋" w:eastAsia="仿宋"/>
          <w:color w:val="333333"/>
          <w:sz w:val="32"/>
          <w:szCs w:val="32"/>
          <w:u w:val="single"/>
        </w:rPr>
        <w:t>东城街道二马路社区老旧建筑消防安全隐患2020年度整改工程</w:t>
      </w:r>
    </w:p>
    <w:p>
      <w:pPr>
        <w:spacing w:line="360" w:lineRule="auto"/>
        <w:ind w:firstLine="560" w:firstLineChars="200"/>
        <w:rPr>
          <w:rFonts w:ascii="仿宋" w:hAnsi="仿宋" w:eastAsia="仿宋"/>
          <w:color w:val="000000" w:themeColor="text1"/>
          <w:sz w:val="30"/>
          <w:szCs w:val="30"/>
        </w:rPr>
      </w:pPr>
      <w:r>
        <w:rPr>
          <w:rFonts w:hint="eastAsia" w:ascii="宋体" w:hAnsi="宋体" w:eastAsia="宋体" w:cs="仿宋"/>
          <w:b/>
          <w:color w:val="000000" w:themeColor="text1"/>
          <w:sz w:val="28"/>
          <w:szCs w:val="28"/>
        </w:rPr>
        <w:t>二</w:t>
      </w:r>
      <w:r>
        <w:rPr>
          <w:rFonts w:ascii="宋体" w:hAnsi="宋体" w:eastAsia="宋体" w:cs="仿宋"/>
          <w:b/>
          <w:color w:val="000000" w:themeColor="text1"/>
          <w:sz w:val="28"/>
          <w:szCs w:val="28"/>
        </w:rPr>
        <w:t>、</w:t>
      </w:r>
      <w:r>
        <w:rPr>
          <w:rFonts w:hint="eastAsia" w:ascii="仿宋" w:hAnsi="仿宋" w:eastAsia="仿宋"/>
          <w:color w:val="000000" w:themeColor="text1"/>
          <w:sz w:val="30"/>
          <w:szCs w:val="30"/>
        </w:rPr>
        <w:t>资金来源及金额：财政资金，</w:t>
      </w:r>
      <w:r>
        <w:rPr>
          <w:rFonts w:ascii="仿宋" w:hAnsi="仿宋" w:eastAsia="仿宋"/>
          <w:color w:val="000000" w:themeColor="text1"/>
          <w:sz w:val="30"/>
          <w:szCs w:val="30"/>
        </w:rPr>
        <w:t>人民币</w:t>
      </w:r>
      <w:r>
        <w:rPr>
          <w:rFonts w:hint="eastAsia" w:ascii="仿宋_GB2312" w:hAnsi="仿宋" w:eastAsia="仿宋_GB2312" w:cs="Times New Roman"/>
          <w:sz w:val="32"/>
          <w:szCs w:val="32"/>
          <w:u w:val="single"/>
        </w:rPr>
        <w:t>2478383</w:t>
      </w:r>
      <w:r>
        <w:rPr>
          <w:rFonts w:ascii="仿宋" w:hAnsi="仿宋" w:eastAsia="仿宋"/>
          <w:color w:val="000000" w:themeColor="text1"/>
          <w:sz w:val="30"/>
          <w:szCs w:val="30"/>
        </w:rPr>
        <w:t>元</w:t>
      </w:r>
      <w:r>
        <w:rPr>
          <w:rFonts w:hint="eastAsia" w:ascii="仿宋" w:hAnsi="仿宋" w:eastAsia="仿宋"/>
          <w:color w:val="000000" w:themeColor="text1"/>
          <w:sz w:val="30"/>
          <w:szCs w:val="30"/>
        </w:rPr>
        <w:t>，</w:t>
      </w:r>
      <w:r>
        <w:rPr>
          <w:rFonts w:ascii="仿宋" w:hAnsi="仿宋" w:eastAsia="仿宋"/>
          <w:color w:val="000000" w:themeColor="text1"/>
          <w:sz w:val="30"/>
          <w:szCs w:val="30"/>
        </w:rPr>
        <w:t>大写：</w:t>
      </w:r>
      <w:r>
        <w:rPr>
          <w:rFonts w:hint="eastAsia" w:ascii="仿宋" w:hAnsi="仿宋" w:eastAsia="仿宋"/>
          <w:color w:val="000000" w:themeColor="text1"/>
          <w:sz w:val="30"/>
          <w:szCs w:val="30"/>
        </w:rPr>
        <w:t>（贰</w:t>
      </w:r>
      <w:r>
        <w:rPr>
          <w:rFonts w:ascii="仿宋" w:hAnsi="仿宋" w:eastAsia="仿宋"/>
          <w:color w:val="000000" w:themeColor="text1"/>
          <w:sz w:val="30"/>
          <w:szCs w:val="30"/>
        </w:rPr>
        <w:t>佰肆拾柒万捌仟叁佰捌拾叁元整。</w:t>
      </w:r>
      <w:r>
        <w:rPr>
          <w:rFonts w:hint="eastAsia" w:ascii="仿宋" w:hAnsi="仿宋" w:eastAsia="仿宋"/>
          <w:color w:val="000000" w:themeColor="text1"/>
          <w:sz w:val="30"/>
          <w:szCs w:val="30"/>
        </w:rPr>
        <w:t>）</w:t>
      </w:r>
    </w:p>
    <w:p>
      <w:pPr>
        <w:ind w:firstLine="560" w:firstLineChars="200"/>
        <w:rPr>
          <w:rFonts w:ascii="宋体" w:hAnsi="宋体" w:eastAsia="宋体" w:cs="仿宋"/>
          <w:b/>
          <w:color w:val="000000" w:themeColor="text1"/>
          <w:sz w:val="28"/>
          <w:szCs w:val="28"/>
        </w:rPr>
      </w:pPr>
      <w:r>
        <w:rPr>
          <w:rFonts w:hint="eastAsia" w:ascii="宋体" w:hAnsi="宋体" w:eastAsia="宋体" w:cs="仿宋"/>
          <w:b/>
          <w:color w:val="000000" w:themeColor="text1"/>
          <w:sz w:val="28"/>
          <w:szCs w:val="28"/>
        </w:rPr>
        <w:t>三</w:t>
      </w:r>
      <w:r>
        <w:rPr>
          <w:rFonts w:ascii="宋体" w:hAnsi="宋体" w:eastAsia="宋体" w:cs="仿宋"/>
          <w:b/>
          <w:color w:val="000000" w:themeColor="text1"/>
          <w:sz w:val="28"/>
          <w:szCs w:val="28"/>
        </w:rPr>
        <w:t>、</w:t>
      </w:r>
      <w:r>
        <w:rPr>
          <w:rFonts w:hint="eastAsia" w:ascii="宋体" w:hAnsi="宋体" w:eastAsia="宋体" w:cs="仿宋"/>
          <w:b/>
          <w:color w:val="000000" w:themeColor="text1"/>
          <w:sz w:val="28"/>
          <w:szCs w:val="28"/>
        </w:rPr>
        <w:t>工程内容及规模：</w:t>
      </w:r>
    </w:p>
    <w:p>
      <w:pPr>
        <w:ind w:firstLine="640" w:firstLineChars="200"/>
        <w:rPr>
          <w:rFonts w:ascii="仿宋" w:hAnsi="仿宋" w:eastAsia="仿宋"/>
          <w:color w:val="000000" w:themeColor="text1"/>
          <w:sz w:val="30"/>
          <w:szCs w:val="30"/>
        </w:rPr>
      </w:pPr>
      <w:r>
        <w:rPr>
          <w:rFonts w:hint="eastAsia" w:ascii="仿宋_GB2312" w:hAnsi="仿宋" w:eastAsia="仿宋_GB2312" w:cs="Times New Roman"/>
          <w:sz w:val="32"/>
          <w:szCs w:val="32"/>
        </w:rPr>
        <w:t>二马路社区老旧建筑消防安全隐患2020年度整改工程，项目预算金额： 247.8383 （万元）。</w:t>
      </w:r>
    </w:p>
    <w:p>
      <w:pPr>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其他详见工程量清单及说明</w:t>
      </w:r>
      <w:r>
        <w:rPr>
          <w:rFonts w:hint="eastAsia" w:ascii="仿宋" w:hAnsi="仿宋" w:eastAsia="仿宋" w:cs="仿宋"/>
          <w:sz w:val="30"/>
          <w:szCs w:val="30"/>
        </w:rPr>
        <w:t>。</w:t>
      </w:r>
    </w:p>
    <w:p>
      <w:pPr>
        <w:autoSpaceDE w:val="0"/>
        <w:autoSpaceDN w:val="0"/>
        <w:spacing w:line="360" w:lineRule="auto"/>
        <w:rPr>
          <w:rFonts w:ascii="宋体" w:hAnsi="宋体" w:eastAsia="宋体" w:cs="仿宋"/>
          <w:color w:val="000000" w:themeColor="text1"/>
          <w:sz w:val="28"/>
          <w:szCs w:val="28"/>
          <w:u w:val="single"/>
        </w:rPr>
      </w:pPr>
    </w:p>
    <w:p>
      <w:pPr>
        <w:pStyle w:val="3"/>
        <w:snapToGrid w:val="0"/>
        <w:spacing w:line="560" w:lineRule="exact"/>
        <w:ind w:firstLine="2880" w:firstLineChars="800"/>
        <w:jc w:val="both"/>
        <w:rPr>
          <w:rFonts w:hint="default" w:ascii="黑体" w:hAnsi="黑体" w:eastAsia="黑体" w:cs="仿宋"/>
          <w:b w:val="0"/>
          <w:color w:val="000000" w:themeColor="text1"/>
          <w:sz w:val="36"/>
          <w:szCs w:val="36"/>
        </w:rPr>
      </w:pPr>
      <w:bookmarkStart w:id="87" w:name="_Toc60399682"/>
      <w:bookmarkStart w:id="88" w:name="_Toc8687"/>
      <w:bookmarkStart w:id="89" w:name="_Toc44342853"/>
      <w:r>
        <w:rPr>
          <w:rFonts w:ascii="黑体" w:hAnsi="黑体" w:eastAsia="黑体" w:cs="仿宋"/>
          <w:b w:val="0"/>
          <w:color w:val="000000" w:themeColor="text1"/>
          <w:sz w:val="36"/>
          <w:szCs w:val="36"/>
        </w:rPr>
        <w:t>第六章  资格审查办法</w:t>
      </w:r>
      <w:bookmarkEnd w:id="87"/>
    </w:p>
    <w:p>
      <w:pPr>
        <w:pStyle w:val="42"/>
        <w:tabs>
          <w:tab w:val="left" w:pos="1161"/>
        </w:tabs>
        <w:adjustRightInd w:val="0"/>
        <w:snapToGrid w:val="0"/>
        <w:spacing w:line="560" w:lineRule="exact"/>
        <w:ind w:left="0" w:right="-29" w:firstLine="560" w:firstLineChars="200"/>
        <w:rPr>
          <w:rFonts w:hint="default" w:ascii="黑体" w:hAnsi="黑体" w:eastAsia="黑体" w:cs="仿宋"/>
          <w:b/>
          <w:color w:val="000000" w:themeColor="text1"/>
          <w:sz w:val="28"/>
          <w:szCs w:val="28"/>
        </w:rPr>
      </w:pPr>
    </w:p>
    <w:p>
      <w:pPr>
        <w:pStyle w:val="4"/>
        <w:widowControl/>
        <w:adjustRightInd w:val="0"/>
        <w:snapToGrid w:val="0"/>
        <w:spacing w:before="0" w:line="540" w:lineRule="exact"/>
        <w:rPr>
          <w:rFonts w:hint="default" w:ascii="黑体" w:hAnsi="黑体" w:eastAsia="黑体" w:cs="仿宋"/>
          <w:b w:val="0"/>
          <w:color w:val="000000" w:themeColor="text1"/>
          <w:sz w:val="28"/>
          <w:szCs w:val="28"/>
        </w:rPr>
      </w:pPr>
      <w:bookmarkStart w:id="90" w:name="_Toc60399683"/>
      <w:r>
        <w:rPr>
          <w:rFonts w:ascii="黑体" w:hAnsi="黑体" w:eastAsia="黑体" w:cs="仿宋"/>
          <w:b w:val="0"/>
          <w:color w:val="000000" w:themeColor="text1"/>
          <w:sz w:val="28"/>
          <w:szCs w:val="28"/>
        </w:rPr>
        <w:t>一、总  则</w:t>
      </w:r>
      <w:bookmarkEnd w:id="88"/>
      <w:bookmarkEnd w:id="89"/>
      <w:bookmarkEnd w:id="90"/>
      <w:bookmarkStart w:id="91" w:name="1._根据《中华人民共和国政府采购法》、《中华人民共和国政府采购法实施条例》等法"/>
      <w:bookmarkEnd w:id="91"/>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1.根据《中华人民共和国政府采购法》、《中华人民共和国政府采购法实施条例》等法律法规，结合本采购项目特点制定本次资格审查办法。</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2.根据《四川省财政厅关于规范政府采购工程项目采购执行管理有关事项的通知》第三条规定，本次资格预审由采购人实施资格审查。资格预审小组由采购人组建。</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3.资格预审小组依法对供应商的资格进行审查。</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4.资格审查过程独立、保密。供应商非法干预审核过程的行为将导致其资格预审申请文件作为无效处理。</w:t>
      </w:r>
      <w:bookmarkStart w:id="92" w:name="二、评审程序"/>
      <w:bookmarkEnd w:id="92"/>
      <w:bookmarkStart w:id="93" w:name="_Toc44342854"/>
      <w:bookmarkStart w:id="94" w:name="_Toc19202"/>
    </w:p>
    <w:p>
      <w:pPr>
        <w:spacing w:line="468" w:lineRule="exact"/>
        <w:ind w:firstLine="556" w:firstLineChars="200"/>
        <w:rPr>
          <w:rFonts w:cs="仿宋" w:asciiTheme="minorEastAsia" w:hAnsiTheme="minorEastAsia"/>
          <w:color w:val="000000" w:themeColor="text1"/>
          <w:spacing w:val="-1"/>
          <w:kern w:val="0"/>
          <w:sz w:val="28"/>
          <w:szCs w:val="28"/>
        </w:rPr>
      </w:pPr>
      <w:r>
        <w:rPr>
          <w:rFonts w:hint="eastAsia" w:cs="仿宋" w:asciiTheme="minorEastAsia" w:hAnsiTheme="minorEastAsia"/>
          <w:color w:val="000000" w:themeColor="text1"/>
          <w:spacing w:val="-1"/>
          <w:kern w:val="0"/>
          <w:sz w:val="28"/>
          <w:szCs w:val="28"/>
        </w:rPr>
        <w:t>5.资格预审小组审查资格预审申请文件的响应性，对于供应商而言，除资格预审小组要求其澄清、说明或者更正而提供的资料外，仅依据</w:t>
      </w:r>
      <w:r>
        <w:rPr>
          <w:color w:val="000000" w:themeColor="text1"/>
          <w:sz w:val="24"/>
        </w:rPr>
        <w:t>资格预审申请文件</w:t>
      </w:r>
      <w:r>
        <w:rPr>
          <w:rFonts w:hint="eastAsia" w:cs="仿宋" w:asciiTheme="minorEastAsia" w:hAnsiTheme="minorEastAsia"/>
          <w:color w:val="000000" w:themeColor="text1"/>
          <w:spacing w:val="-1"/>
          <w:kern w:val="0"/>
          <w:sz w:val="28"/>
          <w:szCs w:val="28"/>
        </w:rPr>
        <w:t>本身的内容，不寻求其他外部证据。</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p>
    <w:p>
      <w:pPr>
        <w:pStyle w:val="42"/>
        <w:tabs>
          <w:tab w:val="left" w:pos="1161"/>
        </w:tabs>
        <w:adjustRightInd w:val="0"/>
        <w:snapToGrid w:val="0"/>
        <w:spacing w:line="540" w:lineRule="exact"/>
        <w:ind w:left="0" w:firstLine="556" w:firstLineChars="200"/>
        <w:rPr>
          <w:rFonts w:hint="default" w:cs="仿宋" w:asciiTheme="minorEastAsia" w:hAnsiTheme="minorEastAsia" w:eastAsiaTheme="minorEastAsia"/>
          <w:color w:val="000000" w:themeColor="text1"/>
          <w:spacing w:val="-1"/>
          <w:sz w:val="28"/>
          <w:szCs w:val="28"/>
        </w:rPr>
      </w:pPr>
    </w:p>
    <w:p>
      <w:pPr>
        <w:pStyle w:val="4"/>
        <w:widowControl/>
        <w:adjustRightInd w:val="0"/>
        <w:snapToGrid w:val="0"/>
        <w:spacing w:before="0" w:line="540" w:lineRule="exact"/>
        <w:rPr>
          <w:rFonts w:hint="default" w:ascii="黑体" w:hAnsi="黑体" w:eastAsia="黑体" w:cs="仿宋"/>
          <w:b w:val="0"/>
          <w:color w:val="000000" w:themeColor="text1"/>
          <w:sz w:val="28"/>
          <w:szCs w:val="28"/>
        </w:rPr>
      </w:pPr>
      <w:bookmarkStart w:id="95" w:name="_Toc60399684"/>
      <w:r>
        <w:rPr>
          <w:rFonts w:ascii="黑体" w:hAnsi="黑体" w:eastAsia="黑体" w:cs="仿宋"/>
          <w:b w:val="0"/>
          <w:color w:val="000000" w:themeColor="text1"/>
          <w:sz w:val="28"/>
          <w:szCs w:val="28"/>
        </w:rPr>
        <w:t>二、资格审查程序</w:t>
      </w:r>
      <w:bookmarkEnd w:id="93"/>
      <w:bookmarkEnd w:id="94"/>
      <w:bookmarkEnd w:id="95"/>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1.资格预审在资格预审文件规定的时间和地点进行，采购人、监督人员进行资格预审活动现场签到。</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2.资格预审时，采购单位可能根据具体情况邀请有关监督管理部门对资格预审活动进行现场监督。</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3.资格预审小组发现资格预审文件内容违反国家有关强制性规定的，应当停止评审。</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4.资格预审小组应依据法律法规和本资格预审文件的规定，对供应商提交的资格预审申请文件进行审查，以确定供应商是否通过资格预审。</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5.资格预审小组依法对供应商的资格进行审核结束后，出具资格预审报告。</w:t>
      </w:r>
    </w:p>
    <w:p>
      <w:pPr>
        <w:pStyle w:val="42"/>
        <w:tabs>
          <w:tab w:val="left" w:pos="1161"/>
        </w:tabs>
        <w:adjustRightInd w:val="0"/>
        <w:snapToGrid w:val="0"/>
        <w:spacing w:line="540" w:lineRule="exact"/>
        <w:ind w:left="0" w:firstLine="556" w:firstLineChars="200"/>
        <w:jc w:val="both"/>
        <w:rPr>
          <w:rFonts w:hint="default" w:cs="仿宋" w:asciiTheme="minorEastAsia" w:hAnsiTheme="minorEastAsia" w:eastAsiaTheme="minorEastAsia"/>
          <w:color w:val="000000" w:themeColor="text1"/>
          <w:spacing w:val="-1"/>
          <w:sz w:val="28"/>
          <w:szCs w:val="28"/>
        </w:rPr>
      </w:pPr>
    </w:p>
    <w:p>
      <w:pPr>
        <w:pStyle w:val="42"/>
        <w:tabs>
          <w:tab w:val="left" w:pos="1161"/>
        </w:tabs>
        <w:adjustRightInd w:val="0"/>
        <w:snapToGrid w:val="0"/>
        <w:spacing w:line="540" w:lineRule="exact"/>
        <w:ind w:left="0" w:firstLine="3080" w:firstLineChars="1100"/>
        <w:jc w:val="both"/>
        <w:rPr>
          <w:rFonts w:hint="default" w:ascii="黑体" w:hAnsi="黑体" w:eastAsia="黑体" w:cs="仿宋"/>
          <w:color w:val="000000" w:themeColor="text1"/>
          <w:sz w:val="28"/>
          <w:szCs w:val="28"/>
        </w:rPr>
      </w:pPr>
      <w:r>
        <w:rPr>
          <w:rFonts w:hint="default" w:ascii="黑体" w:hAnsi="黑体" w:eastAsia="黑体" w:cs="仿宋"/>
          <w:color w:val="000000" w:themeColor="text1"/>
          <w:sz w:val="28"/>
          <w:szCs w:val="28"/>
        </w:rPr>
        <w:t>三、资格预审审查标准</w:t>
      </w:r>
      <w:r>
        <w:rPr>
          <w:rFonts w:hint="default" w:ascii="黑体" w:hAnsi="黑体" w:eastAsia="黑体" w:cs="仿宋"/>
          <w:color w:val="000000" w:themeColor="text1"/>
          <w:sz w:val="28"/>
          <w:szCs w:val="28"/>
        </w:rPr>
        <w:tab/>
      </w:r>
    </w:p>
    <w:p>
      <w:pPr>
        <w:pStyle w:val="42"/>
        <w:tabs>
          <w:tab w:val="left" w:pos="1161"/>
        </w:tabs>
        <w:adjustRightInd w:val="0"/>
        <w:snapToGrid w:val="0"/>
        <w:spacing w:line="540" w:lineRule="exact"/>
        <w:jc w:val="both"/>
        <w:rPr>
          <w:rFonts w:hint="default" w:cs="仿宋" w:asciiTheme="minorEastAsia" w:hAnsiTheme="minorEastAsia" w:eastAsiaTheme="minorEastAsia"/>
          <w:color w:val="000000" w:themeColor="text1"/>
          <w:spacing w:val="-1"/>
          <w:sz w:val="28"/>
          <w:szCs w:val="28"/>
        </w:rPr>
      </w:pPr>
      <w:r>
        <w:rPr>
          <w:rFonts w:cs="仿宋" w:asciiTheme="minorEastAsia" w:hAnsiTheme="minorEastAsia" w:eastAsiaTheme="minorEastAsia"/>
          <w:color w:val="000000" w:themeColor="text1"/>
          <w:spacing w:val="-1"/>
          <w:sz w:val="28"/>
          <w:szCs w:val="28"/>
        </w:rPr>
        <w:t>（详见第三章   供应商资格资质性及其他类似效力要求与应提供的相关证明材料）</w:t>
      </w:r>
    </w:p>
    <w:p>
      <w:pPr>
        <w:pStyle w:val="4"/>
        <w:widowControl/>
        <w:spacing w:before="0"/>
        <w:rPr>
          <w:rFonts w:hint="default" w:ascii="黑体" w:hAnsi="黑体" w:eastAsia="黑体" w:cs="仿宋"/>
          <w:b w:val="0"/>
          <w:color w:val="000000" w:themeColor="text1"/>
          <w:sz w:val="28"/>
          <w:szCs w:val="28"/>
        </w:rPr>
      </w:pPr>
      <w:bookmarkStart w:id="96" w:name="_Toc60399686"/>
      <w:r>
        <w:rPr>
          <w:rFonts w:ascii="黑体" w:hAnsi="黑体" w:eastAsia="黑体" w:cs="仿宋"/>
          <w:b w:val="0"/>
          <w:color w:val="000000" w:themeColor="text1"/>
          <w:sz w:val="28"/>
          <w:szCs w:val="28"/>
        </w:rPr>
        <w:t>四、资格预审申请文件的澄清</w:t>
      </w:r>
      <w:bookmarkEnd w:id="96"/>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在审查过程中，资格预审小组可以要求供应商对所提交的资格预审申请文件中不明确的内容进行必要的澄清或说明。资格预审小组不接受供应商主动提出的澄清和说明。</w:t>
      </w:r>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供应商的澄清或说明不得改变资格预审申请文件的实质性内容，澄清或说明需签章，并作为资格预审申请文件的组成部分。</w:t>
      </w:r>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资格预审小组不得暗示或者诱导供应商作出澄清、说明或纠正，对供应商递交的澄清、说明或纠正有疑问的，可以要求供应商进一步澄清或说明。</w:t>
      </w:r>
    </w:p>
    <w:p>
      <w:pPr>
        <w:pStyle w:val="42"/>
        <w:numPr>
          <w:ilvl w:val="0"/>
          <w:numId w:val="7"/>
        </w:numPr>
        <w:tabs>
          <w:tab w:val="left" w:pos="567"/>
        </w:tabs>
        <w:adjustRightInd w:val="0"/>
        <w:snapToGrid w:val="0"/>
        <w:spacing w:line="56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澄清或说明通过</w:t>
      </w:r>
      <w:r>
        <w:rPr>
          <w:rFonts w:ascii="宋体" w:hAnsi="宋体" w:eastAsia="宋体" w:cs="仿宋"/>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rPr>
        <w:t>平台进行，供应商应使用CA数字证书进行签章确认。</w:t>
      </w:r>
    </w:p>
    <w:p>
      <w:pPr>
        <w:pStyle w:val="4"/>
        <w:widowControl/>
        <w:spacing w:before="0"/>
        <w:rPr>
          <w:rFonts w:hint="default" w:ascii="黑体" w:hAnsi="黑体" w:eastAsia="黑体" w:cs="仿宋"/>
          <w:b w:val="0"/>
          <w:color w:val="000000" w:themeColor="text1"/>
          <w:sz w:val="28"/>
          <w:szCs w:val="28"/>
        </w:rPr>
      </w:pPr>
      <w:bookmarkStart w:id="97" w:name="四、出具资格预审评审报告"/>
      <w:bookmarkEnd w:id="97"/>
      <w:bookmarkStart w:id="98" w:name="_Toc14591"/>
      <w:bookmarkStart w:id="99" w:name="_Toc60399687"/>
      <w:bookmarkStart w:id="100" w:name="_Toc44342856"/>
      <w:r>
        <w:rPr>
          <w:rFonts w:ascii="黑体" w:hAnsi="黑体" w:eastAsia="黑体" w:cs="仿宋"/>
          <w:b w:val="0"/>
          <w:color w:val="000000" w:themeColor="text1"/>
          <w:sz w:val="28"/>
          <w:szCs w:val="28"/>
        </w:rPr>
        <w:t>五、出具资格预审评审报告</w:t>
      </w:r>
      <w:bookmarkEnd w:id="98"/>
      <w:bookmarkEnd w:id="99"/>
      <w:bookmarkEnd w:id="100"/>
    </w:p>
    <w:p>
      <w:pPr>
        <w:pStyle w:val="2"/>
        <w:adjustRightInd w:val="0"/>
        <w:snapToGrid w:val="0"/>
        <w:spacing w:after="0" w:line="540" w:lineRule="exact"/>
        <w:ind w:firstLine="560" w:firstLineChars="200"/>
        <w:rPr>
          <w:rFonts w:hint="default" w:cs="仿宋" w:asciiTheme="minorEastAsia" w:hAnsiTheme="minorEastAsia" w:eastAsiaTheme="minorEastAsia"/>
          <w:snapToGrid w:val="0"/>
          <w:color w:val="000000" w:themeColor="text1"/>
          <w:sz w:val="28"/>
          <w:szCs w:val="28"/>
        </w:rPr>
      </w:pPr>
      <w:r>
        <w:rPr>
          <w:rFonts w:hint="default" w:cs="仿宋" w:asciiTheme="minorEastAsia" w:hAnsiTheme="minorEastAsia" w:eastAsiaTheme="minorEastAsia"/>
          <w:snapToGrid w:val="0"/>
          <w:color w:val="000000" w:themeColor="text1"/>
          <w:sz w:val="28"/>
          <w:szCs w:val="28"/>
        </w:rPr>
        <w:t>(</w:t>
      </w:r>
      <w:r>
        <w:rPr>
          <w:rFonts w:cs="仿宋" w:asciiTheme="minorEastAsia" w:hAnsiTheme="minorEastAsia" w:eastAsiaTheme="minorEastAsia"/>
          <w:snapToGrid w:val="0"/>
          <w:color w:val="000000" w:themeColor="text1"/>
          <w:sz w:val="28"/>
          <w:szCs w:val="28"/>
        </w:rPr>
        <w:t>一</w:t>
      </w:r>
      <w:r>
        <w:rPr>
          <w:rFonts w:hint="default" w:cs="仿宋" w:asciiTheme="minorEastAsia" w:hAnsiTheme="minorEastAsia" w:eastAsiaTheme="minorEastAsia"/>
          <w:snapToGrid w:val="0"/>
          <w:color w:val="000000" w:themeColor="text1"/>
          <w:sz w:val="28"/>
          <w:szCs w:val="28"/>
        </w:rPr>
        <w:t>)</w:t>
      </w:r>
      <w:r>
        <w:rPr>
          <w:rFonts w:cs="仿宋" w:asciiTheme="minorEastAsia" w:hAnsiTheme="minorEastAsia" w:eastAsiaTheme="minorEastAsia"/>
          <w:snapToGrid w:val="0"/>
          <w:color w:val="000000" w:themeColor="text1"/>
          <w:sz w:val="28"/>
          <w:szCs w:val="28"/>
        </w:rPr>
        <w:t>资格预审评审报告应当包括以下内容：</w:t>
      </w:r>
    </w:p>
    <w:p>
      <w:pPr>
        <w:pStyle w:val="42"/>
        <w:numPr>
          <w:ilvl w:val="0"/>
          <w:numId w:val="8"/>
        </w:numPr>
        <w:tabs>
          <w:tab w:val="left" w:pos="709"/>
        </w:tabs>
        <w:adjustRightInd w:val="0"/>
        <w:snapToGrid w:val="0"/>
        <w:spacing w:line="54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资格预审公告刊登的媒体名称、递交资格预审申请文件的截止日期和地点；</w:t>
      </w:r>
    </w:p>
    <w:p>
      <w:pPr>
        <w:pStyle w:val="42"/>
        <w:numPr>
          <w:ilvl w:val="0"/>
          <w:numId w:val="8"/>
        </w:numPr>
        <w:tabs>
          <w:tab w:val="left" w:pos="709"/>
        </w:tabs>
        <w:adjustRightInd w:val="0"/>
        <w:snapToGrid w:val="0"/>
        <w:spacing w:line="54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递交资格预审申请文件的供应商名单和资格预审小组成员名单；</w:t>
      </w:r>
    </w:p>
    <w:p>
      <w:pPr>
        <w:pStyle w:val="42"/>
        <w:numPr>
          <w:ilvl w:val="0"/>
          <w:numId w:val="8"/>
        </w:numPr>
        <w:tabs>
          <w:tab w:val="left" w:pos="709"/>
        </w:tabs>
        <w:adjustRightInd w:val="0"/>
        <w:snapToGrid w:val="0"/>
        <w:spacing w:line="540" w:lineRule="exact"/>
        <w:ind w:left="0"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资格审查结果，未通过资格预审的原因等；</w:t>
      </w:r>
    </w:p>
    <w:p>
      <w:pPr>
        <w:pStyle w:val="2"/>
        <w:tabs>
          <w:tab w:val="left" w:pos="709"/>
        </w:tabs>
        <w:adjustRightInd w:val="0"/>
        <w:snapToGrid w:val="0"/>
        <w:spacing w:after="0" w:line="540" w:lineRule="exact"/>
        <w:ind w:firstLine="560" w:firstLineChars="20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资格预审小组按照规定的程序对资格预审申请文件完成审查后，确定通过资格预审的供应商名单，并出具书面资格预审评审报告，资格预审小组成员应当在资格预审评审报告上签章，对自己的评审意见承担责任。资格预审小组成员对需要共同认定的事项存在争议的，应当按照少数服从多数的原则作出结论。持不同意见的资格预审小组成员应当在资格预审评审报告上签署不同意见及理由，否则视为同意资格预审评审报告。</w:t>
      </w:r>
    </w:p>
    <w:p>
      <w:pPr>
        <w:pStyle w:val="42"/>
        <w:tabs>
          <w:tab w:val="left" w:pos="567"/>
        </w:tabs>
        <w:adjustRightInd w:val="0"/>
        <w:snapToGrid w:val="0"/>
        <w:spacing w:line="540" w:lineRule="exact"/>
        <w:ind w:left="567" w:firstLine="0"/>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（二）通过资格预审的供应商不足3家的，由项目实施机构调整资格预审公告后重新组织资格预审。</w:t>
      </w:r>
    </w:p>
    <w:p>
      <w:pPr>
        <w:pStyle w:val="4"/>
        <w:widowControl/>
        <w:spacing w:before="0"/>
        <w:rPr>
          <w:rFonts w:hint="default" w:ascii="黑体" w:hAnsi="黑体" w:eastAsia="黑体" w:cs="仿宋"/>
          <w:b w:val="0"/>
          <w:color w:val="000000" w:themeColor="text1"/>
          <w:sz w:val="28"/>
          <w:szCs w:val="28"/>
        </w:rPr>
      </w:pPr>
      <w:bookmarkStart w:id="101" w:name="_Toc60399689"/>
      <w:bookmarkStart w:id="102" w:name="_Toc17065"/>
      <w:bookmarkStart w:id="103" w:name="_Toc44342858"/>
      <w:r>
        <w:rPr>
          <w:rFonts w:ascii="黑体" w:hAnsi="黑体" w:eastAsia="黑体" w:cs="仿宋"/>
          <w:b w:val="0"/>
          <w:color w:val="000000" w:themeColor="text1"/>
          <w:sz w:val="28"/>
          <w:szCs w:val="28"/>
        </w:rPr>
        <w:t>六、随机抽取</w:t>
      </w:r>
      <w:bookmarkEnd w:id="101"/>
      <w:bookmarkEnd w:id="102"/>
      <w:bookmarkEnd w:id="103"/>
      <w:r>
        <w:rPr>
          <w:rFonts w:ascii="黑体" w:hAnsi="黑体" w:eastAsia="黑体" w:cs="仿宋"/>
          <w:b w:val="0"/>
          <w:color w:val="000000" w:themeColor="text1"/>
          <w:sz w:val="28"/>
          <w:szCs w:val="28"/>
        </w:rPr>
        <w:t>供应商</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抽取时间：资格预审工作结束后即线上随机抽取。</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u w:val="single"/>
          <w:lang w:val="zh-CN"/>
        </w:rPr>
      </w:pPr>
      <w:r>
        <w:rPr>
          <w:rFonts w:cs="仿宋" w:asciiTheme="minorEastAsia" w:hAnsiTheme="minorEastAsia" w:eastAsiaTheme="minorEastAsia"/>
          <w:snapToGrid w:val="0"/>
          <w:color w:val="000000" w:themeColor="text1"/>
          <w:sz w:val="28"/>
          <w:szCs w:val="28"/>
        </w:rPr>
        <w:t>抽取地点：</w:t>
      </w:r>
      <w:r>
        <w:rPr>
          <w:rFonts w:cs="仿宋" w:asciiTheme="minorEastAsia" w:hAnsiTheme="minorEastAsia" w:eastAsiaTheme="minorEastAsia"/>
          <w:snapToGrid w:val="0"/>
          <w:color w:val="000000" w:themeColor="text1"/>
          <w:sz w:val="28"/>
          <w:szCs w:val="28"/>
          <w:u w:val="single"/>
        </w:rPr>
        <w:t>达州市公共资源交易服务中心</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lang w:val="zh-CN"/>
        </w:rPr>
      </w:pPr>
      <w:r>
        <w:rPr>
          <w:rFonts w:cs="仿宋" w:asciiTheme="minorEastAsia" w:hAnsiTheme="minorEastAsia" w:eastAsiaTheme="minorEastAsia"/>
          <w:snapToGrid w:val="0"/>
          <w:color w:val="000000" w:themeColor="text1"/>
          <w:sz w:val="28"/>
          <w:szCs w:val="28"/>
          <w:lang w:val="zh-CN"/>
        </w:rPr>
        <w:t>抽取方式：线上随机抽取。</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lang w:val="zh-CN"/>
        </w:rPr>
        <w:t>抽取家数：本项目抽取</w:t>
      </w:r>
      <w:r>
        <w:rPr>
          <w:rFonts w:cs="仿宋" w:asciiTheme="minorEastAsia" w:hAnsiTheme="minorEastAsia" w:eastAsiaTheme="minorEastAsia"/>
          <w:snapToGrid w:val="0"/>
          <w:color w:val="000000" w:themeColor="text1"/>
          <w:sz w:val="28"/>
          <w:szCs w:val="28"/>
        </w:rPr>
        <w:t xml:space="preserve"> </w:t>
      </w:r>
      <w:r>
        <w:rPr>
          <w:rFonts w:cs="仿宋" w:asciiTheme="minorEastAsia" w:hAnsiTheme="minorEastAsia" w:eastAsiaTheme="minorEastAsia"/>
          <w:snapToGrid w:val="0"/>
          <w:color w:val="000000" w:themeColor="text1"/>
          <w:sz w:val="28"/>
          <w:szCs w:val="28"/>
          <w:u w:val="single"/>
        </w:rPr>
        <w:t xml:space="preserve">  8  </w:t>
      </w:r>
      <w:r>
        <w:rPr>
          <w:rFonts w:cs="仿宋" w:asciiTheme="minorEastAsia" w:hAnsiTheme="minorEastAsia" w:eastAsiaTheme="minorEastAsia"/>
          <w:snapToGrid w:val="0"/>
          <w:color w:val="000000" w:themeColor="text1"/>
          <w:sz w:val="28"/>
          <w:szCs w:val="28"/>
          <w:lang w:val="zh-CN"/>
        </w:rPr>
        <w:t>家。（通过资格审查的供应商≤</w:t>
      </w:r>
      <w:r>
        <w:rPr>
          <w:rFonts w:cs="仿宋" w:asciiTheme="minorEastAsia" w:hAnsiTheme="minorEastAsia" w:eastAsiaTheme="minorEastAsia"/>
          <w:snapToGrid w:val="0"/>
          <w:color w:val="000000" w:themeColor="text1"/>
          <w:sz w:val="28"/>
          <w:szCs w:val="28"/>
          <w:u w:val="single"/>
          <w:lang w:val="zh-CN"/>
        </w:rPr>
        <w:t xml:space="preserve"> </w:t>
      </w:r>
      <w:r>
        <w:rPr>
          <w:rFonts w:cs="仿宋" w:asciiTheme="minorEastAsia" w:hAnsiTheme="minorEastAsia" w:eastAsiaTheme="minorEastAsia"/>
          <w:snapToGrid w:val="0"/>
          <w:color w:val="000000" w:themeColor="text1"/>
          <w:sz w:val="28"/>
          <w:szCs w:val="28"/>
          <w:u w:val="single"/>
        </w:rPr>
        <w:t xml:space="preserve">8 </w:t>
      </w:r>
      <w:r>
        <w:rPr>
          <w:rFonts w:cs="仿宋" w:asciiTheme="minorEastAsia" w:hAnsiTheme="minorEastAsia" w:eastAsiaTheme="minorEastAsia"/>
          <w:snapToGrid w:val="0"/>
          <w:color w:val="000000" w:themeColor="text1"/>
          <w:sz w:val="28"/>
          <w:szCs w:val="28"/>
          <w:lang w:val="zh-CN"/>
        </w:rPr>
        <w:t>家，同时≥3家的，则全部邀请参与采购活动）。</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rPr>
        <w:t>随机抽取过程，</w:t>
      </w:r>
      <w:r>
        <w:rPr>
          <w:rFonts w:cs="仿宋" w:asciiTheme="minorEastAsia" w:hAnsiTheme="minorEastAsia" w:eastAsiaTheme="minorEastAsia"/>
          <w:snapToGrid w:val="0"/>
          <w:color w:val="000000" w:themeColor="text1"/>
          <w:sz w:val="28"/>
          <w:szCs w:val="28"/>
          <w:lang w:val="zh-CN"/>
        </w:rPr>
        <w:t>在</w:t>
      </w:r>
      <w:r>
        <w:rPr>
          <w:rFonts w:cs="仿宋" w:asciiTheme="minorEastAsia" w:hAnsiTheme="minorEastAsia" w:eastAsiaTheme="minorEastAsia"/>
          <w:snapToGrid w:val="0"/>
          <w:color w:val="000000" w:themeColor="text1"/>
          <w:sz w:val="28"/>
          <w:szCs w:val="28"/>
        </w:rPr>
        <w:t>两名以上采购人工作人员现场监督</w:t>
      </w:r>
      <w:r>
        <w:rPr>
          <w:rFonts w:cs="仿宋" w:asciiTheme="minorEastAsia" w:hAnsiTheme="minorEastAsia" w:eastAsiaTheme="minorEastAsia"/>
          <w:snapToGrid w:val="0"/>
          <w:color w:val="000000" w:themeColor="text1"/>
          <w:sz w:val="28"/>
          <w:szCs w:val="28"/>
          <w:lang w:val="zh-CN"/>
        </w:rPr>
        <w:t>下，由采购人代表从资格预审合格的供应商中，通过</w:t>
      </w:r>
      <w:r>
        <w:rPr>
          <w:rFonts w:cs="仿宋" w:asciiTheme="minorEastAsia" w:hAnsiTheme="minorEastAsia" w:eastAsiaTheme="minorEastAsia"/>
          <w:snapToGrid w:val="0"/>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lang w:val="zh-CN"/>
        </w:rPr>
        <w:t>平台随机抽取</w:t>
      </w:r>
      <w:r>
        <w:rPr>
          <w:rFonts w:cs="仿宋" w:asciiTheme="minorEastAsia" w:hAnsiTheme="minorEastAsia" w:eastAsiaTheme="minorEastAsia"/>
          <w:snapToGrid w:val="0"/>
          <w:color w:val="000000" w:themeColor="text1"/>
          <w:sz w:val="28"/>
          <w:szCs w:val="28"/>
        </w:rPr>
        <w:t>参加谈判</w:t>
      </w:r>
      <w:r>
        <w:rPr>
          <w:rFonts w:hint="default" w:cs="仿宋" w:asciiTheme="minorEastAsia" w:hAnsiTheme="minorEastAsia" w:eastAsiaTheme="minorEastAsia"/>
          <w:snapToGrid w:val="0"/>
          <w:color w:val="000000" w:themeColor="text1"/>
          <w:sz w:val="28"/>
          <w:szCs w:val="28"/>
        </w:rPr>
        <w:t>/</w:t>
      </w:r>
      <w:r>
        <w:rPr>
          <w:rFonts w:cs="仿宋" w:asciiTheme="minorEastAsia" w:hAnsiTheme="minorEastAsia" w:eastAsiaTheme="minorEastAsia"/>
          <w:snapToGrid w:val="0"/>
          <w:color w:val="000000" w:themeColor="text1"/>
          <w:sz w:val="28"/>
          <w:szCs w:val="28"/>
        </w:rPr>
        <w:t>磋商的</w:t>
      </w:r>
      <w:r>
        <w:rPr>
          <w:rFonts w:cs="仿宋" w:asciiTheme="minorEastAsia" w:hAnsiTheme="minorEastAsia" w:eastAsiaTheme="minorEastAsia"/>
          <w:snapToGrid w:val="0"/>
          <w:color w:val="000000" w:themeColor="text1"/>
          <w:sz w:val="28"/>
          <w:szCs w:val="28"/>
          <w:lang w:val="zh-CN"/>
        </w:rPr>
        <w:t>供应商，</w:t>
      </w:r>
      <w:r>
        <w:rPr>
          <w:rFonts w:cs="仿宋" w:asciiTheme="minorEastAsia" w:hAnsiTheme="minorEastAsia" w:eastAsiaTheme="minorEastAsia"/>
          <w:snapToGrid w:val="0"/>
          <w:color w:val="000000" w:themeColor="text1"/>
          <w:sz w:val="28"/>
          <w:szCs w:val="28"/>
        </w:rPr>
        <w:t>并形成书面记录，全程录音录像，存档保存。</w:t>
      </w:r>
    </w:p>
    <w:p>
      <w:pPr>
        <w:pStyle w:val="42"/>
        <w:numPr>
          <w:ilvl w:val="0"/>
          <w:numId w:val="9"/>
        </w:numPr>
        <w:tabs>
          <w:tab w:val="left" w:pos="709"/>
        </w:tabs>
        <w:adjustRightInd w:val="0"/>
        <w:snapToGrid w:val="0"/>
        <w:spacing w:line="560" w:lineRule="exact"/>
        <w:ind w:left="0" w:firstLine="560" w:firstLineChars="200"/>
        <w:jc w:val="both"/>
        <w:rPr>
          <w:rFonts w:hint="default" w:cs="仿宋" w:asciiTheme="minorEastAsia" w:hAnsiTheme="minorEastAsia" w:eastAsiaTheme="minorEastAsia"/>
          <w:snapToGrid w:val="0"/>
          <w:color w:val="000000" w:themeColor="text1"/>
          <w:sz w:val="28"/>
          <w:szCs w:val="28"/>
        </w:rPr>
      </w:pPr>
      <w:r>
        <w:rPr>
          <w:rFonts w:cs="仿宋" w:asciiTheme="minorEastAsia" w:hAnsiTheme="minorEastAsia" w:eastAsiaTheme="minorEastAsia"/>
          <w:snapToGrid w:val="0"/>
          <w:color w:val="000000" w:themeColor="text1"/>
          <w:sz w:val="28"/>
          <w:szCs w:val="28"/>
          <w:lang w:val="zh-CN"/>
        </w:rPr>
        <w:t>抽取结果由</w:t>
      </w:r>
      <w:r>
        <w:rPr>
          <w:rFonts w:cs="仿宋" w:asciiTheme="minorEastAsia" w:hAnsiTheme="minorEastAsia" w:eastAsiaTheme="minorEastAsia"/>
          <w:snapToGrid w:val="0"/>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lang w:val="zh-CN"/>
        </w:rPr>
        <w:t>平台自动推送到供应商业务端，</w:t>
      </w:r>
      <w:r>
        <w:rPr>
          <w:rFonts w:cs="仿宋" w:asciiTheme="minorEastAsia" w:hAnsiTheme="minorEastAsia" w:eastAsiaTheme="minorEastAsia"/>
          <w:snapToGrid w:val="0"/>
          <w:color w:val="000000" w:themeColor="text1"/>
          <w:sz w:val="28"/>
          <w:szCs w:val="28"/>
        </w:rPr>
        <w:t>同时以手机短信方式告知（供应商报名时应预留畅通的授权代表手机号码），以达州市公共资源交易服务</w:t>
      </w:r>
      <w:r>
        <w:rPr>
          <w:rFonts w:cs="仿宋" w:asciiTheme="minorEastAsia" w:hAnsiTheme="minorEastAsia" w:eastAsiaTheme="minorEastAsia"/>
          <w:snapToGrid w:val="0"/>
          <w:color w:val="000000" w:themeColor="text1"/>
          <w:sz w:val="28"/>
          <w:szCs w:val="28"/>
          <w:lang w:val="zh-CN"/>
        </w:rPr>
        <w:t>平台</w:t>
      </w:r>
      <w:r>
        <w:rPr>
          <w:rFonts w:cs="仿宋" w:asciiTheme="minorEastAsia" w:hAnsiTheme="minorEastAsia" w:eastAsiaTheme="minorEastAsia"/>
          <w:snapToGrid w:val="0"/>
          <w:color w:val="000000" w:themeColor="text1"/>
          <w:sz w:val="28"/>
          <w:szCs w:val="28"/>
        </w:rPr>
        <w:t>自动推送的时间及内容为准。</w:t>
      </w:r>
      <w:r>
        <w:rPr>
          <w:rFonts w:cs="仿宋" w:asciiTheme="minorEastAsia" w:hAnsiTheme="minorEastAsia" w:eastAsiaTheme="minorEastAsia"/>
          <w:snapToGrid w:val="0"/>
          <w:color w:val="000000" w:themeColor="text1"/>
          <w:sz w:val="28"/>
          <w:szCs w:val="28"/>
          <w:lang w:val="zh-CN"/>
        </w:rPr>
        <w:t>请供应商及时登录</w:t>
      </w:r>
      <w:r>
        <w:rPr>
          <w:rFonts w:cs="仿宋" w:asciiTheme="minorEastAsia" w:hAnsiTheme="minorEastAsia" w:eastAsiaTheme="minorEastAsia"/>
          <w:snapToGrid w:val="0"/>
          <w:color w:val="000000" w:themeColor="text1"/>
          <w:sz w:val="28"/>
          <w:szCs w:val="28"/>
        </w:rPr>
        <w:t>达州市公共资源交易服务</w:t>
      </w:r>
      <w:r>
        <w:rPr>
          <w:rFonts w:cs="仿宋" w:asciiTheme="minorEastAsia" w:hAnsiTheme="minorEastAsia" w:eastAsiaTheme="minorEastAsia"/>
          <w:snapToGrid w:val="0"/>
          <w:color w:val="000000" w:themeColor="text1"/>
          <w:sz w:val="28"/>
          <w:szCs w:val="28"/>
          <w:lang w:val="zh-CN"/>
        </w:rPr>
        <w:t>平台查看抽取结果。</w:t>
      </w:r>
    </w:p>
    <w:sectPr>
      <w:pgSz w:w="11907" w:h="16840"/>
      <w:pgMar w:top="1474" w:right="1418" w:bottom="1247" w:left="1418"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9475977"/>
    </w:sdtPr>
    <w:sdtContent>
      <w:sdt>
        <w:sdtPr>
          <w:id w:val="-1705238520"/>
        </w:sdtPr>
        <w:sdtContent>
          <w:p>
            <w:pPr>
              <w:pStyle w:val="14"/>
              <w:jc w:val="center"/>
            </w:pPr>
            <w:r>
              <w:rPr>
                <w:lang w:val="zh-CN"/>
              </w:rPr>
              <w:t xml:space="preserve"> </w:t>
            </w:r>
            <w:r>
              <w:rPr>
                <w:b/>
                <w:bCs/>
                <w:sz w:val="24"/>
              </w:rPr>
              <w:fldChar w:fldCharType="begin"/>
            </w:r>
            <w:r>
              <w:rPr>
                <w:b/>
                <w:bCs/>
              </w:rPr>
              <w:instrText xml:space="preserve">PAGE</w:instrText>
            </w:r>
            <w:r>
              <w:rPr>
                <w:b/>
                <w:bCs/>
                <w:sz w:val="24"/>
              </w:rPr>
              <w:fldChar w:fldCharType="separate"/>
            </w:r>
            <w:r>
              <w:rPr>
                <w:b/>
                <w:bCs/>
              </w:rPr>
              <w:t>34</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35</w:t>
            </w:r>
            <w:r>
              <w:rPr>
                <w:b/>
                <w:bCs/>
                <w:sz w:val="24"/>
              </w:rPr>
              <w:fldChar w:fldCharType="end"/>
            </w:r>
          </w:p>
        </w:sdtContent>
      </w:sdt>
    </w:sdtContent>
  </w:sdt>
  <w:p>
    <w:pPr>
      <w:pStyle w:val="14"/>
      <w:jc w:val="distribu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1884519"/>
    </w:sdtPr>
    <w:sdtContent>
      <w:sdt>
        <w:sdtPr>
          <w:id w:val="1728636285"/>
        </w:sdtPr>
        <w:sdtContent>
          <w:p>
            <w:pPr>
              <w:pStyle w:val="14"/>
              <w:jc w:val="center"/>
            </w:pPr>
            <w:r>
              <w:rPr>
                <w:lang w:val="zh-CN"/>
              </w:rPr>
              <w:t xml:space="preserve"> </w:t>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8545C"/>
    <w:multiLevelType w:val="singleLevel"/>
    <w:tmpl w:val="8118545C"/>
    <w:lvl w:ilvl="0" w:tentative="0">
      <w:start w:val="5"/>
      <w:numFmt w:val="chineseCounting"/>
      <w:suff w:val="space"/>
      <w:lvlText w:val="第%1章"/>
      <w:lvlJc w:val="left"/>
      <w:rPr>
        <w:rFonts w:hint="eastAsia"/>
      </w:rPr>
    </w:lvl>
  </w:abstractNum>
  <w:abstractNum w:abstractNumId="1">
    <w:nsid w:val="824FC9DA"/>
    <w:multiLevelType w:val="multilevel"/>
    <w:tmpl w:val="824FC9DA"/>
    <w:lvl w:ilvl="0" w:tentative="0">
      <w:start w:val="1"/>
      <w:numFmt w:val="decimal"/>
      <w:lvlText w:val="%1."/>
      <w:lvlJc w:val="left"/>
      <w:pPr>
        <w:ind w:left="1139" w:hanging="239"/>
      </w:pPr>
      <w:rPr>
        <w:rFonts w:hint="eastAsia" w:ascii="仿宋" w:hAnsi="仿宋" w:eastAsia="仿宋" w:cs="仿宋"/>
        <w:spacing w:val="-8"/>
        <w:w w:val="100"/>
        <w:sz w:val="28"/>
        <w:szCs w:val="24"/>
        <w:lang w:val="zh-CN" w:eastAsia="zh-CN" w:bidi="zh-CN"/>
      </w:rPr>
    </w:lvl>
    <w:lvl w:ilvl="1" w:tentative="0">
      <w:start w:val="0"/>
      <w:numFmt w:val="bullet"/>
      <w:lvlText w:val="•"/>
      <w:lvlJc w:val="left"/>
      <w:pPr>
        <w:ind w:left="2123" w:hanging="239"/>
      </w:pPr>
      <w:rPr>
        <w:lang w:val="zh-CN" w:eastAsia="zh-CN" w:bidi="zh-CN"/>
      </w:rPr>
    </w:lvl>
    <w:lvl w:ilvl="2" w:tentative="0">
      <w:start w:val="0"/>
      <w:numFmt w:val="bullet"/>
      <w:lvlText w:val="•"/>
      <w:lvlJc w:val="left"/>
      <w:pPr>
        <w:ind w:left="3106" w:hanging="239"/>
      </w:pPr>
      <w:rPr>
        <w:lang w:val="zh-CN" w:eastAsia="zh-CN" w:bidi="zh-CN"/>
      </w:rPr>
    </w:lvl>
    <w:lvl w:ilvl="3" w:tentative="0">
      <w:start w:val="0"/>
      <w:numFmt w:val="bullet"/>
      <w:lvlText w:val="•"/>
      <w:lvlJc w:val="left"/>
      <w:pPr>
        <w:ind w:left="4089" w:hanging="239"/>
      </w:pPr>
      <w:rPr>
        <w:lang w:val="zh-CN" w:eastAsia="zh-CN" w:bidi="zh-CN"/>
      </w:rPr>
    </w:lvl>
    <w:lvl w:ilvl="4" w:tentative="0">
      <w:start w:val="0"/>
      <w:numFmt w:val="bullet"/>
      <w:lvlText w:val="•"/>
      <w:lvlJc w:val="left"/>
      <w:pPr>
        <w:ind w:left="5072" w:hanging="239"/>
      </w:pPr>
      <w:rPr>
        <w:lang w:val="zh-CN" w:eastAsia="zh-CN" w:bidi="zh-CN"/>
      </w:rPr>
    </w:lvl>
    <w:lvl w:ilvl="5" w:tentative="0">
      <w:start w:val="0"/>
      <w:numFmt w:val="bullet"/>
      <w:lvlText w:val="•"/>
      <w:lvlJc w:val="left"/>
      <w:pPr>
        <w:ind w:left="6055" w:hanging="239"/>
      </w:pPr>
      <w:rPr>
        <w:lang w:val="zh-CN" w:eastAsia="zh-CN" w:bidi="zh-CN"/>
      </w:rPr>
    </w:lvl>
    <w:lvl w:ilvl="6" w:tentative="0">
      <w:start w:val="0"/>
      <w:numFmt w:val="bullet"/>
      <w:lvlText w:val="•"/>
      <w:lvlJc w:val="left"/>
      <w:pPr>
        <w:ind w:left="7038" w:hanging="239"/>
      </w:pPr>
      <w:rPr>
        <w:lang w:val="zh-CN" w:eastAsia="zh-CN" w:bidi="zh-CN"/>
      </w:rPr>
    </w:lvl>
    <w:lvl w:ilvl="7" w:tentative="0">
      <w:start w:val="0"/>
      <w:numFmt w:val="bullet"/>
      <w:lvlText w:val="•"/>
      <w:lvlJc w:val="left"/>
      <w:pPr>
        <w:ind w:left="8021" w:hanging="239"/>
      </w:pPr>
      <w:rPr>
        <w:lang w:val="zh-CN" w:eastAsia="zh-CN" w:bidi="zh-CN"/>
      </w:rPr>
    </w:lvl>
    <w:lvl w:ilvl="8" w:tentative="0">
      <w:start w:val="0"/>
      <w:numFmt w:val="bullet"/>
      <w:lvlText w:val="•"/>
      <w:lvlJc w:val="left"/>
      <w:pPr>
        <w:ind w:left="9004" w:hanging="239"/>
      </w:pPr>
      <w:rPr>
        <w:lang w:val="zh-CN" w:eastAsia="zh-CN" w:bidi="zh-CN"/>
      </w:rPr>
    </w:lvl>
  </w:abstractNum>
  <w:abstractNum w:abstractNumId="2">
    <w:nsid w:val="C1CD01A9"/>
    <w:multiLevelType w:val="singleLevel"/>
    <w:tmpl w:val="C1CD01A9"/>
    <w:lvl w:ilvl="0" w:tentative="0">
      <w:start w:val="1"/>
      <w:numFmt w:val="decimal"/>
      <w:lvlText w:val="%1."/>
      <w:lvlJc w:val="left"/>
      <w:pPr>
        <w:tabs>
          <w:tab w:val="left" w:pos="312"/>
        </w:tabs>
      </w:pPr>
    </w:lvl>
  </w:abstractNum>
  <w:abstractNum w:abstractNumId="3">
    <w:nsid w:val="CC682C0A"/>
    <w:multiLevelType w:val="multilevel"/>
    <w:tmpl w:val="CC682C0A"/>
    <w:lvl w:ilvl="0" w:tentative="0">
      <w:start w:val="1"/>
      <w:numFmt w:val="decimal"/>
      <w:lvlText w:val="%1."/>
      <w:lvlJc w:val="left"/>
      <w:pPr>
        <w:ind w:left="1139" w:hanging="239"/>
      </w:pPr>
      <w:rPr>
        <w:rFonts w:hint="eastAsia" w:ascii="仿宋" w:hAnsi="仿宋" w:eastAsia="仿宋" w:cs="仿宋"/>
        <w:spacing w:val="-8"/>
        <w:w w:val="100"/>
        <w:sz w:val="28"/>
        <w:szCs w:val="24"/>
        <w:lang w:val="zh-CN" w:eastAsia="zh-CN" w:bidi="zh-CN"/>
      </w:rPr>
    </w:lvl>
    <w:lvl w:ilvl="1" w:tentative="0">
      <w:start w:val="0"/>
      <w:numFmt w:val="bullet"/>
      <w:lvlText w:val="•"/>
      <w:lvlJc w:val="left"/>
      <w:pPr>
        <w:ind w:left="2123" w:hanging="239"/>
      </w:pPr>
      <w:rPr>
        <w:lang w:val="zh-CN" w:eastAsia="zh-CN" w:bidi="zh-CN"/>
      </w:rPr>
    </w:lvl>
    <w:lvl w:ilvl="2" w:tentative="0">
      <w:start w:val="0"/>
      <w:numFmt w:val="bullet"/>
      <w:lvlText w:val="•"/>
      <w:lvlJc w:val="left"/>
      <w:pPr>
        <w:ind w:left="3106" w:hanging="239"/>
      </w:pPr>
      <w:rPr>
        <w:lang w:val="zh-CN" w:eastAsia="zh-CN" w:bidi="zh-CN"/>
      </w:rPr>
    </w:lvl>
    <w:lvl w:ilvl="3" w:tentative="0">
      <w:start w:val="0"/>
      <w:numFmt w:val="bullet"/>
      <w:lvlText w:val="•"/>
      <w:lvlJc w:val="left"/>
      <w:pPr>
        <w:ind w:left="4089" w:hanging="239"/>
      </w:pPr>
      <w:rPr>
        <w:lang w:val="zh-CN" w:eastAsia="zh-CN" w:bidi="zh-CN"/>
      </w:rPr>
    </w:lvl>
    <w:lvl w:ilvl="4" w:tentative="0">
      <w:start w:val="0"/>
      <w:numFmt w:val="bullet"/>
      <w:lvlText w:val="•"/>
      <w:lvlJc w:val="left"/>
      <w:pPr>
        <w:ind w:left="5072" w:hanging="239"/>
      </w:pPr>
      <w:rPr>
        <w:lang w:val="zh-CN" w:eastAsia="zh-CN" w:bidi="zh-CN"/>
      </w:rPr>
    </w:lvl>
    <w:lvl w:ilvl="5" w:tentative="0">
      <w:start w:val="0"/>
      <w:numFmt w:val="bullet"/>
      <w:lvlText w:val="•"/>
      <w:lvlJc w:val="left"/>
      <w:pPr>
        <w:ind w:left="6055" w:hanging="239"/>
      </w:pPr>
      <w:rPr>
        <w:lang w:val="zh-CN" w:eastAsia="zh-CN" w:bidi="zh-CN"/>
      </w:rPr>
    </w:lvl>
    <w:lvl w:ilvl="6" w:tentative="0">
      <w:start w:val="0"/>
      <w:numFmt w:val="bullet"/>
      <w:lvlText w:val="•"/>
      <w:lvlJc w:val="left"/>
      <w:pPr>
        <w:ind w:left="7038" w:hanging="239"/>
      </w:pPr>
      <w:rPr>
        <w:lang w:val="zh-CN" w:eastAsia="zh-CN" w:bidi="zh-CN"/>
      </w:rPr>
    </w:lvl>
    <w:lvl w:ilvl="7" w:tentative="0">
      <w:start w:val="0"/>
      <w:numFmt w:val="bullet"/>
      <w:lvlText w:val="•"/>
      <w:lvlJc w:val="left"/>
      <w:pPr>
        <w:ind w:left="8021" w:hanging="239"/>
      </w:pPr>
      <w:rPr>
        <w:lang w:val="zh-CN" w:eastAsia="zh-CN" w:bidi="zh-CN"/>
      </w:rPr>
    </w:lvl>
    <w:lvl w:ilvl="8" w:tentative="0">
      <w:start w:val="0"/>
      <w:numFmt w:val="bullet"/>
      <w:lvlText w:val="•"/>
      <w:lvlJc w:val="left"/>
      <w:pPr>
        <w:ind w:left="9004" w:hanging="239"/>
      </w:pPr>
      <w:rPr>
        <w:lang w:val="zh-CN" w:eastAsia="zh-CN" w:bidi="zh-CN"/>
      </w:rPr>
    </w:lvl>
  </w:abstractNum>
  <w:abstractNum w:abstractNumId="4">
    <w:nsid w:val="D782EB07"/>
    <w:multiLevelType w:val="singleLevel"/>
    <w:tmpl w:val="D782EB07"/>
    <w:lvl w:ilvl="0" w:tentative="0">
      <w:start w:val="6"/>
      <w:numFmt w:val="chineseCounting"/>
      <w:suff w:val="nothing"/>
      <w:lvlText w:val="%1、"/>
      <w:lvlJc w:val="left"/>
      <w:rPr>
        <w:rFonts w:hint="eastAsia"/>
      </w:rPr>
    </w:lvl>
  </w:abstractNum>
  <w:abstractNum w:abstractNumId="5">
    <w:nsid w:val="FBFF7147"/>
    <w:multiLevelType w:val="singleLevel"/>
    <w:tmpl w:val="FBFF7147"/>
    <w:lvl w:ilvl="0" w:tentative="0">
      <w:start w:val="9"/>
      <w:numFmt w:val="chineseCounting"/>
      <w:suff w:val="nothing"/>
      <w:lvlText w:val="%1、"/>
      <w:lvlJc w:val="left"/>
      <w:rPr>
        <w:rFonts w:hint="eastAsia"/>
      </w:rPr>
    </w:lvl>
  </w:abstractNum>
  <w:abstractNum w:abstractNumId="6">
    <w:nsid w:val="33B0DFFA"/>
    <w:multiLevelType w:val="multilevel"/>
    <w:tmpl w:val="33B0DFFA"/>
    <w:lvl w:ilvl="0" w:tentative="0">
      <w:start w:val="1"/>
      <w:numFmt w:val="decimal"/>
      <w:lvlText w:val="%1."/>
      <w:lvlJc w:val="left"/>
      <w:pPr>
        <w:ind w:left="1090" w:hanging="239"/>
      </w:pPr>
      <w:rPr>
        <w:rFonts w:hint="eastAsia" w:ascii="仿宋" w:hAnsi="仿宋" w:eastAsia="仿宋" w:cs="仿宋"/>
        <w:spacing w:val="-8"/>
        <w:w w:val="100"/>
        <w:sz w:val="28"/>
        <w:szCs w:val="24"/>
        <w:lang w:val="zh-CN" w:eastAsia="zh-CN" w:bidi="zh-CN"/>
      </w:rPr>
    </w:lvl>
    <w:lvl w:ilvl="1" w:tentative="0">
      <w:start w:val="0"/>
      <w:numFmt w:val="bullet"/>
      <w:lvlText w:val="•"/>
      <w:lvlJc w:val="left"/>
      <w:pPr>
        <w:ind w:left="2123" w:hanging="239"/>
      </w:pPr>
      <w:rPr>
        <w:lang w:val="zh-CN" w:eastAsia="zh-CN" w:bidi="zh-CN"/>
      </w:rPr>
    </w:lvl>
    <w:lvl w:ilvl="2" w:tentative="0">
      <w:start w:val="0"/>
      <w:numFmt w:val="bullet"/>
      <w:lvlText w:val="•"/>
      <w:lvlJc w:val="left"/>
      <w:pPr>
        <w:ind w:left="3106" w:hanging="239"/>
      </w:pPr>
      <w:rPr>
        <w:lang w:val="zh-CN" w:eastAsia="zh-CN" w:bidi="zh-CN"/>
      </w:rPr>
    </w:lvl>
    <w:lvl w:ilvl="3" w:tentative="0">
      <w:start w:val="0"/>
      <w:numFmt w:val="bullet"/>
      <w:lvlText w:val="•"/>
      <w:lvlJc w:val="left"/>
      <w:pPr>
        <w:ind w:left="4089" w:hanging="239"/>
      </w:pPr>
      <w:rPr>
        <w:lang w:val="zh-CN" w:eastAsia="zh-CN" w:bidi="zh-CN"/>
      </w:rPr>
    </w:lvl>
    <w:lvl w:ilvl="4" w:tentative="0">
      <w:start w:val="0"/>
      <w:numFmt w:val="bullet"/>
      <w:lvlText w:val="•"/>
      <w:lvlJc w:val="left"/>
      <w:pPr>
        <w:ind w:left="5072" w:hanging="239"/>
      </w:pPr>
      <w:rPr>
        <w:lang w:val="zh-CN" w:eastAsia="zh-CN" w:bidi="zh-CN"/>
      </w:rPr>
    </w:lvl>
    <w:lvl w:ilvl="5" w:tentative="0">
      <w:start w:val="0"/>
      <w:numFmt w:val="bullet"/>
      <w:lvlText w:val="•"/>
      <w:lvlJc w:val="left"/>
      <w:pPr>
        <w:ind w:left="6055" w:hanging="239"/>
      </w:pPr>
      <w:rPr>
        <w:lang w:val="zh-CN" w:eastAsia="zh-CN" w:bidi="zh-CN"/>
      </w:rPr>
    </w:lvl>
    <w:lvl w:ilvl="6" w:tentative="0">
      <w:start w:val="0"/>
      <w:numFmt w:val="bullet"/>
      <w:lvlText w:val="•"/>
      <w:lvlJc w:val="left"/>
      <w:pPr>
        <w:ind w:left="7038" w:hanging="239"/>
      </w:pPr>
      <w:rPr>
        <w:lang w:val="zh-CN" w:eastAsia="zh-CN" w:bidi="zh-CN"/>
      </w:rPr>
    </w:lvl>
    <w:lvl w:ilvl="7" w:tentative="0">
      <w:start w:val="0"/>
      <w:numFmt w:val="bullet"/>
      <w:lvlText w:val="•"/>
      <w:lvlJc w:val="left"/>
      <w:pPr>
        <w:ind w:left="8021" w:hanging="239"/>
      </w:pPr>
      <w:rPr>
        <w:lang w:val="zh-CN" w:eastAsia="zh-CN" w:bidi="zh-CN"/>
      </w:rPr>
    </w:lvl>
    <w:lvl w:ilvl="8" w:tentative="0">
      <w:start w:val="0"/>
      <w:numFmt w:val="bullet"/>
      <w:lvlText w:val="•"/>
      <w:lvlJc w:val="left"/>
      <w:pPr>
        <w:ind w:left="9004" w:hanging="239"/>
      </w:pPr>
      <w:rPr>
        <w:lang w:val="zh-CN" w:eastAsia="zh-CN" w:bidi="zh-CN"/>
      </w:rPr>
    </w:lvl>
  </w:abstractNum>
  <w:abstractNum w:abstractNumId="7">
    <w:nsid w:val="53250B60"/>
    <w:multiLevelType w:val="multilevel"/>
    <w:tmpl w:val="53250B60"/>
    <w:lvl w:ilvl="0" w:tentative="0">
      <w:start w:val="1"/>
      <w:numFmt w:val="chineseCountingThousand"/>
      <w:lvlText w:val="第%1章"/>
      <w:lvlJc w:val="left"/>
      <w:pPr>
        <w:ind w:left="3114" w:hanging="420"/>
      </w:pPr>
      <w:rPr>
        <w:b w:val="0"/>
      </w:rPr>
    </w:lvl>
    <w:lvl w:ilvl="1" w:tentative="0">
      <w:start w:val="1"/>
      <w:numFmt w:val="decimal"/>
      <w:lvlText w:val="%2."/>
      <w:lvlJc w:val="left"/>
      <w:pPr>
        <w:tabs>
          <w:tab w:val="left" w:pos="4134"/>
        </w:tabs>
        <w:ind w:left="4134" w:hanging="360"/>
      </w:pPr>
    </w:lvl>
    <w:lvl w:ilvl="2" w:tentative="0">
      <w:start w:val="1"/>
      <w:numFmt w:val="decimal"/>
      <w:lvlText w:val="%3."/>
      <w:lvlJc w:val="left"/>
      <w:pPr>
        <w:tabs>
          <w:tab w:val="left" w:pos="4854"/>
        </w:tabs>
        <w:ind w:left="4854" w:hanging="360"/>
      </w:pPr>
    </w:lvl>
    <w:lvl w:ilvl="3" w:tentative="0">
      <w:start w:val="1"/>
      <w:numFmt w:val="decimal"/>
      <w:lvlText w:val="%4."/>
      <w:lvlJc w:val="left"/>
      <w:pPr>
        <w:tabs>
          <w:tab w:val="left" w:pos="5574"/>
        </w:tabs>
        <w:ind w:left="5574" w:hanging="360"/>
      </w:pPr>
    </w:lvl>
    <w:lvl w:ilvl="4" w:tentative="0">
      <w:start w:val="1"/>
      <w:numFmt w:val="decimal"/>
      <w:lvlText w:val="%5."/>
      <w:lvlJc w:val="left"/>
      <w:pPr>
        <w:tabs>
          <w:tab w:val="left" w:pos="6294"/>
        </w:tabs>
        <w:ind w:left="6294" w:hanging="360"/>
      </w:pPr>
    </w:lvl>
    <w:lvl w:ilvl="5" w:tentative="0">
      <w:start w:val="1"/>
      <w:numFmt w:val="decimal"/>
      <w:lvlText w:val="%6."/>
      <w:lvlJc w:val="left"/>
      <w:pPr>
        <w:tabs>
          <w:tab w:val="left" w:pos="7014"/>
        </w:tabs>
        <w:ind w:left="7014" w:hanging="360"/>
      </w:pPr>
    </w:lvl>
    <w:lvl w:ilvl="6" w:tentative="0">
      <w:start w:val="1"/>
      <w:numFmt w:val="decimal"/>
      <w:lvlText w:val="%7."/>
      <w:lvlJc w:val="left"/>
      <w:pPr>
        <w:tabs>
          <w:tab w:val="left" w:pos="7734"/>
        </w:tabs>
        <w:ind w:left="7734" w:hanging="360"/>
      </w:pPr>
    </w:lvl>
    <w:lvl w:ilvl="7" w:tentative="0">
      <w:start w:val="1"/>
      <w:numFmt w:val="decimal"/>
      <w:lvlText w:val="%8."/>
      <w:lvlJc w:val="left"/>
      <w:pPr>
        <w:tabs>
          <w:tab w:val="left" w:pos="8454"/>
        </w:tabs>
        <w:ind w:left="8454" w:hanging="360"/>
      </w:pPr>
    </w:lvl>
    <w:lvl w:ilvl="8" w:tentative="0">
      <w:start w:val="1"/>
      <w:numFmt w:val="decimal"/>
      <w:lvlText w:val="%9."/>
      <w:lvlJc w:val="left"/>
      <w:pPr>
        <w:tabs>
          <w:tab w:val="left" w:pos="9174"/>
        </w:tabs>
        <w:ind w:left="9174" w:hanging="360"/>
      </w:pPr>
    </w:lvl>
  </w:abstractNum>
  <w:abstractNum w:abstractNumId="8">
    <w:nsid w:val="72599CD7"/>
    <w:multiLevelType w:val="singleLevel"/>
    <w:tmpl w:val="72599CD7"/>
    <w:lvl w:ilvl="0" w:tentative="0">
      <w:start w:val="3"/>
      <w:numFmt w:val="chineseCounting"/>
      <w:suff w:val="nothing"/>
      <w:lvlText w:val="%1、"/>
      <w:lvlJc w:val="left"/>
      <w:rPr>
        <w:rFonts w:hint="eastAsia"/>
      </w:rPr>
    </w:lvl>
  </w:abstractNum>
  <w:num w:numId="1">
    <w:abstractNumId w:val="7"/>
  </w:num>
  <w:num w:numId="2">
    <w:abstractNumId w:val="5"/>
  </w:num>
  <w:num w:numId="3">
    <w:abstractNumId w:val="2"/>
  </w:num>
  <w:num w:numId="4">
    <w:abstractNumId w:val="4"/>
  </w:num>
  <w:num w:numId="5">
    <w:abstractNumId w:val="8"/>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F4F"/>
    <w:rsid w:val="0001651B"/>
    <w:rsid w:val="00024CD8"/>
    <w:rsid w:val="00035BB6"/>
    <w:rsid w:val="000427D5"/>
    <w:rsid w:val="00044632"/>
    <w:rsid w:val="0004523B"/>
    <w:rsid w:val="00046607"/>
    <w:rsid w:val="00050228"/>
    <w:rsid w:val="00050BD7"/>
    <w:rsid w:val="00055F59"/>
    <w:rsid w:val="0006623C"/>
    <w:rsid w:val="0007541D"/>
    <w:rsid w:val="00076ADC"/>
    <w:rsid w:val="000801AD"/>
    <w:rsid w:val="0008236D"/>
    <w:rsid w:val="000933FC"/>
    <w:rsid w:val="000A3906"/>
    <w:rsid w:val="000A5D46"/>
    <w:rsid w:val="000A7101"/>
    <w:rsid w:val="000B6809"/>
    <w:rsid w:val="000B7B7E"/>
    <w:rsid w:val="000D43BF"/>
    <w:rsid w:val="000E0B7B"/>
    <w:rsid w:val="000E5998"/>
    <w:rsid w:val="000F21AE"/>
    <w:rsid w:val="001004EF"/>
    <w:rsid w:val="00103182"/>
    <w:rsid w:val="0011305E"/>
    <w:rsid w:val="00116A17"/>
    <w:rsid w:val="001221AF"/>
    <w:rsid w:val="00126E51"/>
    <w:rsid w:val="001276F0"/>
    <w:rsid w:val="00131E30"/>
    <w:rsid w:val="00132192"/>
    <w:rsid w:val="0013485B"/>
    <w:rsid w:val="00136E77"/>
    <w:rsid w:val="001422BB"/>
    <w:rsid w:val="00144AC3"/>
    <w:rsid w:val="0015109A"/>
    <w:rsid w:val="001535A5"/>
    <w:rsid w:val="001619BB"/>
    <w:rsid w:val="00162AAC"/>
    <w:rsid w:val="00163B16"/>
    <w:rsid w:val="00164172"/>
    <w:rsid w:val="00171542"/>
    <w:rsid w:val="00172A27"/>
    <w:rsid w:val="00176C74"/>
    <w:rsid w:val="001A3A6C"/>
    <w:rsid w:val="001A5E42"/>
    <w:rsid w:val="001A61FD"/>
    <w:rsid w:val="001B0277"/>
    <w:rsid w:val="001D4272"/>
    <w:rsid w:val="001E1F5D"/>
    <w:rsid w:val="001E53F3"/>
    <w:rsid w:val="001F320A"/>
    <w:rsid w:val="001F7EF6"/>
    <w:rsid w:val="00204565"/>
    <w:rsid w:val="00213C3B"/>
    <w:rsid w:val="00214537"/>
    <w:rsid w:val="00214D57"/>
    <w:rsid w:val="00216300"/>
    <w:rsid w:val="00217F31"/>
    <w:rsid w:val="00220D44"/>
    <w:rsid w:val="00234229"/>
    <w:rsid w:val="0023441B"/>
    <w:rsid w:val="00245A47"/>
    <w:rsid w:val="00252B25"/>
    <w:rsid w:val="002545BF"/>
    <w:rsid w:val="0025473F"/>
    <w:rsid w:val="002559FD"/>
    <w:rsid w:val="00265D67"/>
    <w:rsid w:val="002706B8"/>
    <w:rsid w:val="002724A6"/>
    <w:rsid w:val="002743EA"/>
    <w:rsid w:val="00280D97"/>
    <w:rsid w:val="00280F4E"/>
    <w:rsid w:val="002843D8"/>
    <w:rsid w:val="00285A1D"/>
    <w:rsid w:val="00290772"/>
    <w:rsid w:val="00295A46"/>
    <w:rsid w:val="002A4A80"/>
    <w:rsid w:val="002B0B86"/>
    <w:rsid w:val="002C26B8"/>
    <w:rsid w:val="002C44AF"/>
    <w:rsid w:val="002C4660"/>
    <w:rsid w:val="002C4FDB"/>
    <w:rsid w:val="002D0B28"/>
    <w:rsid w:val="002D1343"/>
    <w:rsid w:val="002D2FF9"/>
    <w:rsid w:val="002D6115"/>
    <w:rsid w:val="002D7738"/>
    <w:rsid w:val="002E1602"/>
    <w:rsid w:val="002F4325"/>
    <w:rsid w:val="002F509E"/>
    <w:rsid w:val="00304955"/>
    <w:rsid w:val="003069DC"/>
    <w:rsid w:val="0031094A"/>
    <w:rsid w:val="0031659E"/>
    <w:rsid w:val="003179D8"/>
    <w:rsid w:val="003226B1"/>
    <w:rsid w:val="0033036E"/>
    <w:rsid w:val="00332B44"/>
    <w:rsid w:val="003424A2"/>
    <w:rsid w:val="00343C43"/>
    <w:rsid w:val="00353141"/>
    <w:rsid w:val="00356D05"/>
    <w:rsid w:val="00357F02"/>
    <w:rsid w:val="00364C7A"/>
    <w:rsid w:val="003857E0"/>
    <w:rsid w:val="003A69A9"/>
    <w:rsid w:val="003B51E0"/>
    <w:rsid w:val="003B5983"/>
    <w:rsid w:val="003B5F40"/>
    <w:rsid w:val="003C3430"/>
    <w:rsid w:val="003C6EB9"/>
    <w:rsid w:val="003C75CE"/>
    <w:rsid w:val="003D6811"/>
    <w:rsid w:val="003D71A8"/>
    <w:rsid w:val="00431470"/>
    <w:rsid w:val="0043326E"/>
    <w:rsid w:val="00434ECC"/>
    <w:rsid w:val="00440423"/>
    <w:rsid w:val="00440B34"/>
    <w:rsid w:val="00440E00"/>
    <w:rsid w:val="00441D2C"/>
    <w:rsid w:val="0044485B"/>
    <w:rsid w:val="00447C47"/>
    <w:rsid w:val="004727A9"/>
    <w:rsid w:val="0047542E"/>
    <w:rsid w:val="00487B14"/>
    <w:rsid w:val="00487E41"/>
    <w:rsid w:val="00492971"/>
    <w:rsid w:val="00497C4A"/>
    <w:rsid w:val="004A2F28"/>
    <w:rsid w:val="004A5D9A"/>
    <w:rsid w:val="004B598E"/>
    <w:rsid w:val="004B6114"/>
    <w:rsid w:val="004B6AB4"/>
    <w:rsid w:val="004C19DB"/>
    <w:rsid w:val="004C1AEA"/>
    <w:rsid w:val="004C2D49"/>
    <w:rsid w:val="004C3908"/>
    <w:rsid w:val="004D0466"/>
    <w:rsid w:val="004D70A8"/>
    <w:rsid w:val="004D72CF"/>
    <w:rsid w:val="004E36EA"/>
    <w:rsid w:val="004E3A9A"/>
    <w:rsid w:val="004E3FFC"/>
    <w:rsid w:val="004F1862"/>
    <w:rsid w:val="004F1D2B"/>
    <w:rsid w:val="004F3F70"/>
    <w:rsid w:val="004F679B"/>
    <w:rsid w:val="004F745A"/>
    <w:rsid w:val="00506616"/>
    <w:rsid w:val="00506855"/>
    <w:rsid w:val="0052635E"/>
    <w:rsid w:val="00534800"/>
    <w:rsid w:val="005440BD"/>
    <w:rsid w:val="00547EC7"/>
    <w:rsid w:val="00550BC7"/>
    <w:rsid w:val="00550C2B"/>
    <w:rsid w:val="005573B2"/>
    <w:rsid w:val="0056106B"/>
    <w:rsid w:val="00561350"/>
    <w:rsid w:val="00566828"/>
    <w:rsid w:val="0057065C"/>
    <w:rsid w:val="005745EB"/>
    <w:rsid w:val="00574DD5"/>
    <w:rsid w:val="00581411"/>
    <w:rsid w:val="005826CF"/>
    <w:rsid w:val="0058377C"/>
    <w:rsid w:val="00585392"/>
    <w:rsid w:val="00591C9D"/>
    <w:rsid w:val="00592C91"/>
    <w:rsid w:val="005B0B7E"/>
    <w:rsid w:val="005B131E"/>
    <w:rsid w:val="005C1711"/>
    <w:rsid w:val="005C2938"/>
    <w:rsid w:val="005D35D5"/>
    <w:rsid w:val="005F0F44"/>
    <w:rsid w:val="00605116"/>
    <w:rsid w:val="006052A3"/>
    <w:rsid w:val="00606BAA"/>
    <w:rsid w:val="00610DA9"/>
    <w:rsid w:val="006153C3"/>
    <w:rsid w:val="006163FA"/>
    <w:rsid w:val="00617A74"/>
    <w:rsid w:val="006263ED"/>
    <w:rsid w:val="00635AD6"/>
    <w:rsid w:val="006375DB"/>
    <w:rsid w:val="006405E0"/>
    <w:rsid w:val="00647E3B"/>
    <w:rsid w:val="006616F3"/>
    <w:rsid w:val="00662D06"/>
    <w:rsid w:val="00666B53"/>
    <w:rsid w:val="00680931"/>
    <w:rsid w:val="00684C88"/>
    <w:rsid w:val="00694389"/>
    <w:rsid w:val="006A11DD"/>
    <w:rsid w:val="006A1EE3"/>
    <w:rsid w:val="006A3097"/>
    <w:rsid w:val="006A3950"/>
    <w:rsid w:val="006A46B8"/>
    <w:rsid w:val="006A724E"/>
    <w:rsid w:val="006B6386"/>
    <w:rsid w:val="006B691D"/>
    <w:rsid w:val="006C4286"/>
    <w:rsid w:val="006C54B0"/>
    <w:rsid w:val="006C7D14"/>
    <w:rsid w:val="006D5F78"/>
    <w:rsid w:val="006D76C2"/>
    <w:rsid w:val="006E20C0"/>
    <w:rsid w:val="006E31C7"/>
    <w:rsid w:val="006F2088"/>
    <w:rsid w:val="006F2690"/>
    <w:rsid w:val="006F527E"/>
    <w:rsid w:val="006F5A38"/>
    <w:rsid w:val="00701C50"/>
    <w:rsid w:val="007021B7"/>
    <w:rsid w:val="00702B5A"/>
    <w:rsid w:val="0071200C"/>
    <w:rsid w:val="00713FCC"/>
    <w:rsid w:val="00715A89"/>
    <w:rsid w:val="00716185"/>
    <w:rsid w:val="0072168C"/>
    <w:rsid w:val="00723358"/>
    <w:rsid w:val="00751CA7"/>
    <w:rsid w:val="007639DB"/>
    <w:rsid w:val="00767493"/>
    <w:rsid w:val="00770613"/>
    <w:rsid w:val="00771FA4"/>
    <w:rsid w:val="00774060"/>
    <w:rsid w:val="007913BB"/>
    <w:rsid w:val="0079144D"/>
    <w:rsid w:val="00794FC7"/>
    <w:rsid w:val="007A204A"/>
    <w:rsid w:val="007A3BFC"/>
    <w:rsid w:val="007A4210"/>
    <w:rsid w:val="007A6853"/>
    <w:rsid w:val="007A6856"/>
    <w:rsid w:val="007A6E6B"/>
    <w:rsid w:val="007A7DBF"/>
    <w:rsid w:val="007B437E"/>
    <w:rsid w:val="007B4CCC"/>
    <w:rsid w:val="007C214B"/>
    <w:rsid w:val="007C6649"/>
    <w:rsid w:val="007D7782"/>
    <w:rsid w:val="007E4806"/>
    <w:rsid w:val="007F161C"/>
    <w:rsid w:val="007F4920"/>
    <w:rsid w:val="00816567"/>
    <w:rsid w:val="008316DC"/>
    <w:rsid w:val="00850E95"/>
    <w:rsid w:val="00860F1E"/>
    <w:rsid w:val="008612A2"/>
    <w:rsid w:val="008653A4"/>
    <w:rsid w:val="00866DCC"/>
    <w:rsid w:val="0088040A"/>
    <w:rsid w:val="00881AE5"/>
    <w:rsid w:val="00894C63"/>
    <w:rsid w:val="008B2913"/>
    <w:rsid w:val="008B3D2A"/>
    <w:rsid w:val="008B5C50"/>
    <w:rsid w:val="008C1E49"/>
    <w:rsid w:val="008D459A"/>
    <w:rsid w:val="008D4EBE"/>
    <w:rsid w:val="008E1526"/>
    <w:rsid w:val="008F0CC3"/>
    <w:rsid w:val="008F7D34"/>
    <w:rsid w:val="00905A72"/>
    <w:rsid w:val="009169C2"/>
    <w:rsid w:val="00930D35"/>
    <w:rsid w:val="00933152"/>
    <w:rsid w:val="00933A4D"/>
    <w:rsid w:val="00942C77"/>
    <w:rsid w:val="00951DF0"/>
    <w:rsid w:val="0095403C"/>
    <w:rsid w:val="00957452"/>
    <w:rsid w:val="00960DFA"/>
    <w:rsid w:val="00970E26"/>
    <w:rsid w:val="00973AA4"/>
    <w:rsid w:val="009758EB"/>
    <w:rsid w:val="00987E5A"/>
    <w:rsid w:val="0099756F"/>
    <w:rsid w:val="009978D8"/>
    <w:rsid w:val="009A0449"/>
    <w:rsid w:val="009A409E"/>
    <w:rsid w:val="009B2727"/>
    <w:rsid w:val="009B3953"/>
    <w:rsid w:val="009B6E5C"/>
    <w:rsid w:val="009C4542"/>
    <w:rsid w:val="009C6DDF"/>
    <w:rsid w:val="009D0C77"/>
    <w:rsid w:val="009D2266"/>
    <w:rsid w:val="009D3F57"/>
    <w:rsid w:val="009D4C44"/>
    <w:rsid w:val="009E7D3B"/>
    <w:rsid w:val="009F0282"/>
    <w:rsid w:val="009F6C03"/>
    <w:rsid w:val="00A10B3E"/>
    <w:rsid w:val="00A14BEE"/>
    <w:rsid w:val="00A17DB7"/>
    <w:rsid w:val="00A17EF3"/>
    <w:rsid w:val="00A3240C"/>
    <w:rsid w:val="00A325DD"/>
    <w:rsid w:val="00A366B3"/>
    <w:rsid w:val="00A3756B"/>
    <w:rsid w:val="00A40A5A"/>
    <w:rsid w:val="00A42F38"/>
    <w:rsid w:val="00A45244"/>
    <w:rsid w:val="00A5606F"/>
    <w:rsid w:val="00A61EF1"/>
    <w:rsid w:val="00A6398C"/>
    <w:rsid w:val="00A65B60"/>
    <w:rsid w:val="00A65F09"/>
    <w:rsid w:val="00A70A82"/>
    <w:rsid w:val="00A755D8"/>
    <w:rsid w:val="00A84786"/>
    <w:rsid w:val="00A860F6"/>
    <w:rsid w:val="00A86720"/>
    <w:rsid w:val="00A933E4"/>
    <w:rsid w:val="00A973C7"/>
    <w:rsid w:val="00A97B60"/>
    <w:rsid w:val="00AA15A6"/>
    <w:rsid w:val="00AA60A6"/>
    <w:rsid w:val="00AA7B77"/>
    <w:rsid w:val="00AB519B"/>
    <w:rsid w:val="00AB55CE"/>
    <w:rsid w:val="00AB6427"/>
    <w:rsid w:val="00AC3D15"/>
    <w:rsid w:val="00AD4911"/>
    <w:rsid w:val="00AD571D"/>
    <w:rsid w:val="00AE7923"/>
    <w:rsid w:val="00AF205A"/>
    <w:rsid w:val="00B00999"/>
    <w:rsid w:val="00B119EF"/>
    <w:rsid w:val="00B14776"/>
    <w:rsid w:val="00B2380F"/>
    <w:rsid w:val="00B270B3"/>
    <w:rsid w:val="00B31E64"/>
    <w:rsid w:val="00B3223E"/>
    <w:rsid w:val="00B33AF7"/>
    <w:rsid w:val="00B51C45"/>
    <w:rsid w:val="00B62C05"/>
    <w:rsid w:val="00B654CA"/>
    <w:rsid w:val="00B67DB7"/>
    <w:rsid w:val="00B77744"/>
    <w:rsid w:val="00B81B12"/>
    <w:rsid w:val="00B8267D"/>
    <w:rsid w:val="00B84386"/>
    <w:rsid w:val="00B85C39"/>
    <w:rsid w:val="00B86BF4"/>
    <w:rsid w:val="00B90176"/>
    <w:rsid w:val="00BA58DD"/>
    <w:rsid w:val="00BB0F8F"/>
    <w:rsid w:val="00BB2084"/>
    <w:rsid w:val="00BB7092"/>
    <w:rsid w:val="00BC2508"/>
    <w:rsid w:val="00BD669A"/>
    <w:rsid w:val="00BD7B3F"/>
    <w:rsid w:val="00BD7FC8"/>
    <w:rsid w:val="00BE0CCA"/>
    <w:rsid w:val="00BF29B4"/>
    <w:rsid w:val="00BF4CF4"/>
    <w:rsid w:val="00C01593"/>
    <w:rsid w:val="00C041AE"/>
    <w:rsid w:val="00C12C56"/>
    <w:rsid w:val="00C25F84"/>
    <w:rsid w:val="00C3204F"/>
    <w:rsid w:val="00C323C9"/>
    <w:rsid w:val="00C32568"/>
    <w:rsid w:val="00C36289"/>
    <w:rsid w:val="00C379A0"/>
    <w:rsid w:val="00C43DCF"/>
    <w:rsid w:val="00C47638"/>
    <w:rsid w:val="00C519BA"/>
    <w:rsid w:val="00C56A38"/>
    <w:rsid w:val="00C64F17"/>
    <w:rsid w:val="00C6522F"/>
    <w:rsid w:val="00C701D1"/>
    <w:rsid w:val="00C73A3C"/>
    <w:rsid w:val="00C77571"/>
    <w:rsid w:val="00C80B2C"/>
    <w:rsid w:val="00C8452B"/>
    <w:rsid w:val="00C87BEB"/>
    <w:rsid w:val="00C934D6"/>
    <w:rsid w:val="00C9456F"/>
    <w:rsid w:val="00CB1199"/>
    <w:rsid w:val="00CC4FCE"/>
    <w:rsid w:val="00CE5C1F"/>
    <w:rsid w:val="00CF08B6"/>
    <w:rsid w:val="00CF5BDE"/>
    <w:rsid w:val="00D14752"/>
    <w:rsid w:val="00D17556"/>
    <w:rsid w:val="00D36335"/>
    <w:rsid w:val="00D463EA"/>
    <w:rsid w:val="00D46947"/>
    <w:rsid w:val="00D52DDE"/>
    <w:rsid w:val="00D55D5F"/>
    <w:rsid w:val="00D57C1F"/>
    <w:rsid w:val="00D60F3C"/>
    <w:rsid w:val="00D611F5"/>
    <w:rsid w:val="00D62259"/>
    <w:rsid w:val="00D62903"/>
    <w:rsid w:val="00D7003C"/>
    <w:rsid w:val="00D71D66"/>
    <w:rsid w:val="00D77151"/>
    <w:rsid w:val="00D83F09"/>
    <w:rsid w:val="00D8418A"/>
    <w:rsid w:val="00D904CE"/>
    <w:rsid w:val="00D969C7"/>
    <w:rsid w:val="00DA1329"/>
    <w:rsid w:val="00DB0036"/>
    <w:rsid w:val="00DB78DD"/>
    <w:rsid w:val="00DC6839"/>
    <w:rsid w:val="00DC7E7C"/>
    <w:rsid w:val="00DE0031"/>
    <w:rsid w:val="00DE3878"/>
    <w:rsid w:val="00DF0C29"/>
    <w:rsid w:val="00DF4B7B"/>
    <w:rsid w:val="00DF5444"/>
    <w:rsid w:val="00E040D4"/>
    <w:rsid w:val="00E06AFE"/>
    <w:rsid w:val="00E079B7"/>
    <w:rsid w:val="00E145E5"/>
    <w:rsid w:val="00E17795"/>
    <w:rsid w:val="00E2004D"/>
    <w:rsid w:val="00E2262F"/>
    <w:rsid w:val="00E264C6"/>
    <w:rsid w:val="00E32F78"/>
    <w:rsid w:val="00E36A7E"/>
    <w:rsid w:val="00E41DAC"/>
    <w:rsid w:val="00E43E53"/>
    <w:rsid w:val="00E46C87"/>
    <w:rsid w:val="00E55F9D"/>
    <w:rsid w:val="00E663F8"/>
    <w:rsid w:val="00E7004F"/>
    <w:rsid w:val="00E7037B"/>
    <w:rsid w:val="00E71998"/>
    <w:rsid w:val="00E72D8D"/>
    <w:rsid w:val="00E908B0"/>
    <w:rsid w:val="00E9515C"/>
    <w:rsid w:val="00EA6730"/>
    <w:rsid w:val="00EB24A9"/>
    <w:rsid w:val="00EB4A6B"/>
    <w:rsid w:val="00EC1D92"/>
    <w:rsid w:val="00ED6BD9"/>
    <w:rsid w:val="00EE0E2D"/>
    <w:rsid w:val="00EE1F95"/>
    <w:rsid w:val="00EE2425"/>
    <w:rsid w:val="00EE7DCD"/>
    <w:rsid w:val="00EF118B"/>
    <w:rsid w:val="00F24BB6"/>
    <w:rsid w:val="00F27E49"/>
    <w:rsid w:val="00F32123"/>
    <w:rsid w:val="00F33758"/>
    <w:rsid w:val="00F372B0"/>
    <w:rsid w:val="00F40A11"/>
    <w:rsid w:val="00F40E6A"/>
    <w:rsid w:val="00F42F77"/>
    <w:rsid w:val="00F4707B"/>
    <w:rsid w:val="00F70FE1"/>
    <w:rsid w:val="00F727C1"/>
    <w:rsid w:val="00F727DA"/>
    <w:rsid w:val="00F763F4"/>
    <w:rsid w:val="00F7796E"/>
    <w:rsid w:val="00F942B8"/>
    <w:rsid w:val="00F95721"/>
    <w:rsid w:val="00FA07FA"/>
    <w:rsid w:val="00FA4902"/>
    <w:rsid w:val="00FA596E"/>
    <w:rsid w:val="00FB0B9B"/>
    <w:rsid w:val="00FB656C"/>
    <w:rsid w:val="00FC0F2E"/>
    <w:rsid w:val="00FC3DBB"/>
    <w:rsid w:val="00FE68A0"/>
    <w:rsid w:val="00FF5E9B"/>
    <w:rsid w:val="00FF79A6"/>
    <w:rsid w:val="013C2F32"/>
    <w:rsid w:val="01522DBA"/>
    <w:rsid w:val="02220C25"/>
    <w:rsid w:val="022C4D1F"/>
    <w:rsid w:val="025077C1"/>
    <w:rsid w:val="02673982"/>
    <w:rsid w:val="02AD063C"/>
    <w:rsid w:val="02AF2A2C"/>
    <w:rsid w:val="02F002C5"/>
    <w:rsid w:val="03CA66BD"/>
    <w:rsid w:val="041F663D"/>
    <w:rsid w:val="04881696"/>
    <w:rsid w:val="050F48C3"/>
    <w:rsid w:val="05BD5602"/>
    <w:rsid w:val="06161333"/>
    <w:rsid w:val="06AD782C"/>
    <w:rsid w:val="06B3466D"/>
    <w:rsid w:val="06FA1776"/>
    <w:rsid w:val="07610FDB"/>
    <w:rsid w:val="07800CAE"/>
    <w:rsid w:val="07F601BA"/>
    <w:rsid w:val="081D05D6"/>
    <w:rsid w:val="083B5652"/>
    <w:rsid w:val="085059F4"/>
    <w:rsid w:val="085E39FC"/>
    <w:rsid w:val="088718B5"/>
    <w:rsid w:val="08DB0292"/>
    <w:rsid w:val="08F53CE5"/>
    <w:rsid w:val="090D34CE"/>
    <w:rsid w:val="091A4727"/>
    <w:rsid w:val="097C71FB"/>
    <w:rsid w:val="09BF6816"/>
    <w:rsid w:val="0AB72B21"/>
    <w:rsid w:val="0B091108"/>
    <w:rsid w:val="0B591959"/>
    <w:rsid w:val="0B7E2D33"/>
    <w:rsid w:val="0B8209A7"/>
    <w:rsid w:val="0BAD1E0E"/>
    <w:rsid w:val="0BC03CE2"/>
    <w:rsid w:val="0C0201CB"/>
    <w:rsid w:val="0C1101D0"/>
    <w:rsid w:val="0C5325D2"/>
    <w:rsid w:val="0C5F5E73"/>
    <w:rsid w:val="0D0473C5"/>
    <w:rsid w:val="0D533743"/>
    <w:rsid w:val="0D6C0A2F"/>
    <w:rsid w:val="0D9E518C"/>
    <w:rsid w:val="0DF521A6"/>
    <w:rsid w:val="0E6F105C"/>
    <w:rsid w:val="0EB21570"/>
    <w:rsid w:val="0FB6789B"/>
    <w:rsid w:val="11AF2E26"/>
    <w:rsid w:val="11B872A1"/>
    <w:rsid w:val="12010F34"/>
    <w:rsid w:val="12667D25"/>
    <w:rsid w:val="126E3820"/>
    <w:rsid w:val="12974B68"/>
    <w:rsid w:val="12FD2E2D"/>
    <w:rsid w:val="14567934"/>
    <w:rsid w:val="15795253"/>
    <w:rsid w:val="15DC4B19"/>
    <w:rsid w:val="165C0AD2"/>
    <w:rsid w:val="16A311C1"/>
    <w:rsid w:val="16C845A4"/>
    <w:rsid w:val="16F03FF3"/>
    <w:rsid w:val="17872AC0"/>
    <w:rsid w:val="180A4A71"/>
    <w:rsid w:val="18CA13DB"/>
    <w:rsid w:val="19711605"/>
    <w:rsid w:val="19C62C77"/>
    <w:rsid w:val="19E2251C"/>
    <w:rsid w:val="1A093B72"/>
    <w:rsid w:val="1A312765"/>
    <w:rsid w:val="1A695C12"/>
    <w:rsid w:val="1A986A91"/>
    <w:rsid w:val="1ABC0560"/>
    <w:rsid w:val="1ACF28DB"/>
    <w:rsid w:val="1B1C61CB"/>
    <w:rsid w:val="1B2D6588"/>
    <w:rsid w:val="1BA33792"/>
    <w:rsid w:val="1BDC26A6"/>
    <w:rsid w:val="1C0A3386"/>
    <w:rsid w:val="1C2D6605"/>
    <w:rsid w:val="1C93663E"/>
    <w:rsid w:val="1CA33C47"/>
    <w:rsid w:val="1D476B73"/>
    <w:rsid w:val="1D8502D3"/>
    <w:rsid w:val="1DED5564"/>
    <w:rsid w:val="1DF85FD1"/>
    <w:rsid w:val="1E303E77"/>
    <w:rsid w:val="1E3F7B6B"/>
    <w:rsid w:val="1E5611B7"/>
    <w:rsid w:val="1E5C0B8C"/>
    <w:rsid w:val="1E905043"/>
    <w:rsid w:val="1F086370"/>
    <w:rsid w:val="1F487E29"/>
    <w:rsid w:val="1F5B3145"/>
    <w:rsid w:val="209A3C0D"/>
    <w:rsid w:val="20F81723"/>
    <w:rsid w:val="21D70C79"/>
    <w:rsid w:val="221A46BC"/>
    <w:rsid w:val="2220765C"/>
    <w:rsid w:val="2237712B"/>
    <w:rsid w:val="225C25B0"/>
    <w:rsid w:val="22883309"/>
    <w:rsid w:val="23204874"/>
    <w:rsid w:val="233C4A72"/>
    <w:rsid w:val="246860B1"/>
    <w:rsid w:val="247D30FA"/>
    <w:rsid w:val="24BB45CE"/>
    <w:rsid w:val="259C7D15"/>
    <w:rsid w:val="25C77DBE"/>
    <w:rsid w:val="25DE7385"/>
    <w:rsid w:val="25E41A60"/>
    <w:rsid w:val="26251D4B"/>
    <w:rsid w:val="26435F3E"/>
    <w:rsid w:val="26587652"/>
    <w:rsid w:val="27047285"/>
    <w:rsid w:val="271C1E3C"/>
    <w:rsid w:val="275E5B16"/>
    <w:rsid w:val="27B65D33"/>
    <w:rsid w:val="29A06127"/>
    <w:rsid w:val="2A407034"/>
    <w:rsid w:val="2A457F8A"/>
    <w:rsid w:val="2A756FC6"/>
    <w:rsid w:val="2AC608E4"/>
    <w:rsid w:val="2ADA2D79"/>
    <w:rsid w:val="2BDE689D"/>
    <w:rsid w:val="2CE77C53"/>
    <w:rsid w:val="2CF41BFF"/>
    <w:rsid w:val="2DFC486F"/>
    <w:rsid w:val="2E266C44"/>
    <w:rsid w:val="2E2E2A02"/>
    <w:rsid w:val="2E971499"/>
    <w:rsid w:val="2EB5074B"/>
    <w:rsid w:val="2F151C7E"/>
    <w:rsid w:val="2FD12834"/>
    <w:rsid w:val="2FF749D4"/>
    <w:rsid w:val="305804FA"/>
    <w:rsid w:val="307072AB"/>
    <w:rsid w:val="314C1CA9"/>
    <w:rsid w:val="317C387D"/>
    <w:rsid w:val="31A55851"/>
    <w:rsid w:val="31BF49FF"/>
    <w:rsid w:val="328730AE"/>
    <w:rsid w:val="32C15551"/>
    <w:rsid w:val="3322491D"/>
    <w:rsid w:val="33306763"/>
    <w:rsid w:val="33451A69"/>
    <w:rsid w:val="335645DB"/>
    <w:rsid w:val="338E4F29"/>
    <w:rsid w:val="343203FB"/>
    <w:rsid w:val="356A5944"/>
    <w:rsid w:val="35746F55"/>
    <w:rsid w:val="35822D84"/>
    <w:rsid w:val="35A0634A"/>
    <w:rsid w:val="35F60720"/>
    <w:rsid w:val="368A3575"/>
    <w:rsid w:val="36AE586D"/>
    <w:rsid w:val="36F957D9"/>
    <w:rsid w:val="36FD347B"/>
    <w:rsid w:val="37DFA4ED"/>
    <w:rsid w:val="37FFCFA2"/>
    <w:rsid w:val="38501ABB"/>
    <w:rsid w:val="387661F0"/>
    <w:rsid w:val="38A11E1D"/>
    <w:rsid w:val="3904109A"/>
    <w:rsid w:val="39C97ADA"/>
    <w:rsid w:val="39D31C98"/>
    <w:rsid w:val="3AF51A01"/>
    <w:rsid w:val="3AFD7530"/>
    <w:rsid w:val="3B1843A5"/>
    <w:rsid w:val="3B3E2BBD"/>
    <w:rsid w:val="3B6869D6"/>
    <w:rsid w:val="3BF93F65"/>
    <w:rsid w:val="3C232513"/>
    <w:rsid w:val="3D5A188B"/>
    <w:rsid w:val="3E00189E"/>
    <w:rsid w:val="3E792651"/>
    <w:rsid w:val="3F5E16F5"/>
    <w:rsid w:val="3F8507BC"/>
    <w:rsid w:val="3F8E4CBC"/>
    <w:rsid w:val="3FFCC9E0"/>
    <w:rsid w:val="40691228"/>
    <w:rsid w:val="40C4448B"/>
    <w:rsid w:val="40F02F9D"/>
    <w:rsid w:val="41584390"/>
    <w:rsid w:val="42711903"/>
    <w:rsid w:val="43336937"/>
    <w:rsid w:val="43536A36"/>
    <w:rsid w:val="43DC6FB1"/>
    <w:rsid w:val="442C509D"/>
    <w:rsid w:val="44303AA3"/>
    <w:rsid w:val="44540B46"/>
    <w:rsid w:val="44DD6AFD"/>
    <w:rsid w:val="45915D72"/>
    <w:rsid w:val="45B50273"/>
    <w:rsid w:val="45C259AA"/>
    <w:rsid w:val="464564A2"/>
    <w:rsid w:val="468A0BE0"/>
    <w:rsid w:val="468D450D"/>
    <w:rsid w:val="470D3C32"/>
    <w:rsid w:val="48614193"/>
    <w:rsid w:val="48CB6621"/>
    <w:rsid w:val="49254E1C"/>
    <w:rsid w:val="49327763"/>
    <w:rsid w:val="495700F3"/>
    <w:rsid w:val="4A402B68"/>
    <w:rsid w:val="4AB06A4D"/>
    <w:rsid w:val="4C07336D"/>
    <w:rsid w:val="4CB23887"/>
    <w:rsid w:val="4D8A006F"/>
    <w:rsid w:val="4E0123CD"/>
    <w:rsid w:val="4E9436B7"/>
    <w:rsid w:val="4F1034D8"/>
    <w:rsid w:val="501B34A6"/>
    <w:rsid w:val="514165D1"/>
    <w:rsid w:val="514A0717"/>
    <w:rsid w:val="529F490B"/>
    <w:rsid w:val="52C903C0"/>
    <w:rsid w:val="52DF01E8"/>
    <w:rsid w:val="52E65C01"/>
    <w:rsid w:val="52EA584A"/>
    <w:rsid w:val="52FE0F79"/>
    <w:rsid w:val="539748AA"/>
    <w:rsid w:val="54680726"/>
    <w:rsid w:val="548A20B6"/>
    <w:rsid w:val="54920466"/>
    <w:rsid w:val="54C54A64"/>
    <w:rsid w:val="54FC6A47"/>
    <w:rsid w:val="55012319"/>
    <w:rsid w:val="55027312"/>
    <w:rsid w:val="55140649"/>
    <w:rsid w:val="551A274C"/>
    <w:rsid w:val="561B629E"/>
    <w:rsid w:val="565F0551"/>
    <w:rsid w:val="56966145"/>
    <w:rsid w:val="56AF030B"/>
    <w:rsid w:val="572A7792"/>
    <w:rsid w:val="57DE07D0"/>
    <w:rsid w:val="589B0B3B"/>
    <w:rsid w:val="58FA1B27"/>
    <w:rsid w:val="59AB518A"/>
    <w:rsid w:val="59B46AC5"/>
    <w:rsid w:val="59F52224"/>
    <w:rsid w:val="5A0962DE"/>
    <w:rsid w:val="5A347827"/>
    <w:rsid w:val="5A685BB6"/>
    <w:rsid w:val="5A747BE5"/>
    <w:rsid w:val="5B3F484E"/>
    <w:rsid w:val="5BB548F6"/>
    <w:rsid w:val="5BD61344"/>
    <w:rsid w:val="5BFE731D"/>
    <w:rsid w:val="5CA14761"/>
    <w:rsid w:val="5CA62172"/>
    <w:rsid w:val="5D235610"/>
    <w:rsid w:val="5D7FA198"/>
    <w:rsid w:val="5DD74DC0"/>
    <w:rsid w:val="5E333555"/>
    <w:rsid w:val="5EB65084"/>
    <w:rsid w:val="5F000B7C"/>
    <w:rsid w:val="5F0B2925"/>
    <w:rsid w:val="5F3111C2"/>
    <w:rsid w:val="5FFE41EF"/>
    <w:rsid w:val="60032ADB"/>
    <w:rsid w:val="60132F54"/>
    <w:rsid w:val="603F77EE"/>
    <w:rsid w:val="607A7A53"/>
    <w:rsid w:val="608552C6"/>
    <w:rsid w:val="60AC4230"/>
    <w:rsid w:val="60CC010F"/>
    <w:rsid w:val="61007DD1"/>
    <w:rsid w:val="61F739CF"/>
    <w:rsid w:val="623633F4"/>
    <w:rsid w:val="625324D0"/>
    <w:rsid w:val="62CF0554"/>
    <w:rsid w:val="62FB4D89"/>
    <w:rsid w:val="6314190B"/>
    <w:rsid w:val="6356715F"/>
    <w:rsid w:val="63811460"/>
    <w:rsid w:val="6381326A"/>
    <w:rsid w:val="639D3D7D"/>
    <w:rsid w:val="63FB187A"/>
    <w:rsid w:val="64290E89"/>
    <w:rsid w:val="64A340D0"/>
    <w:rsid w:val="64DE797B"/>
    <w:rsid w:val="64F92344"/>
    <w:rsid w:val="65B76BFC"/>
    <w:rsid w:val="661D1AB7"/>
    <w:rsid w:val="66D02DE1"/>
    <w:rsid w:val="66E022E1"/>
    <w:rsid w:val="66FE5D9D"/>
    <w:rsid w:val="673E08D7"/>
    <w:rsid w:val="675C3A60"/>
    <w:rsid w:val="678C530E"/>
    <w:rsid w:val="67AF349C"/>
    <w:rsid w:val="68260438"/>
    <w:rsid w:val="684C5A60"/>
    <w:rsid w:val="684F6EE0"/>
    <w:rsid w:val="69215B5C"/>
    <w:rsid w:val="6930260B"/>
    <w:rsid w:val="69370458"/>
    <w:rsid w:val="695B42FE"/>
    <w:rsid w:val="696E7679"/>
    <w:rsid w:val="69AC6EE0"/>
    <w:rsid w:val="69CB17F7"/>
    <w:rsid w:val="6AF756E9"/>
    <w:rsid w:val="6BB41F6A"/>
    <w:rsid w:val="6C201642"/>
    <w:rsid w:val="6C351E1A"/>
    <w:rsid w:val="6D350A5F"/>
    <w:rsid w:val="6D935E97"/>
    <w:rsid w:val="6DFC7CB4"/>
    <w:rsid w:val="6E8D11B0"/>
    <w:rsid w:val="6F2C7909"/>
    <w:rsid w:val="6F2E135E"/>
    <w:rsid w:val="6F3772BB"/>
    <w:rsid w:val="6F67DCD2"/>
    <w:rsid w:val="6F7E3F97"/>
    <w:rsid w:val="6FC0656C"/>
    <w:rsid w:val="702932C7"/>
    <w:rsid w:val="708E47D5"/>
    <w:rsid w:val="70C76E3E"/>
    <w:rsid w:val="71B65818"/>
    <w:rsid w:val="71B7524F"/>
    <w:rsid w:val="71BA701F"/>
    <w:rsid w:val="71D859BE"/>
    <w:rsid w:val="72174B3E"/>
    <w:rsid w:val="72205C63"/>
    <w:rsid w:val="72470CF9"/>
    <w:rsid w:val="72695780"/>
    <w:rsid w:val="72A96915"/>
    <w:rsid w:val="73A8546C"/>
    <w:rsid w:val="73C54A9C"/>
    <w:rsid w:val="73DD41B1"/>
    <w:rsid w:val="744C393B"/>
    <w:rsid w:val="74C443B3"/>
    <w:rsid w:val="75974FB5"/>
    <w:rsid w:val="75C50E56"/>
    <w:rsid w:val="75E96743"/>
    <w:rsid w:val="761826DF"/>
    <w:rsid w:val="77223340"/>
    <w:rsid w:val="775D676A"/>
    <w:rsid w:val="777F81BE"/>
    <w:rsid w:val="77F767CF"/>
    <w:rsid w:val="7863350A"/>
    <w:rsid w:val="786E5B71"/>
    <w:rsid w:val="787724E9"/>
    <w:rsid w:val="78D06C0A"/>
    <w:rsid w:val="793E4BD4"/>
    <w:rsid w:val="7AAD70C3"/>
    <w:rsid w:val="7AEC944A"/>
    <w:rsid w:val="7AF7CE34"/>
    <w:rsid w:val="7BFFEAB3"/>
    <w:rsid w:val="7CB609F4"/>
    <w:rsid w:val="7CFD268D"/>
    <w:rsid w:val="7D006BEF"/>
    <w:rsid w:val="7DB001B6"/>
    <w:rsid w:val="7DF79441"/>
    <w:rsid w:val="7E79A604"/>
    <w:rsid w:val="7ECE7F17"/>
    <w:rsid w:val="7F42120D"/>
    <w:rsid w:val="7F660720"/>
    <w:rsid w:val="7F7A7D82"/>
    <w:rsid w:val="7FACC2E4"/>
    <w:rsid w:val="7FC83263"/>
    <w:rsid w:val="7FCF1F29"/>
    <w:rsid w:val="7FCF975C"/>
    <w:rsid w:val="7FE354AA"/>
    <w:rsid w:val="7FF55D16"/>
    <w:rsid w:val="7FF6C851"/>
    <w:rsid w:val="88F39640"/>
    <w:rsid w:val="B6E5BEE7"/>
    <w:rsid w:val="BA7B23C6"/>
    <w:rsid w:val="BD5469BB"/>
    <w:rsid w:val="C3CBC5C2"/>
    <w:rsid w:val="D3DE16FA"/>
    <w:rsid w:val="D7DFAEAB"/>
    <w:rsid w:val="DDBD7883"/>
    <w:rsid w:val="DEDB13E5"/>
    <w:rsid w:val="DF3DE406"/>
    <w:rsid w:val="DFFF6E18"/>
    <w:rsid w:val="E3EFB186"/>
    <w:rsid w:val="EDFB5436"/>
    <w:rsid w:val="EEFE9482"/>
    <w:rsid w:val="F3BFFFA5"/>
    <w:rsid w:val="F7CA13B6"/>
    <w:rsid w:val="FAEBA97F"/>
    <w:rsid w:val="FCAE1B97"/>
    <w:rsid w:val="FE511DB6"/>
    <w:rsid w:val="FEFBD5AE"/>
    <w:rsid w:val="FF6680DB"/>
    <w:rsid w:val="FF6F255A"/>
    <w:rsid w:val="FF9987F3"/>
    <w:rsid w:val="FFEFE06E"/>
    <w:rsid w:val="FFFDDC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4"/>
    <w:qFormat/>
    <w:uiPriority w:val="0"/>
    <w:pPr>
      <w:autoSpaceDE w:val="0"/>
      <w:autoSpaceDN w:val="0"/>
      <w:jc w:val="center"/>
      <w:outlineLvl w:val="0"/>
    </w:pPr>
    <w:rPr>
      <w:rFonts w:hint="eastAsia" w:ascii="仿宋" w:hAnsi="仿宋" w:eastAsia="仿宋" w:cs="Times New Roman"/>
      <w:b/>
      <w:kern w:val="0"/>
      <w:sz w:val="32"/>
      <w:szCs w:val="32"/>
    </w:rPr>
  </w:style>
  <w:style w:type="paragraph" w:styleId="4">
    <w:name w:val="heading 2"/>
    <w:basedOn w:val="1"/>
    <w:next w:val="1"/>
    <w:link w:val="37"/>
    <w:unhideWhenUsed/>
    <w:qFormat/>
    <w:uiPriority w:val="0"/>
    <w:pPr>
      <w:autoSpaceDE w:val="0"/>
      <w:autoSpaceDN w:val="0"/>
      <w:spacing w:before="7"/>
      <w:jc w:val="center"/>
      <w:outlineLvl w:val="1"/>
    </w:pPr>
    <w:rPr>
      <w:rFonts w:hint="eastAsia" w:ascii="仿宋" w:hAnsi="仿宋" w:eastAsia="仿宋" w:cs="Times New Roman"/>
      <w:b/>
      <w:kern w:val="0"/>
      <w:sz w:val="30"/>
      <w:szCs w:val="30"/>
    </w:rPr>
  </w:style>
  <w:style w:type="paragraph" w:styleId="5">
    <w:name w:val="heading 3"/>
    <w:basedOn w:val="1"/>
    <w:next w:val="1"/>
    <w:link w:val="44"/>
    <w:semiHidden/>
    <w:unhideWhenUsed/>
    <w:qFormat/>
    <w:uiPriority w:val="0"/>
    <w:pPr>
      <w:keepNext/>
      <w:keepLines/>
      <w:spacing w:before="260" w:after="260" w:line="413" w:lineRule="auto"/>
      <w:outlineLvl w:val="2"/>
    </w:pPr>
    <w:rPr>
      <w:b/>
      <w:sz w:val="32"/>
    </w:rPr>
  </w:style>
  <w:style w:type="paragraph" w:styleId="6">
    <w:name w:val="heading 4"/>
    <w:basedOn w:val="1"/>
    <w:next w:val="1"/>
    <w:link w:val="45"/>
    <w:semiHidden/>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link w:val="36"/>
    <w:semiHidden/>
    <w:unhideWhenUsed/>
    <w:qFormat/>
    <w:uiPriority w:val="0"/>
    <w:pPr>
      <w:keepNext/>
      <w:keepLines/>
      <w:spacing w:before="280" w:after="290" w:line="372" w:lineRule="auto"/>
      <w:outlineLvl w:val="4"/>
    </w:pPr>
    <w:rPr>
      <w:b/>
      <w:sz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3"/>
    <w:qFormat/>
    <w:uiPriority w:val="0"/>
    <w:pPr>
      <w:autoSpaceDE w:val="0"/>
      <w:autoSpaceDN w:val="0"/>
      <w:spacing w:after="120"/>
      <w:jc w:val="left"/>
    </w:pPr>
    <w:rPr>
      <w:rFonts w:hint="eastAsia" w:ascii="仿宋" w:hAnsi="仿宋" w:eastAsia="仿宋" w:cs="Times New Roman"/>
      <w:kern w:val="0"/>
      <w:sz w:val="22"/>
      <w:szCs w:val="22"/>
    </w:rPr>
  </w:style>
  <w:style w:type="paragraph" w:styleId="8">
    <w:name w:val="Normal Indent"/>
    <w:basedOn w:val="1"/>
    <w:unhideWhenUsed/>
    <w:qFormat/>
    <w:uiPriority w:val="0"/>
    <w:pPr>
      <w:ind w:firstLine="420" w:firstLineChars="200"/>
    </w:pPr>
    <w:rPr>
      <w:kern w:val="0"/>
      <w:sz w:val="20"/>
    </w:rPr>
  </w:style>
  <w:style w:type="paragraph" w:styleId="9">
    <w:name w:val="Document Map"/>
    <w:basedOn w:val="1"/>
    <w:link w:val="56"/>
    <w:qFormat/>
    <w:uiPriority w:val="0"/>
    <w:rPr>
      <w:rFonts w:ascii="Microsoft YaHei UI" w:eastAsia="Microsoft YaHei UI"/>
      <w:sz w:val="18"/>
      <w:szCs w:val="18"/>
    </w:rPr>
  </w:style>
  <w:style w:type="paragraph" w:styleId="10">
    <w:name w:val="annotation text"/>
    <w:basedOn w:val="1"/>
    <w:link w:val="39"/>
    <w:qFormat/>
    <w:uiPriority w:val="0"/>
    <w:pPr>
      <w:autoSpaceDE w:val="0"/>
      <w:autoSpaceDN w:val="0"/>
      <w:jc w:val="left"/>
    </w:pPr>
    <w:rPr>
      <w:rFonts w:hint="eastAsia" w:ascii="仿宋" w:hAnsi="仿宋" w:eastAsia="仿宋" w:cs="Times New Roman"/>
      <w:kern w:val="0"/>
      <w:sz w:val="22"/>
      <w:szCs w:val="22"/>
    </w:rPr>
  </w:style>
  <w:style w:type="paragraph" w:styleId="11">
    <w:name w:val="Body Text Indent"/>
    <w:basedOn w:val="1"/>
    <w:unhideWhenUsed/>
    <w:qFormat/>
    <w:uiPriority w:val="0"/>
    <w:pPr>
      <w:spacing w:after="120"/>
      <w:ind w:left="420" w:leftChars="200"/>
    </w:pPr>
    <w:rPr>
      <w:rFonts w:ascii="Calibri" w:hAnsi="Calibri" w:eastAsia="宋体" w:cs="Times New Roman"/>
    </w:rPr>
  </w:style>
  <w:style w:type="paragraph" w:styleId="12">
    <w:name w:val="toc 3"/>
    <w:basedOn w:val="1"/>
    <w:next w:val="1"/>
    <w:unhideWhenUsed/>
    <w:qFormat/>
    <w:uiPriority w:val="39"/>
    <w:pPr>
      <w:ind w:left="840" w:leftChars="400"/>
    </w:pPr>
  </w:style>
  <w:style w:type="paragraph" w:styleId="13">
    <w:name w:val="Balloon Text"/>
    <w:basedOn w:val="1"/>
    <w:link w:val="47"/>
    <w:qFormat/>
    <w:uiPriority w:val="0"/>
    <w:rPr>
      <w:sz w:val="18"/>
    </w:rPr>
  </w:style>
  <w:style w:type="paragraph" w:styleId="14">
    <w:name w:val="footer"/>
    <w:basedOn w:val="1"/>
    <w:link w:val="40"/>
    <w:qFormat/>
    <w:uiPriority w:val="99"/>
    <w:pPr>
      <w:tabs>
        <w:tab w:val="center" w:pos="4153"/>
        <w:tab w:val="right" w:pos="8306"/>
      </w:tabs>
      <w:snapToGrid w:val="0"/>
      <w:jc w:val="left"/>
    </w:pPr>
    <w:rPr>
      <w:sz w:val="18"/>
    </w:rPr>
  </w:style>
  <w:style w:type="paragraph" w:styleId="15">
    <w:name w:val="header"/>
    <w:basedOn w:val="1"/>
    <w:link w:val="5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autoSpaceDE w:val="0"/>
      <w:autoSpaceDN w:val="0"/>
      <w:jc w:val="left"/>
    </w:pPr>
    <w:rPr>
      <w:rFonts w:hint="eastAsia" w:ascii="仿宋" w:hAnsi="仿宋" w:eastAsia="仿宋" w:cs="Times New Roman"/>
      <w:kern w:val="0"/>
      <w:sz w:val="22"/>
      <w:szCs w:val="22"/>
    </w:rPr>
  </w:style>
  <w:style w:type="paragraph" w:styleId="17">
    <w:name w:val="toc 2"/>
    <w:basedOn w:val="1"/>
    <w:next w:val="1"/>
    <w:qFormat/>
    <w:uiPriority w:val="39"/>
    <w:pPr>
      <w:autoSpaceDE w:val="0"/>
      <w:autoSpaceDN w:val="0"/>
      <w:ind w:left="420" w:leftChars="200"/>
      <w:jc w:val="left"/>
    </w:pPr>
    <w:rPr>
      <w:rFonts w:hint="eastAsia" w:ascii="仿宋" w:hAnsi="仿宋" w:eastAsia="仿宋" w:cs="Times New Roman"/>
      <w:kern w:val="0"/>
      <w:sz w:val="22"/>
      <w:szCs w:val="22"/>
    </w:rPr>
  </w:style>
  <w:style w:type="paragraph" w:styleId="18">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9">
    <w:name w:val="annotation subject"/>
    <w:basedOn w:val="10"/>
    <w:next w:val="10"/>
    <w:link w:val="38"/>
    <w:qFormat/>
    <w:uiPriority w:val="0"/>
    <w:rPr>
      <w:b/>
    </w:rPr>
  </w:style>
  <w:style w:type="paragraph" w:styleId="20">
    <w:name w:val="Body Text First Indent"/>
    <w:basedOn w:val="2"/>
    <w:qFormat/>
    <w:uiPriority w:val="0"/>
    <w:pPr>
      <w:ind w:firstLine="420" w:firstLineChars="100"/>
    </w:pPr>
    <w:rPr>
      <w:rFonts w:ascii="Times New Roman" w:hAnsi="Times New Roman"/>
      <w:szCs w:val="21"/>
    </w:rPr>
  </w:style>
  <w:style w:type="table" w:styleId="22">
    <w:name w:val="Table Grid"/>
    <w:basedOn w:val="21"/>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qFormat/>
    <w:uiPriority w:val="0"/>
    <w:rPr>
      <w:color w:val="3D3D3D"/>
      <w:u w:val="none"/>
    </w:rPr>
  </w:style>
  <w:style w:type="character" w:styleId="25">
    <w:name w:val="Emphasis"/>
    <w:basedOn w:val="23"/>
    <w:qFormat/>
    <w:uiPriority w:val="0"/>
  </w:style>
  <w:style w:type="character" w:styleId="26">
    <w:name w:val="HTML Definition"/>
    <w:basedOn w:val="23"/>
    <w:qFormat/>
    <w:uiPriority w:val="0"/>
  </w:style>
  <w:style w:type="character" w:styleId="27">
    <w:name w:val="HTML Variable"/>
    <w:basedOn w:val="23"/>
    <w:qFormat/>
    <w:uiPriority w:val="0"/>
  </w:style>
  <w:style w:type="character" w:styleId="28">
    <w:name w:val="Hyperlink"/>
    <w:basedOn w:val="23"/>
    <w:qFormat/>
    <w:uiPriority w:val="99"/>
    <w:rPr>
      <w:color w:val="3D3D3D"/>
      <w:u w:val="none"/>
    </w:rPr>
  </w:style>
  <w:style w:type="character" w:styleId="29">
    <w:name w:val="HTML Code"/>
    <w:basedOn w:val="23"/>
    <w:qFormat/>
    <w:uiPriority w:val="0"/>
    <w:rPr>
      <w:rFonts w:ascii="Courier New" w:hAnsi="Courier New" w:eastAsia="Times New Roman" w:cs="Times New Roman"/>
      <w:sz w:val="20"/>
    </w:rPr>
  </w:style>
  <w:style w:type="character" w:styleId="30">
    <w:name w:val="annotation reference"/>
    <w:basedOn w:val="23"/>
    <w:qFormat/>
    <w:uiPriority w:val="0"/>
    <w:rPr>
      <w:sz w:val="21"/>
      <w:szCs w:val="21"/>
    </w:rPr>
  </w:style>
  <w:style w:type="character" w:styleId="31">
    <w:name w:val="HTML Cite"/>
    <w:basedOn w:val="23"/>
    <w:qFormat/>
    <w:uiPriority w:val="0"/>
  </w:style>
  <w:style w:type="paragraph" w:customStyle="1" w:styleId="32">
    <w:name w:val="标题 5（有编号）（绿盟科技）"/>
    <w:basedOn w:val="1"/>
    <w:next w:val="33"/>
    <w:qFormat/>
    <w:uiPriority w:val="0"/>
    <w:pPr>
      <w:keepNext/>
      <w:keepLines/>
      <w:spacing w:before="280" w:after="156" w:line="377" w:lineRule="auto"/>
      <w:jc w:val="left"/>
      <w:outlineLvl w:val="4"/>
    </w:pPr>
    <w:rPr>
      <w:rFonts w:ascii="Arial" w:hAnsi="Arial" w:eastAsia="黑体"/>
      <w:kern w:val="0"/>
      <w:sz w:val="24"/>
      <w:szCs w:val="28"/>
    </w:rPr>
  </w:style>
  <w:style w:type="paragraph" w:customStyle="1" w:styleId="3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4">
    <w:name w:val="标题 1 Char"/>
    <w:basedOn w:val="23"/>
    <w:link w:val="3"/>
    <w:qFormat/>
    <w:uiPriority w:val="0"/>
    <w:rPr>
      <w:rFonts w:hint="eastAsia" w:ascii="仿宋" w:hAnsi="仿宋" w:eastAsia="仿宋" w:cs="仿宋"/>
      <w:b/>
      <w:sz w:val="32"/>
      <w:szCs w:val="32"/>
      <w:lang w:val="zh-CN" w:bidi="zh-CN"/>
    </w:rPr>
  </w:style>
  <w:style w:type="character" w:customStyle="1" w:styleId="35">
    <w:name w:val="未处理的提及1"/>
    <w:basedOn w:val="23"/>
    <w:qFormat/>
    <w:uiPriority w:val="0"/>
    <w:rPr>
      <w:color w:val="605E5C"/>
      <w:shd w:val="clear" w:color="auto" w:fill="E1DFDD"/>
    </w:rPr>
  </w:style>
  <w:style w:type="character" w:customStyle="1" w:styleId="36">
    <w:name w:val="标题 5 Char"/>
    <w:basedOn w:val="23"/>
    <w:link w:val="7"/>
    <w:qFormat/>
    <w:uiPriority w:val="0"/>
    <w:rPr>
      <w:rFonts w:hint="eastAsia" w:ascii="仿宋" w:hAnsi="仿宋" w:eastAsia="仿宋" w:cs="仿宋"/>
      <w:b/>
      <w:sz w:val="24"/>
      <w:szCs w:val="24"/>
      <w:lang w:val="zh-CN" w:bidi="zh-CN"/>
    </w:rPr>
  </w:style>
  <w:style w:type="character" w:customStyle="1" w:styleId="37">
    <w:name w:val="标题 2 Char"/>
    <w:basedOn w:val="23"/>
    <w:link w:val="4"/>
    <w:qFormat/>
    <w:uiPriority w:val="0"/>
    <w:rPr>
      <w:rFonts w:hint="eastAsia" w:ascii="仿宋" w:hAnsi="仿宋" w:eastAsia="仿宋" w:cs="仿宋"/>
      <w:b/>
      <w:sz w:val="30"/>
      <w:szCs w:val="30"/>
      <w:lang w:val="zh-CN" w:bidi="zh-CN"/>
    </w:rPr>
  </w:style>
  <w:style w:type="character" w:customStyle="1" w:styleId="38">
    <w:name w:val="批注主题 Char"/>
    <w:basedOn w:val="39"/>
    <w:link w:val="19"/>
    <w:qFormat/>
    <w:uiPriority w:val="0"/>
    <w:rPr>
      <w:rFonts w:hint="eastAsia" w:ascii="仿宋" w:hAnsi="仿宋" w:eastAsia="仿宋" w:cs="仿宋"/>
      <w:b/>
      <w:sz w:val="22"/>
      <w:szCs w:val="22"/>
      <w:lang w:val="zh-CN" w:bidi="zh-CN"/>
    </w:rPr>
  </w:style>
  <w:style w:type="character" w:customStyle="1" w:styleId="39">
    <w:name w:val="批注文字 Char"/>
    <w:basedOn w:val="23"/>
    <w:link w:val="10"/>
    <w:qFormat/>
    <w:uiPriority w:val="0"/>
    <w:rPr>
      <w:rFonts w:hint="eastAsia" w:ascii="仿宋" w:hAnsi="仿宋" w:eastAsia="仿宋" w:cs="仿宋"/>
      <w:sz w:val="22"/>
      <w:szCs w:val="22"/>
      <w:lang w:val="zh-CN" w:bidi="zh-CN"/>
    </w:rPr>
  </w:style>
  <w:style w:type="character" w:customStyle="1" w:styleId="40">
    <w:name w:val="页脚 Char"/>
    <w:basedOn w:val="23"/>
    <w:link w:val="14"/>
    <w:qFormat/>
    <w:uiPriority w:val="99"/>
    <w:rPr>
      <w:rFonts w:hint="eastAsia" w:ascii="仿宋" w:hAnsi="仿宋" w:eastAsia="仿宋" w:cs="仿宋"/>
      <w:sz w:val="18"/>
      <w:szCs w:val="18"/>
      <w:lang w:val="zh-CN" w:bidi="zh-CN"/>
    </w:rPr>
  </w:style>
  <w:style w:type="paragraph" w:customStyle="1" w:styleId="41">
    <w:name w:val="Table Paragraph"/>
    <w:basedOn w:val="1"/>
    <w:qFormat/>
    <w:uiPriority w:val="0"/>
    <w:pPr>
      <w:autoSpaceDE w:val="0"/>
      <w:autoSpaceDN w:val="0"/>
      <w:jc w:val="left"/>
    </w:pPr>
    <w:rPr>
      <w:rFonts w:hint="eastAsia" w:ascii="仿宋" w:hAnsi="仿宋" w:eastAsia="仿宋" w:cs="Times New Roman"/>
      <w:kern w:val="0"/>
      <w:sz w:val="22"/>
      <w:szCs w:val="22"/>
    </w:rPr>
  </w:style>
  <w:style w:type="paragraph" w:customStyle="1" w:styleId="42">
    <w:name w:val="msolistparagraph"/>
    <w:basedOn w:val="1"/>
    <w:qFormat/>
    <w:uiPriority w:val="0"/>
    <w:pPr>
      <w:autoSpaceDE w:val="0"/>
      <w:autoSpaceDN w:val="0"/>
      <w:ind w:left="440" w:firstLine="480"/>
      <w:jc w:val="left"/>
    </w:pPr>
    <w:rPr>
      <w:rFonts w:hint="eastAsia" w:ascii="仿宋" w:hAnsi="仿宋" w:eastAsia="仿宋" w:cs="Times New Roman"/>
      <w:kern w:val="0"/>
      <w:sz w:val="22"/>
      <w:szCs w:val="22"/>
    </w:rPr>
  </w:style>
  <w:style w:type="character" w:customStyle="1" w:styleId="43">
    <w:name w:val="正文文本 Char"/>
    <w:basedOn w:val="23"/>
    <w:link w:val="2"/>
    <w:qFormat/>
    <w:uiPriority w:val="0"/>
    <w:rPr>
      <w:rFonts w:hint="eastAsia" w:ascii="仿宋" w:hAnsi="仿宋" w:eastAsia="仿宋" w:cs="仿宋"/>
      <w:sz w:val="22"/>
      <w:szCs w:val="22"/>
      <w:lang w:val="zh-CN" w:bidi="zh-CN"/>
    </w:rPr>
  </w:style>
  <w:style w:type="character" w:customStyle="1" w:styleId="44">
    <w:name w:val="标题 3 Char"/>
    <w:basedOn w:val="23"/>
    <w:link w:val="5"/>
    <w:qFormat/>
    <w:uiPriority w:val="0"/>
    <w:rPr>
      <w:rFonts w:hint="eastAsia" w:ascii="仿宋" w:hAnsi="仿宋" w:eastAsia="仿宋" w:cs="仿宋"/>
      <w:b/>
      <w:sz w:val="28"/>
      <w:szCs w:val="28"/>
      <w:lang w:val="zh-CN" w:bidi="zh-CN"/>
    </w:rPr>
  </w:style>
  <w:style w:type="character" w:customStyle="1" w:styleId="45">
    <w:name w:val="标题 4 Char"/>
    <w:basedOn w:val="23"/>
    <w:link w:val="6"/>
    <w:qFormat/>
    <w:uiPriority w:val="0"/>
    <w:rPr>
      <w:rFonts w:hint="default" w:ascii="Times New Roman" w:hAnsi="Times New Roman" w:eastAsia="Times New Roman" w:cs="Times New Roman"/>
      <w:sz w:val="28"/>
      <w:szCs w:val="28"/>
      <w:lang w:val="zh-CN" w:bidi="zh-CN"/>
    </w:rPr>
  </w:style>
  <w:style w:type="character" w:customStyle="1" w:styleId="46">
    <w:name w:val="img1"/>
    <w:basedOn w:val="23"/>
    <w:qFormat/>
    <w:uiPriority w:val="0"/>
  </w:style>
  <w:style w:type="character" w:customStyle="1" w:styleId="47">
    <w:name w:val="批注框文本 Char"/>
    <w:basedOn w:val="23"/>
    <w:link w:val="13"/>
    <w:qFormat/>
    <w:uiPriority w:val="0"/>
    <w:rPr>
      <w:rFonts w:hint="eastAsia" w:ascii="仿宋" w:hAnsi="仿宋" w:eastAsia="仿宋" w:cs="仿宋"/>
      <w:sz w:val="18"/>
      <w:szCs w:val="18"/>
      <w:lang w:val="zh-CN" w:bidi="zh-CN"/>
    </w:rPr>
  </w:style>
  <w:style w:type="paragraph" w:customStyle="1" w:styleId="48">
    <w:name w:val="样式"/>
    <w:basedOn w:val="1"/>
    <w:qFormat/>
    <w:uiPriority w:val="0"/>
    <w:pPr>
      <w:autoSpaceDE w:val="0"/>
      <w:autoSpaceDN w:val="0"/>
      <w:adjustRightInd w:val="0"/>
      <w:jc w:val="left"/>
    </w:pPr>
    <w:rPr>
      <w:rFonts w:hint="eastAsia" w:ascii="宋体" w:hAnsi="宋体" w:eastAsia="宋体" w:cs="Times New Roman"/>
      <w:kern w:val="0"/>
      <w:sz w:val="24"/>
    </w:rPr>
  </w:style>
  <w:style w:type="character" w:customStyle="1" w:styleId="49">
    <w:name w:val="img"/>
    <w:basedOn w:val="23"/>
    <w:qFormat/>
    <w:uiPriority w:val="0"/>
  </w:style>
  <w:style w:type="character" w:customStyle="1" w:styleId="50">
    <w:name w:val="页眉 Char"/>
    <w:basedOn w:val="23"/>
    <w:link w:val="15"/>
    <w:qFormat/>
    <w:uiPriority w:val="0"/>
    <w:rPr>
      <w:rFonts w:hint="eastAsia" w:ascii="仿宋" w:hAnsi="仿宋" w:eastAsia="仿宋" w:cs="仿宋"/>
      <w:sz w:val="18"/>
      <w:szCs w:val="18"/>
      <w:lang w:val="zh-CN" w:bidi="zh-CN"/>
    </w:rPr>
  </w:style>
  <w:style w:type="table" w:customStyle="1" w:styleId="51">
    <w:name w:val="Table Normal"/>
    <w:basedOn w:val="21"/>
    <w:semiHidden/>
    <w:qFormat/>
    <w:uiPriority w:val="0"/>
    <w:rPr>
      <w:rFonts w:ascii="Calibri" w:hAnsi="Calibri"/>
    </w:rPr>
    <w:tblPr>
      <w:tblCellMar>
        <w:top w:w="0" w:type="dxa"/>
        <w:left w:w="0" w:type="dxa"/>
        <w:bottom w:w="0" w:type="dxa"/>
        <w:right w:w="0" w:type="dxa"/>
      </w:tblCellMar>
    </w:tblPr>
  </w:style>
  <w:style w:type="paragraph" w:customStyle="1" w:styleId="52">
    <w:name w:val="正文1"/>
    <w:qFormat/>
    <w:uiPriority w:val="0"/>
    <w:pPr>
      <w:jc w:val="both"/>
    </w:pPr>
    <w:rPr>
      <w:rFonts w:ascii="Calibri" w:hAnsi="Calibri" w:eastAsia="宋体" w:cs="Calibri"/>
      <w:kern w:val="2"/>
      <w:sz w:val="21"/>
      <w:szCs w:val="21"/>
      <w:lang w:val="en-US" w:eastAsia="zh-CN" w:bidi="ar-SA"/>
    </w:rPr>
  </w:style>
  <w:style w:type="paragraph" w:customStyle="1" w:styleId="53">
    <w:name w:val="正文首行缩进两字符"/>
    <w:basedOn w:val="1"/>
    <w:qFormat/>
    <w:uiPriority w:val="99"/>
    <w:pPr>
      <w:spacing w:line="360" w:lineRule="auto"/>
      <w:ind w:firstLine="200" w:firstLineChars="200"/>
    </w:pPr>
  </w:style>
  <w:style w:type="character" w:customStyle="1" w:styleId="54">
    <w:name w:val="NormalCharacter"/>
    <w:qFormat/>
    <w:uiPriority w:val="0"/>
  </w:style>
  <w:style w:type="paragraph" w:customStyle="1" w:styleId="55">
    <w:name w:val="Char2 Char Char"/>
    <w:basedOn w:val="9"/>
    <w:qFormat/>
    <w:uiPriority w:val="0"/>
    <w:pPr>
      <w:shd w:val="clear" w:color="auto" w:fill="000080"/>
    </w:pPr>
    <w:rPr>
      <w:rFonts w:ascii="Tahoma" w:hAnsi="Tahoma" w:eastAsia="宋体" w:cs="Times New Roman"/>
      <w:sz w:val="24"/>
      <w:szCs w:val="24"/>
    </w:rPr>
  </w:style>
  <w:style w:type="character" w:customStyle="1" w:styleId="56">
    <w:name w:val="文档结构图 Char"/>
    <w:basedOn w:val="23"/>
    <w:link w:val="9"/>
    <w:qFormat/>
    <w:uiPriority w:val="0"/>
    <w:rPr>
      <w:rFonts w:ascii="Microsoft YaHei UI" w:eastAsia="Microsoft YaHei UI" w:hAnsiTheme="minorHAnsi" w:cstheme="minorBidi"/>
      <w:kern w:val="2"/>
      <w:sz w:val="18"/>
      <w:szCs w:val="18"/>
    </w:rPr>
  </w:style>
  <w:style w:type="paragraph" w:customStyle="1" w:styleId="57">
    <w:name w:val="Char2 Char Char1"/>
    <w:basedOn w:val="9"/>
    <w:qFormat/>
    <w:uiPriority w:val="0"/>
    <w:pPr>
      <w:shd w:val="clear" w:color="auto" w:fill="000080"/>
    </w:pPr>
    <w:rPr>
      <w:rFonts w:ascii="Tahoma" w:hAnsi="Tahoma" w:eastAsia="宋体" w:cs="Times New Roman"/>
      <w:sz w:val="24"/>
      <w:szCs w:val="24"/>
    </w:rPr>
  </w:style>
  <w:style w:type="paragraph" w:styleId="58">
    <w:name w:val="List Paragraph"/>
    <w:basedOn w:val="1"/>
    <w:qFormat/>
    <w:uiPriority w:val="99"/>
    <w:pPr>
      <w:ind w:firstLine="420" w:firstLineChars="200"/>
    </w:pPr>
  </w:style>
  <w:style w:type="paragraph" w:customStyle="1" w:styleId="59">
    <w:name w:val="Char2 Char Char2"/>
    <w:basedOn w:val="9"/>
    <w:qFormat/>
    <w:uiPriority w:val="0"/>
    <w:pPr>
      <w:shd w:val="clear" w:color="auto" w:fill="000080"/>
    </w:pPr>
    <w:rPr>
      <w:rFonts w:ascii="Tahoma" w:hAnsi="Tahoma" w:eastAsia="宋体" w:cs="Times New Roman"/>
      <w:sz w:val="24"/>
      <w:szCs w:val="24"/>
    </w:rPr>
  </w:style>
  <w:style w:type="paragraph" w:customStyle="1" w:styleId="60">
    <w:name w:val="Char2 Char Char3"/>
    <w:basedOn w:val="9"/>
    <w:qFormat/>
    <w:uiPriority w:val="0"/>
    <w:pPr>
      <w:shd w:val="clear" w:color="auto" w:fill="000080"/>
    </w:pPr>
    <w:rPr>
      <w:rFonts w:ascii="Tahoma" w:hAnsi="Tahoma" w:eastAsia="宋体" w:cs="Times New Roman"/>
      <w:sz w:val="24"/>
      <w:szCs w:val="24"/>
    </w:rPr>
  </w:style>
  <w:style w:type="paragraph" w:customStyle="1" w:styleId="61">
    <w:name w:val="Char2 Char Char4"/>
    <w:basedOn w:val="9"/>
    <w:qFormat/>
    <w:uiPriority w:val="0"/>
    <w:pPr>
      <w:shd w:val="clear" w:color="auto" w:fill="000080"/>
    </w:pPr>
    <w:rPr>
      <w:rFonts w:ascii="Tahoma" w:hAnsi="Tahoma" w:eastAsia="宋体" w:cs="Times New Roman"/>
      <w:sz w:val="24"/>
      <w:szCs w:val="24"/>
    </w:rPr>
  </w:style>
  <w:style w:type="paragraph" w:customStyle="1" w:styleId="62">
    <w:name w:val="正文_14"/>
    <w:basedOn w:val="1"/>
    <w:qFormat/>
    <w:uiPriority w:val="0"/>
    <w:rPr>
      <w:rFonts w:ascii="宋体" w:hAnsi="宋体" w:cs="宋体"/>
      <w:kern w:val="0"/>
      <w:sz w:val="34"/>
      <w:szCs w:val="34"/>
    </w:rPr>
  </w:style>
  <w:style w:type="paragraph" w:customStyle="1" w:styleId="63">
    <w:name w:val="Char2 Char Char5"/>
    <w:basedOn w:val="9"/>
    <w:qFormat/>
    <w:uiPriority w:val="0"/>
    <w:pPr>
      <w:shd w:val="clear" w:color="auto" w:fill="000080"/>
    </w:pPr>
    <w:rPr>
      <w:rFonts w:ascii="Tahoma" w:hAnsi="Tahoma" w:eastAsia="宋体" w:cs="Times New Roman"/>
      <w:sz w:val="24"/>
      <w:szCs w:val="24"/>
    </w:rPr>
  </w:style>
  <w:style w:type="paragraph" w:customStyle="1" w:styleId="64">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65">
    <w:name w:val="正文缩进_0"/>
    <w:unhideWhenUsed/>
    <w:qFormat/>
    <w:uiPriority w:val="0"/>
    <w:pPr>
      <w:widowControl w:val="0"/>
      <w:spacing w:after="180" w:line="307" w:lineRule="auto"/>
      <w:ind w:firstLine="420"/>
      <w:jc w:val="both"/>
    </w:pPr>
    <w:rPr>
      <w:rFonts w:ascii="Calibri" w:hAnsi="Calibri" w:eastAsia="宋体" w:cs="Times New Roman"/>
      <w:kern w:val="2"/>
      <w:sz w:val="21"/>
      <w:lang w:val="en-US" w:eastAsia="zh-CN" w:bidi="ar-SA"/>
    </w:rPr>
  </w:style>
  <w:style w:type="paragraph" w:customStyle="1" w:styleId="6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正文首行缩进两字符_0"/>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6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不加粗"/>
    <w:basedOn w:val="1"/>
    <w:qFormat/>
    <w:uiPriority w:val="0"/>
    <w:pPr>
      <w:tabs>
        <w:tab w:val="left" w:pos="7665"/>
      </w:tabs>
      <w:spacing w:line="480" w:lineRule="exact"/>
      <w:ind w:right="210" w:firstLine="480" w:firstLineChars="200"/>
    </w:pPr>
    <w:rPr>
      <w:rFonts w:ascii="宋体" w:hAnsi="宋体"/>
      <w:sz w:val="24"/>
    </w:rPr>
  </w:style>
  <w:style w:type="paragraph" w:customStyle="1" w:styleId="71">
    <w:name w:val="正文21"/>
    <w:basedOn w:val="11"/>
    <w:qFormat/>
    <w:uiPriority w:val="0"/>
    <w:pPr>
      <w:spacing w:after="0" w:line="480" w:lineRule="exact"/>
      <w:ind w:left="0" w:leftChars="0" w:firstLine="480" w:firstLineChars="200"/>
    </w:pPr>
    <w:rPr>
      <w:rFonts w:ascii="宋体" w:hAnsi="宋体"/>
      <w:bCs/>
      <w:sz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2628</Words>
  <Characters>14980</Characters>
  <Lines>124</Lines>
  <Paragraphs>35</Paragraphs>
  <TotalTime>675</TotalTime>
  <ScaleCrop>false</ScaleCrop>
  <LinksUpToDate>false</LinksUpToDate>
  <CharactersWithSpaces>17573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2021-01-04T05:16:00Z</dcterms:created>
  <dc:creator>Administrator</dc:creator>
  <cp:lastModifiedBy>NTKO</cp:lastModifiedBy>
  <cp:lastPrinted>2021-08-26T08:02:00Z</cp:lastPrinted>
  <dcterms:modified xsi:type="dcterms:W3CDTF">2021-10-12T03:56:22Z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7D6C9AF5C53D4F0A9109299B429BCBA9</vt:lpwstr>
  </property>
</Properties>
</file>