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840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更正公告</w:t>
      </w:r>
    </w:p>
    <w:tbl>
      <w:tblPr>
        <w:tblStyle w:val="3"/>
        <w:tblW w:w="1043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3510"/>
        <w:gridCol w:w="1817"/>
        <w:gridCol w:w="3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采购项目名称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达州市中心城区桥梁智慧管养运行监控建设项目</w:t>
            </w:r>
          </w:p>
        </w:tc>
        <w:tc>
          <w:tcPr>
            <w:tcW w:w="181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采购项目编号</w:t>
            </w:r>
          </w:p>
        </w:tc>
        <w:tc>
          <w:tcPr>
            <w:tcW w:w="3290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511701202100014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采购方式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公开招标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行政区划</w:t>
            </w:r>
          </w:p>
        </w:tc>
        <w:tc>
          <w:tcPr>
            <w:tcW w:w="3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达州市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公告类型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更正公告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公告发布时间</w:t>
            </w:r>
          </w:p>
        </w:tc>
        <w:tc>
          <w:tcPr>
            <w:tcW w:w="3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采购人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达州市市政工程管理处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更正公告</w:t>
            </w:r>
          </w:p>
        </w:tc>
        <w:tc>
          <w:tcPr>
            <w:tcW w:w="3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采购代理机构名称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达州市政府采购中心</w:t>
            </w:r>
          </w:p>
        </w:tc>
        <w:tc>
          <w:tcPr>
            <w:tcW w:w="18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项目包个数</w:t>
            </w:r>
          </w:p>
        </w:tc>
        <w:tc>
          <w:tcPr>
            <w:tcW w:w="3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原公告类型</w:t>
            </w:r>
          </w:p>
        </w:tc>
        <w:tc>
          <w:tcPr>
            <w:tcW w:w="3510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公告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原公告发布时间</w:t>
            </w: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2021-05-25 16：08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更正事项和内容</w:t>
            </w:r>
          </w:p>
        </w:tc>
        <w:tc>
          <w:tcPr>
            <w:tcW w:w="861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各潜在供应商,现做如下更正：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eastAsia" w:ascii="宋体" w:hAnsi="宋体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评分办法中技术类评分因素--技术部分“2、根据投标人针对本项目制定的项目服务方案进行综合评审。包含但不限于：①现场踏勘与前期数据收集与整理计划；②总体设计及系统架构服务；③桥梁结构特点分析专业服务；④监测点布设方案；⑤桥梁结构状况评估；完全满足或优于上述要求的得5分；每有一项内容缺失或有一项描述有缺陷的（明显文字错误、内容与本项目或子项不相关的）扣1分，5分扣完为止。”</w:t>
            </w:r>
            <w:r>
              <w:rPr>
                <w:rFonts w:hint="eastAsia" w:ascii="宋体" w:hAnsi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更改为</w:t>
            </w:r>
            <w:r>
              <w:rPr>
                <w:rFonts w:hint="eastAsia" w:ascii="宋体" w:hAnsi="宋体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“2、根据投标人针对本项目制定的项目服务方案进行综合评审。包含但不限于：①现场踏勘与前期数据收集与整理计划；②总体设计及系统架构服务；③桥梁结构特点分析专业服务；④监测点布设方案；⑤桥梁结构状况评估；完全满足或优于上述要求的得10分；每有一项内容缺失或有一项描述有缺陷的（明显文字错误、内容与本项目或子项不相关的）扣2分，10分扣完为止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textAlignment w:val="auto"/>
              <w:rPr>
                <w:rFonts w:hint="default" w:ascii="宋体" w:hAnsi="宋体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2、报名截止时间更正为：2021年6月15日17:00时；00分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357" w:leftChars="170" w:firstLine="0" w:firstLineChars="0"/>
              <w:textAlignment w:val="auto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3、投标截止时间及开标时间更正为：2021年6月23日14时00分。开标1厅 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采购人地址和联系</w:t>
            </w:r>
          </w:p>
          <w:p>
            <w:pPr>
              <w:pStyle w:val="11"/>
              <w:spacing w:line="380" w:lineRule="exact"/>
              <w:ind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方式</w:t>
            </w:r>
          </w:p>
        </w:tc>
        <w:tc>
          <w:tcPr>
            <w:tcW w:w="8617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采 购 人</w:t>
            </w: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：达州市市政工程管理处</w:t>
            </w:r>
          </w:p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地 址：达州市通川区二马路党校酒店</w:t>
            </w:r>
          </w:p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联 系 人：张先生       联系电话：13558550666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采购代理机构地址和联系方式</w:t>
            </w:r>
          </w:p>
        </w:tc>
        <w:tc>
          <w:tcPr>
            <w:tcW w:w="8617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采购代理机构: 达州市政府采购中心 </w:t>
            </w:r>
          </w:p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 址：达州市马踏洞新区龙马大道与鱼泉路交叉路口处新政务服务大楼B区</w:t>
            </w:r>
          </w:p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default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 系 人：刘先生  联系电话：0818-2183355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采购项目联系人姓名和电话</w:t>
            </w:r>
          </w:p>
        </w:tc>
        <w:tc>
          <w:tcPr>
            <w:tcW w:w="8617" w:type="dxa"/>
            <w:gridSpan w:val="3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采购代理机构: 达州市政府采购中心</w:t>
            </w:r>
          </w:p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地 址：达州市马踏洞新区龙马大道与鱼泉路交叉路口处新政务服务大楼B区</w:t>
            </w:r>
          </w:p>
          <w:p>
            <w:pPr>
              <w:pStyle w:val="11"/>
              <w:spacing w:line="380" w:lineRule="exact"/>
              <w:ind w:firstLine="0" w:firstLineChars="0"/>
              <w:jc w:val="left"/>
              <w:rPr>
                <w:rFonts w:hint="default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联 系 人：刘先生  联系电话：0818-2183355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617" w:type="dxa"/>
            <w:gridSpan w:val="3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pStyle w:val="11"/>
              <w:spacing w:line="380" w:lineRule="exact"/>
              <w:ind w:firstLine="0" w:firstLineChars="0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此更正公告是本项目采购文件的重要组成部分，具有同等法律效力。原公告链接：</w:t>
            </w:r>
          </w:p>
          <w:p>
            <w:pPr>
              <w:pStyle w:val="11"/>
              <w:spacing w:line="380" w:lineRule="exact"/>
              <w:ind w:firstLine="0" w:firstLineChars="0"/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  <w:lang w:val="en-US" w:eastAsia="zh-CN" w:bidi="ar-SA"/>
              </w:rPr>
              <w:t>http://202.61.88.152:9080/TPFrame/AttachStorage/staticpagsnew/gkzbcggg/2021-05-25/789cc657-f6c1-48d7-9f7d-03098c2fd68d.html</w:t>
            </w:r>
          </w:p>
        </w:tc>
      </w:tr>
    </w:tbl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jc w:val="left"/>
        <w:rPr>
          <w:rFonts w:hint="eastAsia" w:ascii="华文细黑" w:hAnsi="华文细黑" w:eastAsia="华文细黑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华文细黑" w:hAnsi="华文细黑" w:eastAsia="华文细黑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华文细黑" w:hAnsi="华文细黑" w:eastAsia="华文细黑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华文细黑" w:hAnsi="华文细黑" w:eastAsia="华文细黑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华文细黑" w:hAnsi="华文细黑" w:eastAsia="华文细黑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华文细黑" w:hAnsi="华文细黑" w:eastAsia="华文细黑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华文细黑" w:hAnsi="华文细黑" w:eastAsia="华文细黑" w:cs="宋体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rPr>
          <w:rFonts w:hint="eastAsia" w:ascii="宋体" w:hAnsi="Times New Roman" w:eastAsia="宋体" w:cs="宋体"/>
          <w:b/>
          <w:kern w:val="0"/>
          <w:sz w:val="36"/>
          <w:szCs w:val="36"/>
        </w:rPr>
      </w:pPr>
    </w:p>
    <w:p/>
    <w:sectPr>
      <w:headerReference r:id="rId3" w:type="default"/>
      <w:pgSz w:w="11906" w:h="16838"/>
      <w:pgMar w:top="567" w:right="720" w:bottom="567" w:left="720" w:header="851" w:footer="992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90B89"/>
    <w:multiLevelType w:val="singleLevel"/>
    <w:tmpl w:val="DF990B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D0863"/>
    <w:rsid w:val="067A505C"/>
    <w:rsid w:val="12C03054"/>
    <w:rsid w:val="12EF2FEF"/>
    <w:rsid w:val="14FD0863"/>
    <w:rsid w:val="15C57720"/>
    <w:rsid w:val="23062BD4"/>
    <w:rsid w:val="2B951EC3"/>
    <w:rsid w:val="2E192CFD"/>
    <w:rsid w:val="35004E07"/>
    <w:rsid w:val="37B43EA3"/>
    <w:rsid w:val="3BA571C1"/>
    <w:rsid w:val="42616BBE"/>
    <w:rsid w:val="456B3DAD"/>
    <w:rsid w:val="494A521D"/>
    <w:rsid w:val="4C2C2856"/>
    <w:rsid w:val="5004294E"/>
    <w:rsid w:val="5CA23553"/>
    <w:rsid w:val="6126149C"/>
    <w:rsid w:val="6CBD3B7F"/>
    <w:rsid w:val="6E993234"/>
    <w:rsid w:val="79A46A32"/>
    <w:rsid w:val="7F2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TML Definition"/>
    <w:basedOn w:val="4"/>
    <w:uiPriority w:val="0"/>
  </w:style>
  <w:style w:type="character" w:styleId="7">
    <w:name w:val="HTML Variable"/>
    <w:basedOn w:val="4"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  <w:style w:type="paragraph" w:customStyle="1" w:styleId="11">
    <w:name w:val="正文首行缩进两字符"/>
    <w:basedOn w:val="1"/>
    <w:uiPriority w:val="0"/>
    <w:pPr>
      <w:spacing w:line="360" w:lineRule="auto"/>
      <w:ind w:firstLine="200" w:firstLineChars="200"/>
    </w:pPr>
  </w:style>
  <w:style w:type="character" w:customStyle="1" w:styleId="12">
    <w:name w:val="img"/>
    <w:basedOn w:val="4"/>
    <w:uiPriority w:val="0"/>
  </w:style>
  <w:style w:type="character" w:customStyle="1" w:styleId="13">
    <w:name w:val="img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2021-06-07T02:40:00Z</dcterms:created>
  <dc:creator>北欧海盗</dc:creator>
  <cp:lastModifiedBy>NTKO</cp:lastModifiedBy>
  <cp:lastPrinted>2021-06-07T03:00:00Z</cp:lastPrinted>
  <dcterms:modified xsi:type="dcterms:W3CDTF">2021-06-07T03:29:05Z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DF4A1931FE234526A34A17CA2ADFB9BC</vt:lpwstr>
  </property>
</Properties>
</file>