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232" w:lineRule="atLeast"/>
        <w:ind w:right="481"/>
        <w:jc w:val="right"/>
        <w:rPr>
          <w:color w:val="FF0000"/>
        </w:rPr>
      </w:pPr>
      <w:r>
        <w:rPr>
          <w:rFonts w:ascii="微软雅黑" w:hAnsi="微软雅黑" w:eastAsia="微软雅黑" w:cs="微软雅黑"/>
          <w:color w:val="FF0000"/>
          <w:sz w:val="28"/>
          <w:szCs w:val="28"/>
        </w:rPr>
        <w:t>DSK</w:t>
      </w:r>
      <w:r>
        <w:rPr>
          <w:rFonts w:hint="eastAsia" w:ascii="微软雅黑" w:hAnsi="微软雅黑" w:eastAsia="微软雅黑" w:cs="微软雅黑"/>
          <w:color w:val="FF0000"/>
          <w:sz w:val="28"/>
          <w:szCs w:val="28"/>
          <w:lang w:val="en-US" w:eastAsia="zh-CN"/>
        </w:rPr>
        <w:t>D</w:t>
      </w:r>
      <w:r>
        <w:rPr>
          <w:rFonts w:hint="eastAsia" w:ascii="微软雅黑" w:hAnsi="微软雅黑" w:eastAsia="微软雅黑" w:cs="微软雅黑"/>
          <w:color w:val="FF0000"/>
          <w:sz w:val="28"/>
          <w:szCs w:val="28"/>
        </w:rPr>
        <w:t>（</w:t>
      </w:r>
      <w:r>
        <w:rPr>
          <w:rFonts w:ascii="微软雅黑" w:hAnsi="微软雅黑" w:eastAsia="微软雅黑" w:cs="微软雅黑"/>
          <w:color w:val="FF0000"/>
          <w:sz w:val="28"/>
          <w:szCs w:val="28"/>
        </w:rPr>
        <w:t>P</w:t>
      </w:r>
      <w:r>
        <w:rPr>
          <w:rFonts w:hint="eastAsia" w:ascii="微软雅黑" w:hAnsi="微软雅黑" w:eastAsia="微软雅黑" w:cs="微软雅黑"/>
          <w:color w:val="FF0000"/>
          <w:sz w:val="28"/>
          <w:szCs w:val="28"/>
        </w:rPr>
        <w:t>）</w:t>
      </w:r>
      <w:r>
        <w:rPr>
          <w:rFonts w:ascii="微软雅黑" w:hAnsi="微软雅黑" w:eastAsia="微软雅黑" w:cs="微软雅黑"/>
          <w:color w:val="FF0000"/>
          <w:sz w:val="28"/>
          <w:szCs w:val="28"/>
        </w:rPr>
        <w:t>[2021]</w:t>
      </w:r>
      <w:r>
        <w:rPr>
          <w:rFonts w:hint="eastAsia" w:ascii="微软雅黑" w:hAnsi="微软雅黑" w:eastAsia="微软雅黑" w:cs="微软雅黑"/>
          <w:color w:val="FF0000"/>
          <w:sz w:val="28"/>
          <w:szCs w:val="28"/>
          <w:lang w:val="en-US" w:eastAsia="zh-CN"/>
        </w:rPr>
        <w:t xml:space="preserve"> 2</w:t>
      </w:r>
      <w:r>
        <w:rPr>
          <w:rFonts w:hint="eastAsia" w:ascii="微软雅黑" w:hAnsi="微软雅黑" w:eastAsia="微软雅黑" w:cs="微软雅黑"/>
          <w:color w:val="FF0000"/>
          <w:sz w:val="28"/>
          <w:szCs w:val="28"/>
        </w:rPr>
        <w:t>号</w:t>
      </w:r>
      <w:r>
        <w:rPr>
          <w:rFonts w:hint="eastAsia" w:ascii="华文中宋" w:eastAsia="华文中宋"/>
          <w:color w:val="FF0000"/>
          <w:sz w:val="28"/>
        </w:rPr>
        <w:t>　</w:t>
      </w:r>
    </w:p>
    <w:p>
      <w:pPr>
        <w:snapToGrid w:val="0"/>
        <w:spacing w:line="289" w:lineRule="atLeast"/>
      </w:pPr>
    </w:p>
    <w:p>
      <w:pPr>
        <w:snapToGrid w:val="0"/>
        <w:spacing w:line="538" w:lineRule="atLeast"/>
      </w:pPr>
    </w:p>
    <w:p>
      <w:pPr>
        <w:spacing w:line="1200" w:lineRule="exact"/>
        <w:jc w:val="center"/>
        <w:rPr>
          <w:rFonts w:ascii="方正小标宋简体" w:hAnsi="黑体" w:eastAsia="方正小标宋简体"/>
          <w:b/>
          <w:bCs/>
          <w:sz w:val="52"/>
          <w:szCs w:val="52"/>
        </w:rPr>
      </w:pPr>
      <w:r>
        <w:rPr>
          <w:rFonts w:hint="eastAsia" w:ascii="方正小标宋简体" w:hAnsi="黑体" w:eastAsia="方正小标宋简体"/>
          <w:b/>
          <w:bCs/>
          <w:sz w:val="84"/>
          <w:szCs w:val="84"/>
          <w:lang w:val="en-US" w:eastAsia="zh-CN"/>
        </w:rPr>
        <w:t>达川区石桥镇麻油沟村小儿坡页岩矿</w:t>
      </w:r>
      <w:r>
        <w:rPr>
          <w:rFonts w:hint="eastAsia" w:ascii="方正小标宋简体" w:hAnsi="黑体" w:eastAsia="方正小标宋简体" w:cs="Times New Roman"/>
          <w:b/>
          <w:bCs/>
          <w:sz w:val="84"/>
          <w:szCs w:val="84"/>
        </w:rPr>
        <w:t>采矿</w:t>
      </w:r>
      <w:r>
        <w:rPr>
          <w:rFonts w:hint="eastAsia" w:ascii="方正小标宋简体" w:hAnsi="黑体" w:eastAsia="方正小标宋简体"/>
          <w:b/>
          <w:bCs/>
          <w:sz w:val="84"/>
          <w:szCs w:val="84"/>
        </w:rPr>
        <w:t>权拍卖出让文件</w:t>
      </w:r>
    </w:p>
    <w:p>
      <w:pPr>
        <w:ind w:left="1300" w:hanging="1305" w:hangingChars="250"/>
        <w:jc w:val="center"/>
        <w:rPr>
          <w:rFonts w:ascii="方正小标宋简体" w:hAnsi="黑体" w:eastAsia="方正小标宋简体"/>
          <w:b/>
          <w:sz w:val="52"/>
          <w:szCs w:val="52"/>
        </w:rPr>
      </w:pPr>
    </w:p>
    <w:p>
      <w:pPr>
        <w:ind w:left="1200" w:hanging="1200" w:hangingChars="250"/>
        <w:jc w:val="center"/>
        <w:rPr>
          <w:rFonts w:ascii="黑体" w:eastAsia="黑体"/>
          <w:sz w:val="48"/>
          <w:szCs w:val="48"/>
        </w:rPr>
      </w:pPr>
    </w:p>
    <w:p>
      <w:pPr>
        <w:ind w:left="1200" w:hanging="1200" w:hangingChars="250"/>
        <w:jc w:val="center"/>
        <w:rPr>
          <w:rFonts w:ascii="黑体" w:eastAsia="黑体"/>
          <w:sz w:val="48"/>
          <w:szCs w:val="48"/>
        </w:rPr>
      </w:pPr>
    </w:p>
    <w:p>
      <w:pPr>
        <w:ind w:left="1200" w:hanging="1200" w:hangingChars="250"/>
        <w:jc w:val="center"/>
        <w:rPr>
          <w:rFonts w:ascii="黑体" w:eastAsia="黑体"/>
          <w:sz w:val="48"/>
          <w:szCs w:val="48"/>
        </w:rPr>
      </w:pPr>
    </w:p>
    <w:p>
      <w:pPr>
        <w:jc w:val="both"/>
        <w:rPr>
          <w:rFonts w:ascii="黑体" w:eastAsia="黑体"/>
          <w:sz w:val="48"/>
          <w:szCs w:val="48"/>
        </w:rPr>
      </w:pPr>
    </w:p>
    <w:p>
      <w:pPr>
        <w:ind w:left="1200" w:hanging="1200" w:hangingChars="250"/>
        <w:jc w:val="center"/>
        <w:rPr>
          <w:rFonts w:ascii="黑体" w:eastAsia="黑体"/>
          <w:sz w:val="48"/>
          <w:szCs w:val="48"/>
        </w:rPr>
      </w:pPr>
    </w:p>
    <w:p>
      <w:pPr>
        <w:ind w:left="1200" w:hanging="1200" w:hangingChars="250"/>
        <w:jc w:val="center"/>
        <w:rPr>
          <w:rFonts w:ascii="黑体" w:eastAsia="黑体"/>
          <w:sz w:val="48"/>
          <w:szCs w:val="48"/>
        </w:rPr>
      </w:pPr>
    </w:p>
    <w:p>
      <w:pPr>
        <w:ind w:left="1200" w:hanging="1200" w:hangingChars="250"/>
        <w:jc w:val="center"/>
        <w:rPr>
          <w:rFonts w:ascii="方正小标宋简体" w:eastAsia="方正小标宋简体"/>
          <w:color w:val="000000"/>
          <w:sz w:val="48"/>
          <w:szCs w:val="48"/>
        </w:rPr>
      </w:pPr>
      <w:r>
        <w:rPr>
          <w:rFonts w:hint="eastAsia" w:ascii="方正小标宋简体" w:eastAsia="方正小标宋简体"/>
          <w:color w:val="000000"/>
          <w:sz w:val="48"/>
          <w:szCs w:val="48"/>
        </w:rPr>
        <w:t>达州市</w:t>
      </w:r>
      <w:r>
        <w:rPr>
          <w:rFonts w:hint="eastAsia" w:ascii="方正小标宋简体" w:eastAsia="方正小标宋简体"/>
          <w:color w:val="000000"/>
          <w:sz w:val="48"/>
          <w:szCs w:val="48"/>
          <w:lang w:val="en-US" w:eastAsia="zh-CN"/>
        </w:rPr>
        <w:t>达</w:t>
      </w:r>
      <w:r>
        <w:rPr>
          <w:rFonts w:hint="eastAsia" w:ascii="方正小标宋简体" w:eastAsia="方正小标宋简体"/>
          <w:color w:val="000000"/>
          <w:sz w:val="48"/>
          <w:szCs w:val="48"/>
        </w:rPr>
        <w:t>川区自然资源局</w:t>
      </w:r>
    </w:p>
    <w:p>
      <w:pPr>
        <w:ind w:left="1200" w:hanging="1200" w:hangingChars="250"/>
        <w:jc w:val="center"/>
        <w:rPr>
          <w:rFonts w:ascii="方正小标宋简体" w:eastAsia="方正小标宋简体"/>
          <w:color w:val="000000"/>
          <w:sz w:val="48"/>
          <w:szCs w:val="48"/>
        </w:rPr>
      </w:pPr>
      <w:r>
        <w:rPr>
          <w:rFonts w:hint="eastAsia" w:ascii="方正小标宋简体" w:eastAsia="方正小标宋简体"/>
          <w:color w:val="000000"/>
          <w:sz w:val="48"/>
          <w:szCs w:val="48"/>
        </w:rPr>
        <w:t>达州市公共资源交易服务中心</w:t>
      </w:r>
    </w:p>
    <w:p>
      <w:pPr>
        <w:ind w:left="1200" w:hanging="1200" w:hangingChars="250"/>
        <w:jc w:val="center"/>
        <w:rPr>
          <w:rFonts w:ascii="方正小标宋简体" w:hAnsi="宋体" w:eastAsia="方正小标宋简体"/>
          <w:b/>
          <w:sz w:val="52"/>
          <w:szCs w:val="52"/>
        </w:rPr>
      </w:pPr>
      <w:r>
        <w:rPr>
          <w:rFonts w:ascii="黑体" w:eastAsia="黑体"/>
          <w:sz w:val="48"/>
          <w:szCs w:val="48"/>
        </w:rPr>
        <w:br w:type="page"/>
      </w:r>
      <w:r>
        <w:rPr>
          <w:rFonts w:hint="eastAsia"/>
          <w:bCs/>
          <w:w w:val="80"/>
          <w:sz w:val="44"/>
        </w:rPr>
        <w:t>目录</w:t>
      </w:r>
    </w:p>
    <w:p>
      <w:pPr>
        <w:tabs>
          <w:tab w:val="left" w:leader="middleDot" w:pos="6720"/>
        </w:tabs>
        <w:ind w:left="220" w:hanging="220" w:hangingChars="50"/>
        <w:jc w:val="center"/>
        <w:rPr>
          <w:bCs/>
          <w:sz w:val="44"/>
        </w:rPr>
      </w:pPr>
    </w:p>
    <w:p>
      <w:pPr>
        <w:numPr>
          <w:ilvl w:val="0"/>
          <w:numId w:val="1"/>
        </w:numPr>
        <w:tabs>
          <w:tab w:val="left" w:leader="middleDot" w:pos="7980"/>
        </w:tabs>
        <w:ind w:left="105" w:hanging="105" w:hangingChars="50"/>
        <w:rPr>
          <w:w w:val="66"/>
          <w:sz w:val="32"/>
        </w:rPr>
      </w:pPr>
      <w:r>
        <w:rPr>
          <w:rFonts w:hint="eastAsia"/>
          <w:w w:val="66"/>
          <w:sz w:val="32"/>
        </w:rPr>
        <w:t>拍卖出让公告</w:t>
      </w:r>
      <w:r>
        <w:rPr>
          <w:w w:val="66"/>
          <w:sz w:val="32"/>
        </w:rPr>
        <w:tab/>
      </w:r>
      <w:r>
        <w:rPr>
          <w:rFonts w:hint="eastAsia"/>
          <w:w w:val="66"/>
          <w:sz w:val="32"/>
          <w:u w:val="single"/>
          <w:lang w:val="en-US" w:eastAsia="zh-CN"/>
        </w:rPr>
        <w:t>3</w:t>
      </w:r>
      <w:r>
        <w:rPr>
          <w:w w:val="66"/>
          <w:sz w:val="32"/>
          <w:u w:val="single"/>
        </w:rPr>
        <w:t>-9</w:t>
      </w:r>
    </w:p>
    <w:p>
      <w:pPr>
        <w:numPr>
          <w:ilvl w:val="0"/>
          <w:numId w:val="1"/>
        </w:numPr>
        <w:tabs>
          <w:tab w:val="right" w:leader="middleDot" w:pos="8222"/>
        </w:tabs>
        <w:ind w:left="105" w:right="-57" w:rightChars="-27" w:hanging="105" w:hangingChars="50"/>
        <w:rPr>
          <w:w w:val="66"/>
          <w:sz w:val="32"/>
        </w:rPr>
      </w:pPr>
      <w:r>
        <w:rPr>
          <w:rFonts w:hint="eastAsia"/>
          <w:w w:val="66"/>
          <w:sz w:val="32"/>
        </w:rPr>
        <w:t>拍卖出让须知</w:t>
      </w:r>
      <w:r>
        <w:rPr>
          <w:w w:val="66"/>
          <w:sz w:val="32"/>
        </w:rPr>
        <w:tab/>
      </w:r>
      <w:r>
        <w:rPr>
          <w:w w:val="66"/>
          <w:sz w:val="32"/>
          <w:u w:val="single"/>
        </w:rPr>
        <w:t>10</w:t>
      </w:r>
      <w:bookmarkStart w:id="0" w:name="OLE_LINK1"/>
      <w:bookmarkStart w:id="1" w:name="OLE_LINK2"/>
      <w:r>
        <w:rPr>
          <w:w w:val="66"/>
          <w:sz w:val="32"/>
          <w:u w:val="single"/>
        </w:rPr>
        <w:t>-</w:t>
      </w:r>
      <w:bookmarkEnd w:id="0"/>
      <w:bookmarkEnd w:id="1"/>
      <w:r>
        <w:rPr>
          <w:rFonts w:hint="eastAsia"/>
          <w:w w:val="66"/>
          <w:sz w:val="32"/>
          <w:u w:val="single"/>
          <w:lang w:val="en-US" w:eastAsia="zh-CN"/>
        </w:rPr>
        <w:t>20</w:t>
      </w:r>
    </w:p>
    <w:p>
      <w:pPr>
        <w:numPr>
          <w:ilvl w:val="0"/>
          <w:numId w:val="1"/>
        </w:numPr>
        <w:tabs>
          <w:tab w:val="right" w:leader="middleDot" w:pos="8222"/>
        </w:tabs>
        <w:ind w:left="105" w:right="-57" w:rightChars="-27" w:hanging="105" w:hangingChars="50"/>
        <w:rPr>
          <w:w w:val="66"/>
          <w:sz w:val="32"/>
        </w:rPr>
      </w:pPr>
      <w:r>
        <w:rPr>
          <w:rFonts w:hint="eastAsia"/>
          <w:w w:val="66"/>
          <w:sz w:val="32"/>
        </w:rPr>
        <w:t>竞买申请书</w:t>
      </w:r>
      <w:r>
        <w:rPr>
          <w:w w:val="66"/>
          <w:sz w:val="32"/>
        </w:rPr>
        <w:tab/>
      </w:r>
      <w:r>
        <w:rPr>
          <w:w w:val="66"/>
          <w:sz w:val="32"/>
          <w:u w:val="single"/>
        </w:rPr>
        <w:t>2</w:t>
      </w:r>
      <w:r>
        <w:rPr>
          <w:rFonts w:hint="eastAsia"/>
          <w:w w:val="66"/>
          <w:sz w:val="32"/>
          <w:u w:val="single"/>
          <w:lang w:val="en-US" w:eastAsia="zh-CN"/>
        </w:rPr>
        <w:t>1</w:t>
      </w:r>
    </w:p>
    <w:p>
      <w:pPr>
        <w:numPr>
          <w:ilvl w:val="0"/>
          <w:numId w:val="1"/>
        </w:numPr>
        <w:tabs>
          <w:tab w:val="right" w:leader="middleDot" w:pos="8222"/>
        </w:tabs>
        <w:ind w:left="105" w:right="-57" w:rightChars="-27" w:hanging="105" w:hangingChars="50"/>
        <w:rPr>
          <w:w w:val="66"/>
          <w:sz w:val="32"/>
        </w:rPr>
      </w:pPr>
      <w:r>
        <w:rPr>
          <w:rFonts w:hint="eastAsia"/>
          <w:w w:val="66"/>
          <w:sz w:val="32"/>
        </w:rPr>
        <w:t>法人证明书</w:t>
      </w:r>
      <w:r>
        <w:rPr>
          <w:w w:val="66"/>
          <w:sz w:val="32"/>
        </w:rPr>
        <w:tab/>
      </w:r>
      <w:r>
        <w:rPr>
          <w:w w:val="66"/>
          <w:sz w:val="32"/>
          <w:u w:val="single"/>
        </w:rPr>
        <w:t>2</w:t>
      </w:r>
      <w:r>
        <w:rPr>
          <w:rFonts w:hint="eastAsia"/>
          <w:w w:val="66"/>
          <w:sz w:val="32"/>
          <w:u w:val="single"/>
          <w:lang w:val="en-US" w:eastAsia="zh-CN"/>
        </w:rPr>
        <w:t>2</w:t>
      </w:r>
    </w:p>
    <w:p>
      <w:pPr>
        <w:numPr>
          <w:ilvl w:val="0"/>
          <w:numId w:val="1"/>
        </w:numPr>
        <w:tabs>
          <w:tab w:val="right" w:leader="middleDot" w:pos="8222"/>
        </w:tabs>
        <w:ind w:left="105" w:right="-57" w:rightChars="-27" w:hanging="105" w:hangingChars="50"/>
        <w:rPr>
          <w:w w:val="66"/>
          <w:sz w:val="32"/>
        </w:rPr>
      </w:pPr>
      <w:r>
        <w:rPr>
          <w:rFonts w:hint="eastAsia"/>
          <w:w w:val="66"/>
          <w:sz w:val="32"/>
        </w:rPr>
        <w:t>授权委托书</w:t>
      </w:r>
      <w:r>
        <w:rPr>
          <w:w w:val="66"/>
          <w:sz w:val="32"/>
        </w:rPr>
        <w:tab/>
      </w:r>
      <w:r>
        <w:rPr>
          <w:w w:val="66"/>
          <w:sz w:val="32"/>
          <w:u w:val="single"/>
        </w:rPr>
        <w:t>2</w:t>
      </w:r>
      <w:r>
        <w:rPr>
          <w:rFonts w:hint="eastAsia"/>
          <w:w w:val="66"/>
          <w:sz w:val="32"/>
          <w:u w:val="single"/>
          <w:lang w:val="en-US" w:eastAsia="zh-CN"/>
        </w:rPr>
        <w:t>3</w:t>
      </w:r>
    </w:p>
    <w:p>
      <w:pPr>
        <w:numPr>
          <w:ilvl w:val="0"/>
          <w:numId w:val="1"/>
        </w:numPr>
        <w:tabs>
          <w:tab w:val="right" w:leader="middleDot" w:pos="8222"/>
        </w:tabs>
        <w:ind w:left="105" w:right="-57" w:rightChars="-27" w:hanging="105" w:hangingChars="50"/>
        <w:rPr>
          <w:w w:val="66"/>
          <w:sz w:val="32"/>
        </w:rPr>
      </w:pPr>
      <w:r>
        <w:rPr>
          <w:rFonts w:hint="eastAsia"/>
          <w:w w:val="66"/>
          <w:sz w:val="32"/>
        </w:rPr>
        <w:t>成交确认书</w:t>
      </w:r>
      <w:r>
        <w:rPr>
          <w:w w:val="66"/>
          <w:sz w:val="32"/>
        </w:rPr>
        <w:tab/>
      </w:r>
      <w:r>
        <w:rPr>
          <w:w w:val="66"/>
          <w:sz w:val="32"/>
          <w:u w:val="single"/>
        </w:rPr>
        <w:t>2</w:t>
      </w:r>
      <w:r>
        <w:rPr>
          <w:rFonts w:hint="eastAsia"/>
          <w:w w:val="66"/>
          <w:sz w:val="32"/>
          <w:u w:val="single"/>
          <w:lang w:val="en-US" w:eastAsia="zh-CN"/>
        </w:rPr>
        <w:t>4</w:t>
      </w:r>
      <w:r>
        <w:rPr>
          <w:w w:val="66"/>
          <w:sz w:val="32"/>
          <w:u w:val="single"/>
        </w:rPr>
        <w:t>-2</w:t>
      </w:r>
      <w:r>
        <w:rPr>
          <w:rFonts w:hint="eastAsia"/>
          <w:w w:val="66"/>
          <w:sz w:val="32"/>
          <w:u w:val="single"/>
          <w:lang w:val="en-US" w:eastAsia="zh-CN"/>
        </w:rPr>
        <w:t>5</w:t>
      </w:r>
    </w:p>
    <w:p>
      <w:pPr>
        <w:numPr>
          <w:ilvl w:val="0"/>
          <w:numId w:val="1"/>
        </w:numPr>
        <w:tabs>
          <w:tab w:val="right" w:leader="middleDot" w:pos="8222"/>
        </w:tabs>
        <w:ind w:left="105" w:right="-57" w:rightChars="-27" w:hanging="105" w:hangingChars="50"/>
        <w:rPr>
          <w:w w:val="66"/>
          <w:sz w:val="32"/>
          <w:u w:val="single"/>
        </w:rPr>
        <w:sectPr>
          <w:headerReference r:id="rId3" w:type="default"/>
          <w:footerReference r:id="rId4" w:type="default"/>
          <w:footerReference r:id="rId5" w:type="even"/>
          <w:pgSz w:w="11910" w:h="16840"/>
          <w:pgMar w:top="2098" w:right="1520" w:bottom="1985" w:left="1582" w:header="720" w:footer="720" w:gutter="0"/>
          <w:cols w:space="720" w:num="1"/>
        </w:sectPr>
      </w:pPr>
      <w:r>
        <w:rPr>
          <w:rFonts w:hint="eastAsia"/>
          <w:w w:val="66"/>
          <w:sz w:val="32"/>
        </w:rPr>
        <w:t>资源量核实报告</w:t>
      </w:r>
      <w:r>
        <w:rPr>
          <w:w w:val="66"/>
          <w:sz w:val="32"/>
        </w:rPr>
        <w:tab/>
      </w:r>
      <w:r>
        <w:rPr>
          <w:w w:val="66"/>
          <w:sz w:val="32"/>
          <w:u w:val="single"/>
        </w:rPr>
        <w:t>2</w:t>
      </w:r>
      <w:r>
        <w:rPr>
          <w:rFonts w:hint="eastAsia"/>
          <w:w w:val="66"/>
          <w:sz w:val="32"/>
          <w:u w:val="single"/>
          <w:lang w:val="en-US" w:eastAsia="zh-CN"/>
        </w:rPr>
        <w:t>6</w:t>
      </w:r>
      <w:r>
        <w:rPr>
          <w:w w:val="66"/>
          <w:sz w:val="32"/>
          <w:u w:val="single"/>
        </w:rPr>
        <w:t>-</w:t>
      </w:r>
      <w:r>
        <w:rPr>
          <w:rFonts w:hint="eastAsia"/>
          <w:w w:val="66"/>
          <w:sz w:val="32"/>
          <w:u w:val="single"/>
          <w:lang w:val="en-US" w:eastAsia="zh-CN"/>
        </w:rPr>
        <w:t>45</w:t>
      </w:r>
    </w:p>
    <w:p>
      <w:pPr>
        <w:snapToGrid w:val="0"/>
        <w:spacing w:line="560" w:lineRule="exact"/>
        <w:jc w:val="center"/>
        <w:rPr>
          <w:rFonts w:ascii="方正小标宋简体" w:hAnsi="宋体" w:eastAsia="方正小标宋简体" w:cs="宋体"/>
          <w:sz w:val="44"/>
          <w:szCs w:val="44"/>
        </w:rPr>
      </w:pPr>
      <w:r>
        <w:rPr>
          <w:rFonts w:hint="eastAsia" w:ascii="方正小标宋简体" w:hAnsi="宋体" w:eastAsia="方正小标宋简体" w:cs="宋体"/>
          <w:sz w:val="44"/>
          <w:szCs w:val="44"/>
        </w:rPr>
        <w:t>达州市</w:t>
      </w:r>
      <w:r>
        <w:rPr>
          <w:rFonts w:hint="eastAsia" w:ascii="方正小标宋简体" w:hAnsi="宋体" w:eastAsia="方正小标宋简体" w:cs="宋体"/>
          <w:sz w:val="44"/>
          <w:szCs w:val="44"/>
          <w:lang w:val="en-US" w:eastAsia="zh-CN"/>
        </w:rPr>
        <w:t>达川</w:t>
      </w:r>
      <w:r>
        <w:rPr>
          <w:rFonts w:hint="eastAsia" w:ascii="方正小标宋简体" w:hAnsi="宋体" w:eastAsia="方正小标宋简体" w:cs="宋体"/>
          <w:sz w:val="44"/>
          <w:szCs w:val="44"/>
        </w:rPr>
        <w:t>区自然资源局</w:t>
      </w:r>
    </w:p>
    <w:p>
      <w:pPr>
        <w:snapToGrid w:val="0"/>
        <w:spacing w:line="560" w:lineRule="exact"/>
        <w:jc w:val="center"/>
        <w:rPr>
          <w:rFonts w:ascii="方正小标宋简体" w:eastAsia="方正小标宋简体"/>
          <w:sz w:val="44"/>
          <w:szCs w:val="44"/>
        </w:rPr>
      </w:pPr>
      <w:r>
        <w:rPr>
          <w:rFonts w:hint="eastAsia" w:ascii="方正小标宋简体" w:hAnsi="宋体" w:eastAsia="方正小标宋简体" w:cs="宋体"/>
          <w:sz w:val="44"/>
          <w:szCs w:val="44"/>
        </w:rPr>
        <w:t>达州市公共资源交易服务中心</w:t>
      </w:r>
    </w:p>
    <w:p>
      <w:pPr>
        <w:snapToGrid w:val="0"/>
        <w:spacing w:line="560" w:lineRule="exact"/>
        <w:jc w:val="center"/>
        <w:rPr>
          <w:rFonts w:ascii="方正小标宋简体" w:hAnsi="宋体" w:eastAsia="方正小标宋简体"/>
          <w:sz w:val="36"/>
          <w:szCs w:val="36"/>
        </w:rPr>
      </w:pPr>
      <w:r>
        <w:rPr>
          <w:rFonts w:hint="eastAsia" w:ascii="方正小标宋简体" w:hAnsi="宋体" w:eastAsia="方正小标宋简体" w:cs="宋体"/>
          <w:sz w:val="44"/>
          <w:szCs w:val="44"/>
          <w:lang w:val="en-US" w:eastAsia="zh-CN"/>
        </w:rPr>
        <w:t>达川区石桥镇麻油沟村后寨门砂、页岩矿等四宗</w:t>
      </w:r>
      <w:r>
        <w:rPr>
          <w:rFonts w:hint="eastAsia" w:ascii="方正小标宋简体" w:hAnsi="宋体" w:eastAsia="方正小标宋简体"/>
          <w:sz w:val="44"/>
          <w:szCs w:val="44"/>
        </w:rPr>
        <w:t>采矿权公开</w:t>
      </w:r>
      <w:r>
        <w:rPr>
          <w:rFonts w:hint="eastAsia" w:ascii="方正小标宋简体" w:eastAsia="方正小标宋简体"/>
          <w:sz w:val="44"/>
          <w:szCs w:val="44"/>
        </w:rPr>
        <w:t>拍卖出</w:t>
      </w:r>
      <w:r>
        <w:rPr>
          <w:rFonts w:hint="eastAsia" w:ascii="方正小标宋简体" w:hAnsi="宋体" w:eastAsia="方正小标宋简体" w:cs="宋体"/>
          <w:sz w:val="44"/>
          <w:szCs w:val="44"/>
        </w:rPr>
        <w:t>让</w:t>
      </w:r>
      <w:r>
        <w:rPr>
          <w:rFonts w:hint="eastAsia" w:ascii="方正小标宋简体" w:eastAsia="方正小标宋简体"/>
          <w:sz w:val="44"/>
          <w:szCs w:val="44"/>
        </w:rPr>
        <w:t>公告</w:t>
      </w:r>
    </w:p>
    <w:p>
      <w:pPr>
        <w:snapToGrid w:val="0"/>
        <w:spacing w:line="560" w:lineRule="exact"/>
        <w:jc w:val="center"/>
        <w:rPr>
          <w:rFonts w:ascii="宋体" w:cs="宋体"/>
          <w:b/>
          <w:color w:val="000000"/>
          <w:sz w:val="28"/>
          <w:szCs w:val="28"/>
        </w:rPr>
      </w:pPr>
      <w:r>
        <w:rPr>
          <w:rFonts w:ascii="宋体" w:hAnsi="宋体" w:cs="宋体"/>
          <w:b/>
          <w:color w:val="000000"/>
          <w:sz w:val="28"/>
          <w:szCs w:val="28"/>
        </w:rPr>
        <w:t>DSK</w:t>
      </w:r>
      <w:r>
        <w:rPr>
          <w:rFonts w:hint="eastAsia" w:ascii="宋体" w:hAnsi="宋体" w:cs="宋体"/>
          <w:b/>
          <w:color w:val="000000"/>
          <w:sz w:val="28"/>
          <w:szCs w:val="28"/>
          <w:lang w:val="en-US" w:eastAsia="zh-CN"/>
        </w:rPr>
        <w:t>D</w:t>
      </w:r>
      <w:r>
        <w:rPr>
          <w:rFonts w:ascii="宋体" w:hAnsi="宋体" w:cs="宋体"/>
          <w:b/>
          <w:color w:val="000000"/>
          <w:sz w:val="28"/>
          <w:szCs w:val="28"/>
        </w:rPr>
        <w:t xml:space="preserve"> (P)</w:t>
      </w:r>
      <w:r>
        <w:rPr>
          <w:rFonts w:hint="eastAsia" w:ascii="宋体" w:hAnsi="宋体" w:cs="宋体"/>
          <w:b/>
          <w:color w:val="000000"/>
          <w:sz w:val="28"/>
          <w:szCs w:val="28"/>
        </w:rPr>
        <w:t>〔</w:t>
      </w:r>
      <w:r>
        <w:rPr>
          <w:rFonts w:ascii="宋体" w:hAnsi="宋体" w:cs="宋体"/>
          <w:b/>
          <w:color w:val="000000"/>
          <w:sz w:val="28"/>
          <w:szCs w:val="28"/>
        </w:rPr>
        <w:t>202</w:t>
      </w:r>
      <w:r>
        <w:rPr>
          <w:rFonts w:hint="eastAsia" w:ascii="宋体" w:hAnsi="宋体" w:cs="宋体"/>
          <w:b/>
          <w:color w:val="000000"/>
          <w:sz w:val="28"/>
          <w:szCs w:val="28"/>
          <w:lang w:val="en-US" w:eastAsia="zh-CN"/>
        </w:rPr>
        <w:t>1</w:t>
      </w:r>
      <w:r>
        <w:rPr>
          <w:rFonts w:hint="eastAsia" w:ascii="宋体" w:hAnsi="宋体" w:cs="宋体"/>
          <w:b/>
          <w:color w:val="000000"/>
          <w:sz w:val="28"/>
          <w:szCs w:val="28"/>
        </w:rPr>
        <w:t>〕</w:t>
      </w:r>
      <w:r>
        <w:rPr>
          <w:rFonts w:hint="eastAsia" w:ascii="宋体" w:hAnsi="宋体" w:cs="宋体"/>
          <w:b/>
          <w:color w:val="000000"/>
          <w:sz w:val="28"/>
          <w:szCs w:val="28"/>
          <w:lang w:val="en-US" w:eastAsia="zh-CN"/>
        </w:rPr>
        <w:t>2</w:t>
      </w:r>
      <w:r>
        <w:rPr>
          <w:rFonts w:hint="eastAsia" w:ascii="宋体" w:hAnsi="宋体" w:cs="宋体"/>
          <w:b/>
          <w:color w:val="000000"/>
          <w:sz w:val="28"/>
          <w:szCs w:val="28"/>
        </w:rPr>
        <w:t>号</w:t>
      </w:r>
      <w:r>
        <w:rPr>
          <w:rFonts w:ascii="宋体" w:hAnsi="宋体" w:cs="宋体"/>
          <w:b/>
          <w:color w:val="000000"/>
          <w:sz w:val="28"/>
          <w:szCs w:val="28"/>
        </w:rPr>
        <w:t xml:space="preserve"> </w:t>
      </w:r>
    </w:p>
    <w:p>
      <w:pPr>
        <w:snapToGrid w:val="0"/>
        <w:spacing w:line="560" w:lineRule="exact"/>
        <w:jc w:val="center"/>
        <w:rPr>
          <w:rFonts w:ascii="宋体" w:cs="宋体"/>
          <w:b/>
          <w:color w:val="000000"/>
          <w:sz w:val="28"/>
          <w:szCs w:val="28"/>
        </w:rPr>
      </w:pPr>
    </w:p>
    <w:p>
      <w:pPr>
        <w:snapToGrid w:val="0"/>
        <w:spacing w:line="578" w:lineRule="exact"/>
        <w:ind w:firstLine="640" w:firstLineChars="200"/>
        <w:rPr>
          <w:rFonts w:ascii="仿宋" w:hAnsi="仿宋" w:eastAsia="仿宋" w:cs="宋体"/>
          <w:sz w:val="32"/>
          <w:szCs w:val="32"/>
        </w:rPr>
      </w:pPr>
      <w:r>
        <w:rPr>
          <w:rFonts w:hint="eastAsia" w:ascii="仿宋" w:hAnsi="仿宋" w:eastAsia="仿宋" w:cs="宋体"/>
          <w:color w:val="000000"/>
          <w:sz w:val="32"/>
          <w:szCs w:val="32"/>
        </w:rPr>
        <w:t>经达州市</w:t>
      </w:r>
      <w:r>
        <w:rPr>
          <w:rFonts w:hint="eastAsia" w:ascii="仿宋" w:hAnsi="仿宋" w:eastAsia="仿宋" w:cs="宋体"/>
          <w:color w:val="000000"/>
          <w:sz w:val="32"/>
          <w:szCs w:val="32"/>
          <w:lang w:val="en-US" w:eastAsia="zh-CN"/>
        </w:rPr>
        <w:t>达</w:t>
      </w:r>
      <w:r>
        <w:rPr>
          <w:rFonts w:hint="eastAsia" w:ascii="仿宋" w:hAnsi="仿宋" w:eastAsia="仿宋" w:cs="宋体"/>
          <w:color w:val="000000"/>
          <w:sz w:val="32"/>
          <w:szCs w:val="32"/>
        </w:rPr>
        <w:t>川区人民政府批准，</w:t>
      </w:r>
      <w:r>
        <w:rPr>
          <w:rFonts w:hint="eastAsia" w:ascii="仿宋" w:hAnsi="仿宋" w:eastAsia="仿宋"/>
          <w:sz w:val="32"/>
          <w:szCs w:val="32"/>
          <w:u w:val="single"/>
        </w:rPr>
        <w:t>达州市</w:t>
      </w:r>
      <w:r>
        <w:rPr>
          <w:rFonts w:hint="eastAsia" w:ascii="仿宋" w:hAnsi="仿宋" w:eastAsia="仿宋"/>
          <w:sz w:val="32"/>
          <w:szCs w:val="32"/>
          <w:u w:val="single"/>
          <w:lang w:val="en-US" w:eastAsia="zh-CN"/>
        </w:rPr>
        <w:t>达</w:t>
      </w:r>
      <w:r>
        <w:rPr>
          <w:rFonts w:hint="eastAsia" w:ascii="仿宋" w:hAnsi="仿宋" w:eastAsia="仿宋"/>
          <w:sz w:val="32"/>
          <w:szCs w:val="32"/>
          <w:u w:val="single"/>
        </w:rPr>
        <w:t>川区自然资源局</w:t>
      </w:r>
      <w:r>
        <w:rPr>
          <w:rFonts w:ascii="仿宋" w:hAnsi="仿宋" w:eastAsia="仿宋" w:cs="宋体"/>
          <w:color w:val="000000"/>
          <w:sz w:val="32"/>
          <w:szCs w:val="32"/>
        </w:rPr>
        <w:t>(</w:t>
      </w:r>
      <w:r>
        <w:rPr>
          <w:rFonts w:hint="eastAsia" w:ascii="仿宋" w:hAnsi="仿宋" w:eastAsia="仿宋" w:cs="宋体"/>
          <w:color w:val="000000"/>
          <w:sz w:val="32"/>
          <w:szCs w:val="32"/>
        </w:rPr>
        <w:t>出让人</w:t>
      </w:r>
      <w:r>
        <w:rPr>
          <w:rFonts w:ascii="仿宋" w:hAnsi="仿宋" w:eastAsia="仿宋" w:cs="宋体"/>
          <w:color w:val="000000"/>
          <w:sz w:val="32"/>
          <w:szCs w:val="32"/>
        </w:rPr>
        <w:t>)</w:t>
      </w:r>
      <w:r>
        <w:rPr>
          <w:rFonts w:hint="eastAsia" w:ascii="仿宋" w:hAnsi="仿宋" w:eastAsia="仿宋" w:cs="宋体"/>
          <w:color w:val="000000"/>
          <w:sz w:val="32"/>
          <w:szCs w:val="32"/>
        </w:rPr>
        <w:t>决定以拍卖方式出让</w:t>
      </w:r>
      <w:r>
        <w:rPr>
          <w:rFonts w:hint="eastAsia" w:ascii="仿宋" w:hAnsi="仿宋" w:eastAsia="仿宋" w:cs="Times New Roman"/>
          <w:sz w:val="32"/>
          <w:szCs w:val="32"/>
          <w:u w:val="single"/>
          <w:lang w:val="en-US" w:eastAsia="zh-CN"/>
        </w:rPr>
        <w:t>达川区石桥镇麻油沟村后寨门砂、页岩矿等四宗</w:t>
      </w:r>
      <w:r>
        <w:rPr>
          <w:rFonts w:hint="eastAsia" w:ascii="仿宋" w:hAnsi="仿宋" w:eastAsia="仿宋" w:cs="Times New Roman"/>
          <w:sz w:val="32"/>
          <w:szCs w:val="32"/>
          <w:u w:val="single"/>
        </w:rPr>
        <w:t>采</w:t>
      </w:r>
      <w:r>
        <w:rPr>
          <w:rFonts w:hint="eastAsia" w:ascii="仿宋" w:hAnsi="仿宋" w:eastAsia="仿宋"/>
          <w:sz w:val="32"/>
          <w:szCs w:val="32"/>
          <w:u w:val="single"/>
        </w:rPr>
        <w:t>矿权</w:t>
      </w:r>
      <w:r>
        <w:rPr>
          <w:rFonts w:hint="eastAsia" w:ascii="仿宋" w:hAnsi="仿宋" w:eastAsia="仿宋" w:cs="宋体"/>
          <w:color w:val="000000"/>
          <w:sz w:val="32"/>
          <w:szCs w:val="32"/>
        </w:rPr>
        <w:t>。达州市公共资源交易服务</w:t>
      </w:r>
      <w:r>
        <w:rPr>
          <w:rFonts w:hint="eastAsia" w:ascii="仿宋" w:hAnsi="仿宋" w:eastAsia="仿宋" w:cs="宋体"/>
          <w:sz w:val="32"/>
          <w:szCs w:val="32"/>
        </w:rPr>
        <w:t>中心受出让人委托对以上采矿权组织拍卖，现将有关事项公告如下：</w:t>
      </w:r>
    </w:p>
    <w:p>
      <w:pPr>
        <w:pStyle w:val="37"/>
        <w:numPr>
          <w:ilvl w:val="0"/>
          <w:numId w:val="2"/>
        </w:numPr>
        <w:snapToGrid w:val="0"/>
        <w:spacing w:line="578" w:lineRule="exact"/>
        <w:ind w:firstLineChars="0"/>
        <w:rPr>
          <w:rFonts w:ascii="黑体" w:hAnsi="黑体" w:eastAsia="黑体" w:cs="宋体"/>
          <w:sz w:val="32"/>
          <w:szCs w:val="32"/>
        </w:rPr>
      </w:pPr>
      <w:r>
        <w:rPr>
          <w:rFonts w:hint="eastAsia" w:ascii="黑体" w:eastAsia="黑体"/>
          <w:sz w:val="32"/>
          <w:szCs w:val="32"/>
        </w:rPr>
        <w:t>拍卖出让</w:t>
      </w:r>
      <w:r>
        <w:rPr>
          <w:rFonts w:hint="eastAsia" w:ascii="黑体" w:eastAsia="黑体"/>
          <w:color w:val="000000"/>
          <w:sz w:val="32"/>
          <w:szCs w:val="32"/>
        </w:rPr>
        <w:t>采矿</w:t>
      </w:r>
      <w:r>
        <w:rPr>
          <w:rFonts w:hint="eastAsia" w:ascii="黑体" w:eastAsia="黑体"/>
          <w:sz w:val="32"/>
          <w:szCs w:val="32"/>
        </w:rPr>
        <w:t>权的基本情况</w:t>
      </w:r>
    </w:p>
    <w:tbl>
      <w:tblPr>
        <w:tblStyle w:val="18"/>
        <w:tblW w:w="9215" w:type="dxa"/>
        <w:tblInd w:w="-4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84"/>
        <w:gridCol w:w="851"/>
        <w:gridCol w:w="425"/>
        <w:gridCol w:w="567"/>
        <w:gridCol w:w="709"/>
        <w:gridCol w:w="709"/>
        <w:gridCol w:w="425"/>
        <w:gridCol w:w="709"/>
        <w:gridCol w:w="567"/>
        <w:gridCol w:w="425"/>
        <w:gridCol w:w="425"/>
        <w:gridCol w:w="851"/>
        <w:gridCol w:w="741"/>
        <w:gridCol w:w="705"/>
        <w:gridCol w:w="8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6" w:hRule="atLeast"/>
        </w:trPr>
        <w:tc>
          <w:tcPr>
            <w:tcW w:w="284" w:type="dxa"/>
            <w:tcBorders>
              <w:top w:val="single" w:color="auto" w:sz="4" w:space="0"/>
              <w:left w:val="single" w:color="000000" w:sz="4" w:space="0"/>
              <w:bottom w:val="single" w:color="auto" w:sz="4" w:space="0"/>
              <w:right w:val="single" w:color="auto" w:sz="4" w:space="0"/>
            </w:tcBorders>
            <w:vAlign w:val="center"/>
          </w:tcPr>
          <w:p>
            <w:pPr>
              <w:jc w:val="center"/>
              <w:rPr>
                <w:rFonts w:ascii="宋体" w:hAnsi="宋体"/>
                <w:b/>
                <w:color w:val="FF0000"/>
                <w:sz w:val="18"/>
                <w:szCs w:val="18"/>
              </w:rPr>
            </w:pPr>
            <w:r>
              <w:rPr>
                <w:rFonts w:hint="eastAsia" w:ascii="宋体" w:hAnsi="宋体"/>
                <w:b/>
                <w:color w:val="FF0000"/>
                <w:sz w:val="18"/>
                <w:szCs w:val="18"/>
              </w:rPr>
              <w:t>序号</w:t>
            </w:r>
          </w:p>
        </w:tc>
        <w:tc>
          <w:tcPr>
            <w:tcW w:w="851" w:type="dxa"/>
            <w:tcBorders>
              <w:top w:val="single" w:color="auto" w:sz="4" w:space="0"/>
              <w:left w:val="single" w:color="auto" w:sz="4" w:space="0"/>
              <w:bottom w:val="single" w:color="auto" w:sz="4" w:space="0"/>
              <w:right w:val="single" w:color="000000" w:sz="4" w:space="0"/>
            </w:tcBorders>
            <w:vAlign w:val="center"/>
          </w:tcPr>
          <w:p>
            <w:pPr>
              <w:jc w:val="center"/>
              <w:rPr>
                <w:rFonts w:ascii="宋体" w:hAnsi="宋体"/>
                <w:b/>
                <w:color w:val="FF0000"/>
                <w:sz w:val="18"/>
                <w:szCs w:val="18"/>
              </w:rPr>
            </w:pPr>
            <w:r>
              <w:rPr>
                <w:rFonts w:hint="eastAsia" w:ascii="宋体" w:hAnsi="宋体"/>
                <w:b/>
                <w:color w:val="FF0000"/>
                <w:sz w:val="18"/>
                <w:szCs w:val="18"/>
              </w:rPr>
              <w:t>项目名称</w:t>
            </w:r>
          </w:p>
        </w:tc>
        <w:tc>
          <w:tcPr>
            <w:tcW w:w="42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color w:val="FF0000"/>
                <w:sz w:val="18"/>
                <w:szCs w:val="18"/>
              </w:rPr>
            </w:pPr>
            <w:r>
              <w:rPr>
                <w:rFonts w:hint="eastAsia" w:ascii="宋体" w:hAnsi="宋体"/>
                <w:b/>
                <w:color w:val="FF0000"/>
                <w:sz w:val="18"/>
                <w:szCs w:val="18"/>
              </w:rPr>
              <w:t>矿种</w:t>
            </w:r>
          </w:p>
        </w:tc>
        <w:tc>
          <w:tcPr>
            <w:tcW w:w="567" w:type="dxa"/>
            <w:tcBorders>
              <w:top w:val="single" w:color="auto" w:sz="4" w:space="0"/>
              <w:left w:val="single" w:color="auto" w:sz="4" w:space="0"/>
              <w:bottom w:val="single" w:color="auto" w:sz="4" w:space="0"/>
              <w:right w:val="single" w:color="000000" w:sz="4" w:space="0"/>
            </w:tcBorders>
            <w:vAlign w:val="center"/>
          </w:tcPr>
          <w:p>
            <w:pPr>
              <w:jc w:val="center"/>
              <w:rPr>
                <w:rFonts w:ascii="宋体" w:hAnsi="宋体"/>
                <w:b/>
                <w:color w:val="FF0000"/>
                <w:sz w:val="18"/>
                <w:szCs w:val="18"/>
              </w:rPr>
            </w:pPr>
            <w:r>
              <w:rPr>
                <w:rFonts w:hint="eastAsia" w:ascii="宋体" w:hAnsi="宋体"/>
                <w:b/>
                <w:color w:val="FF0000"/>
                <w:sz w:val="18"/>
                <w:szCs w:val="18"/>
              </w:rPr>
              <w:t>地理</w:t>
            </w:r>
          </w:p>
          <w:p>
            <w:pPr>
              <w:jc w:val="center"/>
              <w:rPr>
                <w:rFonts w:ascii="宋体" w:hAnsi="宋体"/>
                <w:b/>
                <w:color w:val="FF0000"/>
                <w:sz w:val="18"/>
                <w:szCs w:val="18"/>
              </w:rPr>
            </w:pPr>
            <w:r>
              <w:rPr>
                <w:rFonts w:hint="eastAsia" w:ascii="宋体" w:hAnsi="宋体"/>
                <w:b/>
                <w:color w:val="FF0000"/>
                <w:sz w:val="18"/>
                <w:szCs w:val="18"/>
              </w:rPr>
              <w:t>位置</w:t>
            </w:r>
          </w:p>
        </w:tc>
        <w:tc>
          <w:tcPr>
            <w:tcW w:w="70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color w:val="FF0000"/>
                <w:sz w:val="18"/>
                <w:szCs w:val="18"/>
              </w:rPr>
            </w:pPr>
            <w:r>
              <w:rPr>
                <w:rFonts w:hint="eastAsia" w:ascii="宋体" w:hAnsi="宋体"/>
                <w:b/>
                <w:color w:val="FF0000"/>
                <w:sz w:val="18"/>
                <w:szCs w:val="18"/>
              </w:rPr>
              <w:t>拐点范围坐标</w:t>
            </w:r>
          </w:p>
        </w:tc>
        <w:tc>
          <w:tcPr>
            <w:tcW w:w="709" w:type="dxa"/>
            <w:tcBorders>
              <w:top w:val="single" w:color="auto" w:sz="4" w:space="0"/>
              <w:left w:val="single" w:color="auto" w:sz="4" w:space="0"/>
              <w:bottom w:val="single" w:color="auto" w:sz="4" w:space="0"/>
              <w:right w:val="single" w:color="000000" w:sz="4" w:space="0"/>
            </w:tcBorders>
            <w:vAlign w:val="center"/>
          </w:tcPr>
          <w:p>
            <w:pPr>
              <w:jc w:val="center"/>
              <w:rPr>
                <w:rFonts w:ascii="宋体" w:hAnsi="宋体"/>
                <w:b/>
                <w:color w:val="FF0000"/>
                <w:sz w:val="18"/>
                <w:szCs w:val="18"/>
              </w:rPr>
            </w:pPr>
            <w:r>
              <w:rPr>
                <w:rFonts w:hint="eastAsia" w:ascii="宋体" w:hAnsi="宋体"/>
                <w:b/>
                <w:color w:val="FF0000"/>
                <w:sz w:val="18"/>
                <w:szCs w:val="18"/>
              </w:rPr>
              <w:t>面积</w:t>
            </w:r>
          </w:p>
          <w:p>
            <w:pPr>
              <w:jc w:val="center"/>
              <w:rPr>
                <w:rFonts w:ascii="宋体" w:hAnsi="宋体"/>
                <w:b/>
                <w:color w:val="FF0000"/>
                <w:sz w:val="18"/>
                <w:szCs w:val="18"/>
              </w:rPr>
            </w:pPr>
            <w:r>
              <w:rPr>
                <w:rFonts w:hint="eastAsia" w:ascii="宋体" w:hAnsi="宋体"/>
                <w:b/>
                <w:color w:val="FF0000"/>
                <w:sz w:val="18"/>
                <w:szCs w:val="18"/>
              </w:rPr>
              <w:t>(</w:t>
            </w:r>
            <w:r>
              <w:rPr>
                <w:rFonts w:hint="eastAsia" w:asciiTheme="minorEastAsia" w:hAnsiTheme="minorEastAsia" w:eastAsiaTheme="minorEastAsia"/>
                <w:b/>
                <w:color w:val="FF0000"/>
                <w:sz w:val="18"/>
                <w:szCs w:val="18"/>
              </w:rPr>
              <w:t>km</w:t>
            </w:r>
            <w:r>
              <w:rPr>
                <w:rFonts w:hint="eastAsia" w:asciiTheme="minorEastAsia" w:hAnsiTheme="minorEastAsia" w:eastAsiaTheme="minorEastAsia"/>
                <w:b/>
                <w:color w:val="FF0000"/>
                <w:sz w:val="18"/>
                <w:szCs w:val="18"/>
                <w:vertAlign w:val="superscript"/>
              </w:rPr>
              <w:t>2</w:t>
            </w:r>
            <w:r>
              <w:rPr>
                <w:rFonts w:hint="eastAsia" w:ascii="宋体" w:hAnsi="宋体"/>
                <w:b/>
                <w:color w:val="FF0000"/>
                <w:sz w:val="18"/>
                <w:szCs w:val="18"/>
              </w:rPr>
              <w:t>）</w:t>
            </w:r>
          </w:p>
        </w:tc>
        <w:tc>
          <w:tcPr>
            <w:tcW w:w="425" w:type="dxa"/>
            <w:tcBorders>
              <w:top w:val="single" w:color="auto" w:sz="4" w:space="0"/>
              <w:left w:val="single" w:color="auto" w:sz="4" w:space="0"/>
              <w:bottom w:val="single" w:color="auto" w:sz="4" w:space="0"/>
              <w:right w:val="single" w:color="000000" w:sz="4" w:space="0"/>
            </w:tcBorders>
            <w:vAlign w:val="center"/>
          </w:tcPr>
          <w:p>
            <w:pPr>
              <w:jc w:val="center"/>
              <w:rPr>
                <w:rFonts w:ascii="宋体" w:hAnsi="宋体"/>
                <w:b/>
                <w:color w:val="FF0000"/>
                <w:sz w:val="18"/>
                <w:szCs w:val="18"/>
              </w:rPr>
            </w:pPr>
            <w:r>
              <w:rPr>
                <w:rFonts w:hint="eastAsia" w:ascii="宋体" w:hAnsi="宋体"/>
                <w:b/>
                <w:color w:val="FF0000"/>
                <w:sz w:val="18"/>
                <w:szCs w:val="18"/>
              </w:rPr>
              <w:t>资源储量</w:t>
            </w:r>
          </w:p>
        </w:tc>
        <w:tc>
          <w:tcPr>
            <w:tcW w:w="709" w:type="dxa"/>
            <w:tcBorders>
              <w:top w:val="single" w:color="auto" w:sz="4" w:space="0"/>
              <w:left w:val="single" w:color="auto" w:sz="4" w:space="0"/>
              <w:bottom w:val="single" w:color="auto" w:sz="4" w:space="0"/>
              <w:right w:val="single" w:color="000000" w:sz="4" w:space="0"/>
            </w:tcBorders>
            <w:vAlign w:val="center"/>
          </w:tcPr>
          <w:p>
            <w:pPr>
              <w:jc w:val="center"/>
              <w:rPr>
                <w:rFonts w:ascii="宋体"/>
                <w:b/>
                <w:color w:val="FF0000"/>
                <w:sz w:val="18"/>
                <w:szCs w:val="18"/>
              </w:rPr>
            </w:pPr>
            <w:r>
              <w:rPr>
                <w:rFonts w:hint="eastAsia" w:ascii="宋体"/>
                <w:b/>
                <w:color w:val="FF0000"/>
                <w:sz w:val="18"/>
                <w:szCs w:val="18"/>
              </w:rPr>
              <w:t>开采标高（米）</w:t>
            </w:r>
          </w:p>
        </w:tc>
        <w:tc>
          <w:tcPr>
            <w:tcW w:w="567" w:type="dxa"/>
            <w:tcBorders>
              <w:top w:val="single" w:color="auto" w:sz="4" w:space="0"/>
              <w:left w:val="single" w:color="auto" w:sz="4" w:space="0"/>
              <w:bottom w:val="single" w:color="auto" w:sz="4" w:space="0"/>
              <w:right w:val="single" w:color="000000" w:sz="4" w:space="0"/>
            </w:tcBorders>
            <w:vAlign w:val="center"/>
          </w:tcPr>
          <w:p>
            <w:pPr>
              <w:jc w:val="center"/>
              <w:rPr>
                <w:rFonts w:ascii="宋体"/>
                <w:b/>
                <w:color w:val="FF0000"/>
                <w:sz w:val="18"/>
                <w:szCs w:val="18"/>
              </w:rPr>
            </w:pPr>
            <w:r>
              <w:rPr>
                <w:rFonts w:hint="eastAsia" w:ascii="宋体"/>
                <w:b/>
                <w:color w:val="FF0000"/>
                <w:sz w:val="18"/>
                <w:szCs w:val="18"/>
              </w:rPr>
              <w:t>资源开发利用情况</w:t>
            </w:r>
          </w:p>
        </w:tc>
        <w:tc>
          <w:tcPr>
            <w:tcW w:w="425" w:type="dxa"/>
            <w:tcBorders>
              <w:top w:val="single" w:color="auto" w:sz="4" w:space="0"/>
              <w:left w:val="single" w:color="auto" w:sz="4" w:space="0"/>
              <w:bottom w:val="single" w:color="auto" w:sz="4" w:space="0"/>
              <w:right w:val="single" w:color="000000" w:sz="4" w:space="0"/>
            </w:tcBorders>
            <w:vAlign w:val="center"/>
          </w:tcPr>
          <w:p>
            <w:pPr>
              <w:snapToGrid w:val="0"/>
              <w:spacing w:line="289" w:lineRule="atLeast"/>
              <w:jc w:val="center"/>
              <w:rPr>
                <w:rFonts w:ascii="宋体"/>
                <w:b/>
                <w:color w:val="FF0000"/>
                <w:sz w:val="18"/>
                <w:szCs w:val="18"/>
              </w:rPr>
            </w:pPr>
            <w:r>
              <w:rPr>
                <w:rFonts w:hint="eastAsia" w:ascii="宋体"/>
                <w:b/>
                <w:color w:val="FF0000"/>
                <w:sz w:val="18"/>
                <w:szCs w:val="18"/>
              </w:rPr>
              <w:t>出让年限</w:t>
            </w:r>
          </w:p>
        </w:tc>
        <w:tc>
          <w:tcPr>
            <w:tcW w:w="425" w:type="dxa"/>
            <w:tcBorders>
              <w:top w:val="single" w:color="auto" w:sz="4" w:space="0"/>
              <w:left w:val="single" w:color="auto" w:sz="4" w:space="0"/>
              <w:right w:val="single" w:color="auto" w:sz="4" w:space="0"/>
            </w:tcBorders>
            <w:vAlign w:val="center"/>
          </w:tcPr>
          <w:p>
            <w:pPr>
              <w:jc w:val="center"/>
              <w:rPr>
                <w:rFonts w:ascii="宋体"/>
                <w:b/>
                <w:color w:val="FF0000"/>
                <w:spacing w:val="-12"/>
                <w:sz w:val="18"/>
                <w:szCs w:val="18"/>
              </w:rPr>
            </w:pPr>
            <w:r>
              <w:rPr>
                <w:rFonts w:hint="eastAsia" w:ascii="宋体"/>
                <w:b/>
                <w:color w:val="FF0000"/>
                <w:spacing w:val="-12"/>
                <w:sz w:val="18"/>
                <w:szCs w:val="18"/>
              </w:rPr>
              <w:t>勘查投入</w:t>
            </w:r>
          </w:p>
        </w:tc>
        <w:tc>
          <w:tcPr>
            <w:tcW w:w="851" w:type="dxa"/>
            <w:tcBorders>
              <w:top w:val="single" w:color="auto" w:sz="4" w:space="0"/>
              <w:left w:val="single" w:color="auto" w:sz="4" w:space="0"/>
              <w:right w:val="single" w:color="000000" w:sz="4" w:space="0"/>
            </w:tcBorders>
            <w:vAlign w:val="center"/>
          </w:tcPr>
          <w:p>
            <w:pPr>
              <w:jc w:val="center"/>
              <w:rPr>
                <w:rFonts w:ascii="宋体"/>
                <w:b/>
                <w:color w:val="FF0000"/>
                <w:spacing w:val="-12"/>
                <w:sz w:val="18"/>
                <w:szCs w:val="18"/>
              </w:rPr>
            </w:pPr>
            <w:r>
              <w:rPr>
                <w:rFonts w:hint="eastAsia" w:ascii="宋体"/>
                <w:b/>
                <w:color w:val="FF0000"/>
                <w:spacing w:val="-12"/>
                <w:sz w:val="18"/>
                <w:szCs w:val="18"/>
              </w:rPr>
              <w:t>矿山地质环境保护及土地复垦要求</w:t>
            </w:r>
          </w:p>
        </w:tc>
        <w:tc>
          <w:tcPr>
            <w:tcW w:w="741" w:type="dxa"/>
            <w:tcBorders>
              <w:top w:val="single" w:color="auto" w:sz="4" w:space="0"/>
              <w:left w:val="single" w:color="auto" w:sz="4" w:space="0"/>
              <w:bottom w:val="single" w:color="auto" w:sz="4" w:space="0"/>
              <w:right w:val="single" w:color="000000" w:sz="4" w:space="0"/>
            </w:tcBorders>
            <w:vAlign w:val="center"/>
          </w:tcPr>
          <w:p>
            <w:pPr>
              <w:jc w:val="center"/>
              <w:rPr>
                <w:rFonts w:ascii="宋体" w:hAnsi="宋体"/>
                <w:b/>
                <w:color w:val="FF0000"/>
                <w:sz w:val="18"/>
                <w:szCs w:val="18"/>
              </w:rPr>
            </w:pPr>
            <w:r>
              <w:rPr>
                <w:rFonts w:hint="eastAsia" w:ascii="宋体" w:hAnsi="宋体"/>
                <w:b/>
                <w:color w:val="FF0000"/>
                <w:sz w:val="18"/>
                <w:szCs w:val="18"/>
              </w:rPr>
              <w:t>拍卖起价（万元）</w:t>
            </w:r>
          </w:p>
        </w:tc>
        <w:tc>
          <w:tcPr>
            <w:tcW w:w="705" w:type="dxa"/>
            <w:tcBorders>
              <w:top w:val="single" w:color="auto" w:sz="4" w:space="0"/>
              <w:left w:val="single" w:color="auto" w:sz="4" w:space="0"/>
              <w:bottom w:val="single" w:color="auto" w:sz="4" w:space="0"/>
              <w:right w:val="single" w:color="000000" w:sz="4" w:space="0"/>
            </w:tcBorders>
            <w:vAlign w:val="center"/>
          </w:tcPr>
          <w:p>
            <w:pPr>
              <w:jc w:val="center"/>
              <w:rPr>
                <w:rFonts w:ascii="宋体" w:hAnsi="宋体"/>
                <w:b/>
                <w:color w:val="FF0000"/>
                <w:spacing w:val="-6"/>
                <w:sz w:val="18"/>
                <w:szCs w:val="18"/>
              </w:rPr>
            </w:pPr>
            <w:r>
              <w:rPr>
                <w:rFonts w:hint="eastAsia" w:ascii="宋体" w:hAnsi="宋体"/>
                <w:b/>
                <w:color w:val="FF0000"/>
                <w:spacing w:val="-6"/>
                <w:sz w:val="18"/>
                <w:szCs w:val="18"/>
              </w:rPr>
              <w:t>增价</w:t>
            </w:r>
          </w:p>
          <w:p>
            <w:pPr>
              <w:jc w:val="center"/>
              <w:rPr>
                <w:rFonts w:ascii="宋体" w:hAnsi="宋体"/>
                <w:b/>
                <w:color w:val="FF0000"/>
                <w:spacing w:val="-32"/>
                <w:sz w:val="18"/>
                <w:szCs w:val="18"/>
              </w:rPr>
            </w:pPr>
            <w:r>
              <w:rPr>
                <w:rFonts w:hint="eastAsia" w:ascii="宋体" w:hAnsi="宋体"/>
                <w:b/>
                <w:color w:val="FF0000"/>
                <w:spacing w:val="-6"/>
                <w:sz w:val="18"/>
                <w:szCs w:val="18"/>
              </w:rPr>
              <w:t>幅度</w:t>
            </w:r>
          </w:p>
        </w:tc>
        <w:tc>
          <w:tcPr>
            <w:tcW w:w="822" w:type="dxa"/>
            <w:tcBorders>
              <w:top w:val="single" w:color="auto" w:sz="4" w:space="0"/>
              <w:left w:val="single" w:color="auto" w:sz="4" w:space="0"/>
              <w:bottom w:val="single" w:color="auto" w:sz="4" w:space="0"/>
              <w:right w:val="single" w:color="000000" w:sz="4" w:space="0"/>
            </w:tcBorders>
            <w:vAlign w:val="center"/>
          </w:tcPr>
          <w:p>
            <w:pPr>
              <w:jc w:val="center"/>
              <w:rPr>
                <w:rFonts w:ascii="宋体" w:hAnsi="宋体"/>
                <w:b/>
                <w:color w:val="FF0000"/>
                <w:sz w:val="18"/>
                <w:szCs w:val="18"/>
              </w:rPr>
            </w:pPr>
            <w:r>
              <w:rPr>
                <w:rFonts w:hint="eastAsia" w:ascii="宋体" w:hAnsi="宋体"/>
                <w:b/>
                <w:color w:val="FF0000"/>
                <w:sz w:val="18"/>
                <w:szCs w:val="18"/>
                <w:lang w:val="zh-CN" w:eastAsia="zh-CN"/>
              </w:rPr>
              <w:t>银行担保函</w:t>
            </w:r>
            <w:r>
              <w:rPr>
                <w:rFonts w:hint="eastAsia" w:ascii="宋体" w:hAnsi="宋体"/>
                <w:b/>
                <w:color w:val="FF0000"/>
                <w:sz w:val="18"/>
                <w:szCs w:val="18"/>
              </w:rPr>
              <w:t>（万元人民币）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53" w:hRule="atLeast"/>
        </w:trPr>
        <w:tc>
          <w:tcPr>
            <w:tcW w:w="284" w:type="dxa"/>
            <w:tcBorders>
              <w:top w:val="single" w:color="auto" w:sz="4" w:space="0"/>
              <w:left w:val="single" w:color="000000" w:sz="4" w:space="0"/>
              <w:bottom w:val="single" w:color="auto" w:sz="4" w:space="0"/>
              <w:right w:val="single" w:color="auto" w:sz="4" w:space="0"/>
            </w:tcBorders>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w:t>
            </w:r>
          </w:p>
        </w:tc>
        <w:tc>
          <w:tcPr>
            <w:tcW w:w="851" w:type="dxa"/>
            <w:tcBorders>
              <w:top w:val="single" w:color="auto" w:sz="4" w:space="0"/>
              <w:left w:val="single" w:color="auto" w:sz="4" w:space="0"/>
              <w:bottom w:val="single" w:color="auto" w:sz="4" w:space="0"/>
              <w:right w:val="single" w:color="000000" w:sz="4" w:space="0"/>
            </w:tcBorders>
            <w:vAlign w:val="center"/>
          </w:tcPr>
          <w:p>
            <w:pPr>
              <w:jc w:val="center"/>
              <w:rPr>
                <w:rFonts w:asciiTheme="minorEastAsia" w:hAnsiTheme="minorEastAsia" w:eastAsiaTheme="minorEastAsia"/>
                <w:sz w:val="18"/>
                <w:szCs w:val="18"/>
              </w:rPr>
            </w:pPr>
            <w:r>
              <w:rPr>
                <w:rFonts w:hint="default" w:asciiTheme="minorEastAsia" w:hAnsiTheme="minorEastAsia" w:eastAsiaTheme="minorEastAsia"/>
                <w:sz w:val="18"/>
                <w:szCs w:val="18"/>
                <w:lang w:val="zh-CN" w:eastAsia="zh-CN"/>
              </w:rPr>
              <w:t>达川区</w:t>
            </w:r>
            <w:r>
              <w:rPr>
                <w:rFonts w:hint="eastAsia" w:asciiTheme="minorEastAsia" w:hAnsiTheme="minorEastAsia" w:eastAsiaTheme="minorEastAsia"/>
                <w:sz w:val="18"/>
                <w:szCs w:val="18"/>
                <w:lang w:val="zh-CN" w:eastAsia="zh-CN"/>
              </w:rPr>
              <w:t>桥湾镇香炉村印合寨页岩矿</w:t>
            </w:r>
            <w:r>
              <w:rPr>
                <w:rFonts w:hint="default" w:asciiTheme="minorEastAsia" w:hAnsiTheme="minorEastAsia" w:eastAsiaTheme="minorEastAsia"/>
                <w:sz w:val="18"/>
                <w:szCs w:val="18"/>
                <w:lang w:val="en-US" w:eastAsia="zh-CN"/>
              </w:rPr>
              <w:t>采矿权</w:t>
            </w:r>
          </w:p>
        </w:tc>
        <w:tc>
          <w:tcPr>
            <w:tcW w:w="425"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lang w:val="zh-CN" w:eastAsia="zh-CN"/>
              </w:rPr>
              <w:t>页岩矿</w:t>
            </w:r>
          </w:p>
        </w:tc>
        <w:tc>
          <w:tcPr>
            <w:tcW w:w="567" w:type="dxa"/>
            <w:tcBorders>
              <w:top w:val="single" w:color="auto" w:sz="4" w:space="0"/>
              <w:left w:val="single" w:color="auto" w:sz="4" w:space="0"/>
              <w:bottom w:val="single" w:color="auto" w:sz="4" w:space="0"/>
              <w:right w:val="single" w:color="000000" w:sz="4" w:space="0"/>
            </w:tcBorders>
            <w:vAlign w:val="center"/>
          </w:tcPr>
          <w:p>
            <w:pPr>
              <w:jc w:val="center"/>
              <w:rPr>
                <w:rFonts w:asciiTheme="minorEastAsia" w:hAnsiTheme="minorEastAsia" w:eastAsiaTheme="minorEastAsia"/>
                <w:sz w:val="18"/>
                <w:szCs w:val="18"/>
              </w:rPr>
            </w:pPr>
            <w:r>
              <w:rPr>
                <w:rFonts w:hint="default" w:asciiTheme="minorEastAsia" w:hAnsiTheme="minorEastAsia" w:eastAsiaTheme="minorEastAsia"/>
                <w:sz w:val="18"/>
                <w:szCs w:val="18"/>
                <w:lang w:val="zh-CN" w:eastAsia="zh-CN"/>
              </w:rPr>
              <w:t>达川区</w:t>
            </w:r>
            <w:r>
              <w:rPr>
                <w:rFonts w:hint="eastAsia" w:asciiTheme="minorEastAsia" w:hAnsiTheme="minorEastAsia" w:eastAsiaTheme="minorEastAsia"/>
                <w:sz w:val="18"/>
                <w:szCs w:val="18"/>
                <w:lang w:val="zh-CN" w:eastAsia="zh-CN"/>
              </w:rPr>
              <w:t>桥湾镇香炉村印合寨</w:t>
            </w:r>
          </w:p>
        </w:tc>
        <w:tc>
          <w:tcPr>
            <w:tcW w:w="709" w:type="dxa"/>
            <w:tcBorders>
              <w:top w:val="single" w:color="auto" w:sz="4" w:space="0"/>
              <w:left w:val="single" w:color="auto" w:sz="4" w:space="0"/>
              <w:bottom w:val="single" w:color="auto" w:sz="4" w:space="0"/>
              <w:right w:val="single" w:color="auto" w:sz="4" w:space="0"/>
            </w:tcBorders>
            <w:vAlign w:val="center"/>
          </w:tcPr>
          <w:p>
            <w:pPr>
              <w:snapToGrid w:val="0"/>
              <w:spacing w:line="289"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详见《出让须知》</w:t>
            </w:r>
          </w:p>
        </w:tc>
        <w:tc>
          <w:tcPr>
            <w:tcW w:w="709" w:type="dxa"/>
            <w:tcBorders>
              <w:top w:val="single" w:color="auto" w:sz="4" w:space="0"/>
              <w:left w:val="single" w:color="auto" w:sz="4" w:space="0"/>
              <w:bottom w:val="single" w:color="auto" w:sz="4" w:space="0"/>
              <w:right w:val="single" w:color="000000" w:sz="4" w:space="0"/>
            </w:tcBorders>
            <w:vAlign w:val="center"/>
          </w:tcPr>
          <w:p>
            <w:pPr>
              <w:spacing w:line="40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lang w:val="en-US" w:eastAsia="zh-CN"/>
              </w:rPr>
              <w:t>0.1253</w:t>
            </w:r>
          </w:p>
        </w:tc>
        <w:tc>
          <w:tcPr>
            <w:tcW w:w="425" w:type="dxa"/>
            <w:tcBorders>
              <w:top w:val="single" w:color="auto" w:sz="4" w:space="0"/>
              <w:left w:val="single" w:color="auto" w:sz="4" w:space="0"/>
              <w:bottom w:val="single" w:color="auto" w:sz="4" w:space="0"/>
              <w:right w:val="single" w:color="000000" w:sz="4" w:space="0"/>
            </w:tcBorders>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详见附件</w:t>
            </w:r>
          </w:p>
        </w:tc>
        <w:tc>
          <w:tcPr>
            <w:tcW w:w="709" w:type="dxa"/>
            <w:tcBorders>
              <w:top w:val="single" w:color="auto" w:sz="4" w:space="0"/>
              <w:left w:val="single" w:color="auto" w:sz="4" w:space="0"/>
              <w:bottom w:val="single" w:color="auto" w:sz="4" w:space="0"/>
              <w:right w:val="single" w:color="000000" w:sz="4" w:space="0"/>
            </w:tcBorders>
            <w:vAlign w:val="center"/>
          </w:tcPr>
          <w:p>
            <w:pPr>
              <w:jc w:val="center"/>
              <w:rPr>
                <w:rFonts w:hint="eastAsia" w:asciiTheme="minorEastAsia" w:hAnsiTheme="minorEastAsia" w:eastAsiaTheme="minorEastAsia"/>
                <w:sz w:val="18"/>
                <w:szCs w:val="18"/>
                <w:lang w:val="en-US" w:eastAsia="zh-CN"/>
              </w:rPr>
            </w:pPr>
            <w:r>
              <w:rPr>
                <w:rFonts w:hint="eastAsia" w:asciiTheme="minorEastAsia" w:hAnsiTheme="minorEastAsia" w:eastAsiaTheme="minorEastAsia"/>
                <w:sz w:val="18"/>
                <w:szCs w:val="18"/>
                <w:lang w:val="en-US" w:eastAsia="zh-CN"/>
              </w:rPr>
              <w:t>+550m</w:t>
            </w:r>
          </w:p>
          <w:p>
            <w:pPr>
              <w:jc w:val="center"/>
              <w:rPr>
                <w:rFonts w:hint="eastAsia" w:asciiTheme="minorEastAsia" w:hAnsiTheme="minorEastAsia" w:eastAsiaTheme="minorEastAsia"/>
                <w:sz w:val="18"/>
                <w:szCs w:val="18"/>
                <w:lang w:val="en-US" w:eastAsia="zh-CN"/>
              </w:rPr>
            </w:pPr>
            <w:r>
              <w:rPr>
                <w:rFonts w:hint="eastAsia" w:asciiTheme="minorEastAsia" w:hAnsiTheme="minorEastAsia" w:eastAsiaTheme="minorEastAsia"/>
                <w:sz w:val="18"/>
                <w:szCs w:val="18"/>
                <w:lang w:val="en-US" w:eastAsia="zh-CN"/>
              </w:rPr>
              <w:t>～</w:t>
            </w:r>
          </w:p>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lang w:val="en-US" w:eastAsia="zh-CN"/>
              </w:rPr>
              <w:t>+410m</w:t>
            </w:r>
          </w:p>
        </w:tc>
        <w:tc>
          <w:tcPr>
            <w:tcW w:w="567" w:type="dxa"/>
            <w:tcBorders>
              <w:top w:val="single" w:color="auto" w:sz="4" w:space="0"/>
              <w:left w:val="single" w:color="auto" w:sz="4" w:space="0"/>
              <w:bottom w:val="single" w:color="auto" w:sz="4" w:space="0"/>
              <w:right w:val="single" w:color="000000" w:sz="4" w:space="0"/>
            </w:tcBorders>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425" w:type="dxa"/>
            <w:tcBorders>
              <w:top w:val="single" w:color="auto" w:sz="4" w:space="0"/>
              <w:left w:val="single" w:color="auto" w:sz="4" w:space="0"/>
              <w:bottom w:val="single" w:color="auto" w:sz="4" w:space="0"/>
              <w:right w:val="single" w:color="000000" w:sz="4" w:space="0"/>
            </w:tcBorders>
            <w:vAlign w:val="center"/>
          </w:tcPr>
          <w:p>
            <w:pPr>
              <w:snapToGrid w:val="0"/>
              <w:spacing w:line="289"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lang w:val="en-US" w:eastAsia="zh-CN"/>
              </w:rPr>
              <w:t>20</w:t>
            </w:r>
            <w:r>
              <w:rPr>
                <w:rFonts w:hint="eastAsia" w:asciiTheme="minorEastAsia" w:hAnsiTheme="minorEastAsia" w:eastAsiaTheme="minorEastAsia"/>
                <w:sz w:val="18"/>
                <w:szCs w:val="18"/>
              </w:rPr>
              <w:t>年</w:t>
            </w:r>
          </w:p>
        </w:tc>
        <w:tc>
          <w:tcPr>
            <w:tcW w:w="425"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851" w:type="dxa"/>
            <w:tcBorders>
              <w:top w:val="single" w:color="auto" w:sz="4" w:space="0"/>
              <w:left w:val="single" w:color="auto" w:sz="4" w:space="0"/>
              <w:bottom w:val="single" w:color="auto" w:sz="4" w:space="0"/>
              <w:right w:val="single" w:color="000000" w:sz="4" w:space="0"/>
            </w:tcBorders>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露天开采</w:t>
            </w:r>
          </w:p>
        </w:tc>
        <w:tc>
          <w:tcPr>
            <w:tcW w:w="741" w:type="dxa"/>
            <w:tcBorders>
              <w:top w:val="single" w:color="auto" w:sz="4" w:space="0"/>
              <w:left w:val="single" w:color="auto" w:sz="4" w:space="0"/>
              <w:bottom w:val="single" w:color="auto" w:sz="4" w:space="0"/>
              <w:right w:val="single" w:color="000000" w:sz="4" w:space="0"/>
            </w:tcBorders>
            <w:vAlign w:val="center"/>
          </w:tcPr>
          <w:p>
            <w:pPr>
              <w:spacing w:line="40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lang w:val="en-US" w:eastAsia="zh-CN"/>
              </w:rPr>
              <w:t>710</w:t>
            </w:r>
          </w:p>
        </w:tc>
        <w:tc>
          <w:tcPr>
            <w:tcW w:w="705" w:type="dxa"/>
            <w:tcBorders>
              <w:top w:val="single" w:color="auto" w:sz="4" w:space="0"/>
              <w:left w:val="single" w:color="auto" w:sz="4" w:space="0"/>
              <w:bottom w:val="single" w:color="auto" w:sz="4" w:space="0"/>
              <w:right w:val="single" w:color="000000" w:sz="4" w:space="0"/>
            </w:tcBorders>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lang w:val="en-US" w:eastAsia="zh-CN"/>
              </w:rPr>
              <w:t>10</w:t>
            </w:r>
            <w:r>
              <w:rPr>
                <w:rFonts w:hint="eastAsia" w:asciiTheme="minorEastAsia" w:hAnsiTheme="minorEastAsia" w:eastAsiaTheme="minorEastAsia"/>
                <w:sz w:val="18"/>
                <w:szCs w:val="18"/>
              </w:rPr>
              <w:t>万元或</w:t>
            </w:r>
            <w:r>
              <w:rPr>
                <w:rFonts w:hint="eastAsia" w:asciiTheme="minorEastAsia" w:hAnsiTheme="minorEastAsia" w:eastAsiaTheme="minorEastAsia"/>
                <w:sz w:val="18"/>
                <w:szCs w:val="18"/>
                <w:lang w:val="en-US" w:eastAsia="zh-CN"/>
              </w:rPr>
              <w:t>10</w:t>
            </w:r>
            <w:r>
              <w:rPr>
                <w:rFonts w:hint="eastAsia" w:asciiTheme="minorEastAsia" w:hAnsiTheme="minorEastAsia" w:eastAsiaTheme="minorEastAsia"/>
                <w:sz w:val="18"/>
                <w:szCs w:val="18"/>
              </w:rPr>
              <w:t>万元的整倍数</w:t>
            </w:r>
          </w:p>
        </w:tc>
        <w:tc>
          <w:tcPr>
            <w:tcW w:w="822" w:type="dxa"/>
            <w:tcBorders>
              <w:top w:val="single" w:color="auto" w:sz="4" w:space="0"/>
              <w:left w:val="single" w:color="auto" w:sz="4" w:space="0"/>
              <w:bottom w:val="single" w:color="auto" w:sz="4" w:space="0"/>
              <w:right w:val="single" w:color="000000" w:sz="4" w:space="0"/>
            </w:tcBorders>
            <w:vAlign w:val="center"/>
          </w:tcPr>
          <w:p>
            <w:pPr>
              <w:jc w:val="center"/>
              <w:rPr>
                <w:rFonts w:hint="default" w:asciiTheme="minorEastAsia" w:hAnsiTheme="minorEastAsia" w:eastAsiaTheme="minorEastAsia"/>
                <w:sz w:val="18"/>
                <w:szCs w:val="18"/>
                <w:lang w:val="en-US" w:eastAsia="zh-CN"/>
              </w:rPr>
            </w:pPr>
            <w:r>
              <w:rPr>
                <w:rFonts w:hint="eastAsia" w:asciiTheme="minorEastAsia" w:hAnsiTheme="minorEastAsia" w:eastAsiaTheme="minorEastAsia"/>
                <w:sz w:val="18"/>
                <w:szCs w:val="18"/>
                <w:lang w:val="en-US" w:eastAsia="zh-CN"/>
              </w:rPr>
              <w:t>710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53" w:hRule="atLeast"/>
        </w:trPr>
        <w:tc>
          <w:tcPr>
            <w:tcW w:w="284" w:type="dxa"/>
            <w:tcBorders>
              <w:top w:val="single" w:color="auto" w:sz="4" w:space="0"/>
              <w:left w:val="single" w:color="000000" w:sz="4" w:space="0"/>
              <w:bottom w:val="single" w:color="auto" w:sz="4" w:space="0"/>
              <w:right w:val="single" w:color="auto" w:sz="4" w:space="0"/>
            </w:tcBorders>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w:t>
            </w:r>
          </w:p>
        </w:tc>
        <w:tc>
          <w:tcPr>
            <w:tcW w:w="851" w:type="dxa"/>
            <w:tcBorders>
              <w:top w:val="single" w:color="auto" w:sz="4" w:space="0"/>
              <w:left w:val="single" w:color="auto" w:sz="4" w:space="0"/>
              <w:bottom w:val="single" w:color="auto" w:sz="4" w:space="0"/>
              <w:right w:val="single" w:color="000000" w:sz="4" w:space="0"/>
            </w:tcBorders>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lang w:val="zh-CN" w:eastAsia="zh-CN"/>
              </w:rPr>
              <w:t>达川区桥湾镇插旗村插旗山岩矿</w:t>
            </w:r>
            <w:r>
              <w:rPr>
                <w:rFonts w:hint="eastAsia" w:asciiTheme="minorEastAsia" w:hAnsiTheme="minorEastAsia" w:eastAsiaTheme="minorEastAsia"/>
                <w:sz w:val="18"/>
                <w:szCs w:val="18"/>
                <w:lang w:val="en-US" w:eastAsia="zh-CN"/>
              </w:rPr>
              <w:t>采矿权</w:t>
            </w:r>
          </w:p>
        </w:tc>
        <w:tc>
          <w:tcPr>
            <w:tcW w:w="425"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lang w:val="zh-CN" w:eastAsia="zh-CN"/>
              </w:rPr>
              <w:t>页岩矿</w:t>
            </w:r>
          </w:p>
        </w:tc>
        <w:tc>
          <w:tcPr>
            <w:tcW w:w="567" w:type="dxa"/>
            <w:tcBorders>
              <w:top w:val="single" w:color="auto" w:sz="4" w:space="0"/>
              <w:left w:val="single" w:color="auto" w:sz="4" w:space="0"/>
              <w:bottom w:val="single" w:color="auto" w:sz="4" w:space="0"/>
              <w:right w:val="single" w:color="000000" w:sz="4" w:space="0"/>
            </w:tcBorders>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lang w:val="zh-CN" w:eastAsia="zh-CN"/>
              </w:rPr>
              <w:t>达川区桥湾镇插旗村插旗山</w:t>
            </w:r>
          </w:p>
        </w:tc>
        <w:tc>
          <w:tcPr>
            <w:tcW w:w="709" w:type="dxa"/>
            <w:tcBorders>
              <w:top w:val="single" w:color="auto" w:sz="4" w:space="0"/>
              <w:left w:val="single" w:color="auto" w:sz="4" w:space="0"/>
              <w:bottom w:val="single" w:color="auto" w:sz="4" w:space="0"/>
              <w:right w:val="single" w:color="auto" w:sz="4" w:space="0"/>
            </w:tcBorders>
            <w:vAlign w:val="center"/>
          </w:tcPr>
          <w:p>
            <w:pPr>
              <w:snapToGrid w:val="0"/>
              <w:spacing w:line="289"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详见《出让须知》</w:t>
            </w:r>
          </w:p>
        </w:tc>
        <w:tc>
          <w:tcPr>
            <w:tcW w:w="709" w:type="dxa"/>
            <w:tcBorders>
              <w:top w:val="single" w:color="auto" w:sz="4" w:space="0"/>
              <w:left w:val="single" w:color="auto" w:sz="4" w:space="0"/>
              <w:bottom w:val="single" w:color="auto" w:sz="4" w:space="0"/>
              <w:right w:val="single" w:color="000000" w:sz="4" w:space="0"/>
            </w:tcBorders>
            <w:vAlign w:val="center"/>
          </w:tcPr>
          <w:p>
            <w:pPr>
              <w:spacing w:line="40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lang w:val="en-US" w:eastAsia="zh-CN"/>
              </w:rPr>
              <w:t>0.1471</w:t>
            </w:r>
          </w:p>
        </w:tc>
        <w:tc>
          <w:tcPr>
            <w:tcW w:w="425" w:type="dxa"/>
            <w:tcBorders>
              <w:top w:val="single" w:color="auto" w:sz="4" w:space="0"/>
              <w:left w:val="single" w:color="auto" w:sz="4" w:space="0"/>
              <w:bottom w:val="single" w:color="auto" w:sz="4" w:space="0"/>
              <w:right w:val="single" w:color="000000" w:sz="4" w:space="0"/>
            </w:tcBorders>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详见附件</w:t>
            </w:r>
          </w:p>
        </w:tc>
        <w:tc>
          <w:tcPr>
            <w:tcW w:w="709" w:type="dxa"/>
            <w:tcBorders>
              <w:top w:val="single" w:color="auto" w:sz="4" w:space="0"/>
              <w:left w:val="single" w:color="auto" w:sz="4" w:space="0"/>
              <w:bottom w:val="single" w:color="auto" w:sz="4" w:space="0"/>
              <w:right w:val="single" w:color="000000" w:sz="4" w:space="0"/>
            </w:tcBorders>
            <w:vAlign w:val="center"/>
          </w:tcPr>
          <w:p>
            <w:pPr>
              <w:spacing w:line="400" w:lineRule="exact"/>
              <w:jc w:val="center"/>
              <w:rPr>
                <w:rFonts w:hint="eastAsia" w:asciiTheme="minorEastAsia" w:hAnsiTheme="minorEastAsia" w:eastAsiaTheme="minorEastAsia"/>
                <w:sz w:val="18"/>
                <w:szCs w:val="18"/>
                <w:lang w:val="en-US" w:eastAsia="zh-CN"/>
              </w:rPr>
            </w:pPr>
            <w:r>
              <w:rPr>
                <w:rFonts w:hint="eastAsia" w:asciiTheme="minorEastAsia" w:hAnsiTheme="minorEastAsia" w:eastAsiaTheme="minorEastAsia"/>
                <w:sz w:val="18"/>
                <w:szCs w:val="18"/>
                <w:lang w:val="en-US" w:eastAsia="zh-CN"/>
              </w:rPr>
              <w:t>+640m</w:t>
            </w:r>
          </w:p>
          <w:p>
            <w:pPr>
              <w:spacing w:line="400" w:lineRule="exact"/>
              <w:jc w:val="center"/>
              <w:rPr>
                <w:rFonts w:hint="eastAsia" w:asciiTheme="minorEastAsia" w:hAnsiTheme="minorEastAsia" w:eastAsiaTheme="minorEastAsia"/>
                <w:sz w:val="18"/>
                <w:szCs w:val="18"/>
                <w:lang w:val="en-US" w:eastAsia="zh-CN"/>
              </w:rPr>
            </w:pPr>
            <w:r>
              <w:rPr>
                <w:rFonts w:hint="eastAsia" w:asciiTheme="minorEastAsia" w:hAnsiTheme="minorEastAsia" w:eastAsiaTheme="minorEastAsia"/>
                <w:sz w:val="18"/>
                <w:szCs w:val="18"/>
                <w:lang w:val="en-US" w:eastAsia="zh-CN"/>
              </w:rPr>
              <w:t>～</w:t>
            </w:r>
          </w:p>
          <w:p>
            <w:pPr>
              <w:spacing w:line="40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lang w:val="en-US" w:eastAsia="zh-CN"/>
              </w:rPr>
              <w:t>+525m</w:t>
            </w:r>
          </w:p>
        </w:tc>
        <w:tc>
          <w:tcPr>
            <w:tcW w:w="567" w:type="dxa"/>
            <w:tcBorders>
              <w:top w:val="single" w:color="auto" w:sz="4" w:space="0"/>
              <w:left w:val="single" w:color="auto" w:sz="4" w:space="0"/>
              <w:bottom w:val="single" w:color="auto" w:sz="4" w:space="0"/>
              <w:right w:val="single" w:color="000000" w:sz="4" w:space="0"/>
            </w:tcBorders>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425" w:type="dxa"/>
            <w:tcBorders>
              <w:top w:val="single" w:color="auto" w:sz="4" w:space="0"/>
              <w:left w:val="single" w:color="auto" w:sz="4" w:space="0"/>
              <w:bottom w:val="single" w:color="auto" w:sz="4" w:space="0"/>
              <w:right w:val="single" w:color="000000" w:sz="4" w:space="0"/>
            </w:tcBorders>
            <w:vAlign w:val="center"/>
          </w:tcPr>
          <w:p>
            <w:pPr>
              <w:snapToGrid w:val="0"/>
              <w:spacing w:line="289"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lang w:val="en-US" w:eastAsia="zh-CN"/>
              </w:rPr>
              <w:t>20</w:t>
            </w:r>
            <w:r>
              <w:rPr>
                <w:rFonts w:hint="eastAsia" w:asciiTheme="minorEastAsia" w:hAnsiTheme="minorEastAsia" w:eastAsiaTheme="minorEastAsia"/>
                <w:sz w:val="18"/>
                <w:szCs w:val="18"/>
              </w:rPr>
              <w:t>年</w:t>
            </w:r>
          </w:p>
        </w:tc>
        <w:tc>
          <w:tcPr>
            <w:tcW w:w="425"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851" w:type="dxa"/>
            <w:tcBorders>
              <w:top w:val="single" w:color="auto" w:sz="4" w:space="0"/>
              <w:left w:val="single" w:color="auto" w:sz="4" w:space="0"/>
              <w:bottom w:val="single" w:color="auto" w:sz="4" w:space="0"/>
              <w:right w:val="single" w:color="000000" w:sz="4" w:space="0"/>
            </w:tcBorders>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露天开采</w:t>
            </w:r>
          </w:p>
        </w:tc>
        <w:tc>
          <w:tcPr>
            <w:tcW w:w="741" w:type="dxa"/>
            <w:tcBorders>
              <w:top w:val="single" w:color="auto" w:sz="4" w:space="0"/>
              <w:left w:val="single" w:color="auto" w:sz="4" w:space="0"/>
              <w:bottom w:val="single" w:color="auto" w:sz="4" w:space="0"/>
              <w:right w:val="single" w:color="000000" w:sz="4" w:space="0"/>
            </w:tcBorders>
            <w:vAlign w:val="center"/>
          </w:tcPr>
          <w:p>
            <w:pPr>
              <w:spacing w:line="400" w:lineRule="exact"/>
              <w:jc w:val="center"/>
              <w:rPr>
                <w:rFonts w:hint="default" w:asciiTheme="minorEastAsia" w:hAnsiTheme="minorEastAsia" w:eastAsiaTheme="minorEastAsia"/>
                <w:sz w:val="18"/>
                <w:szCs w:val="18"/>
                <w:lang w:val="en-US" w:eastAsia="zh-CN"/>
              </w:rPr>
            </w:pPr>
            <w:r>
              <w:rPr>
                <w:rFonts w:hint="eastAsia" w:asciiTheme="minorEastAsia" w:hAnsiTheme="minorEastAsia" w:eastAsiaTheme="minorEastAsia"/>
                <w:sz w:val="18"/>
                <w:szCs w:val="18"/>
                <w:lang w:val="en-US" w:eastAsia="zh-CN"/>
              </w:rPr>
              <w:t>735</w:t>
            </w:r>
          </w:p>
        </w:tc>
        <w:tc>
          <w:tcPr>
            <w:tcW w:w="705" w:type="dxa"/>
            <w:tcBorders>
              <w:top w:val="single" w:color="auto" w:sz="4" w:space="0"/>
              <w:left w:val="single" w:color="auto" w:sz="4" w:space="0"/>
              <w:bottom w:val="single" w:color="auto" w:sz="4" w:space="0"/>
              <w:right w:val="single" w:color="000000" w:sz="4" w:space="0"/>
            </w:tcBorders>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lang w:val="en-US" w:eastAsia="zh-CN"/>
              </w:rPr>
              <w:t>10</w:t>
            </w:r>
            <w:r>
              <w:rPr>
                <w:rFonts w:hint="eastAsia" w:asciiTheme="minorEastAsia" w:hAnsiTheme="minorEastAsia" w:eastAsiaTheme="minorEastAsia"/>
                <w:sz w:val="18"/>
                <w:szCs w:val="18"/>
              </w:rPr>
              <w:t>万元或</w:t>
            </w:r>
            <w:r>
              <w:rPr>
                <w:rFonts w:hint="eastAsia" w:asciiTheme="minorEastAsia" w:hAnsiTheme="minorEastAsia" w:eastAsiaTheme="minorEastAsia"/>
                <w:sz w:val="18"/>
                <w:szCs w:val="18"/>
                <w:lang w:val="en-US" w:eastAsia="zh-CN"/>
              </w:rPr>
              <w:t>10</w:t>
            </w:r>
            <w:r>
              <w:rPr>
                <w:rFonts w:hint="eastAsia" w:asciiTheme="minorEastAsia" w:hAnsiTheme="minorEastAsia" w:eastAsiaTheme="minorEastAsia"/>
                <w:sz w:val="18"/>
                <w:szCs w:val="18"/>
              </w:rPr>
              <w:t>万元的整倍数</w:t>
            </w:r>
          </w:p>
        </w:tc>
        <w:tc>
          <w:tcPr>
            <w:tcW w:w="822" w:type="dxa"/>
            <w:tcBorders>
              <w:top w:val="single" w:color="auto" w:sz="4" w:space="0"/>
              <w:left w:val="single" w:color="auto" w:sz="4" w:space="0"/>
              <w:bottom w:val="single" w:color="auto" w:sz="4" w:space="0"/>
              <w:right w:val="single" w:color="000000" w:sz="4" w:space="0"/>
            </w:tcBorders>
            <w:vAlign w:val="center"/>
          </w:tcPr>
          <w:p>
            <w:pPr>
              <w:jc w:val="center"/>
              <w:rPr>
                <w:rFonts w:hint="default" w:asciiTheme="minorEastAsia" w:hAnsiTheme="minorEastAsia" w:eastAsiaTheme="minorEastAsia"/>
                <w:sz w:val="18"/>
                <w:szCs w:val="18"/>
                <w:lang w:val="en-US" w:eastAsia="zh-CN"/>
              </w:rPr>
            </w:pPr>
            <w:r>
              <w:rPr>
                <w:rFonts w:hint="eastAsia" w:asciiTheme="minorEastAsia" w:hAnsiTheme="minorEastAsia" w:eastAsiaTheme="minorEastAsia"/>
                <w:sz w:val="18"/>
                <w:szCs w:val="18"/>
                <w:lang w:val="en-US" w:eastAsia="zh-CN"/>
              </w:rPr>
              <w:t>735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53" w:hRule="atLeast"/>
        </w:trPr>
        <w:tc>
          <w:tcPr>
            <w:tcW w:w="284" w:type="dxa"/>
            <w:tcBorders>
              <w:top w:val="single" w:color="auto" w:sz="4" w:space="0"/>
              <w:left w:val="single" w:color="000000" w:sz="4" w:space="0"/>
              <w:bottom w:val="single" w:color="auto" w:sz="4" w:space="0"/>
              <w:right w:val="single" w:color="auto" w:sz="4" w:space="0"/>
            </w:tcBorders>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3</w:t>
            </w:r>
          </w:p>
        </w:tc>
        <w:tc>
          <w:tcPr>
            <w:tcW w:w="851" w:type="dxa"/>
            <w:tcBorders>
              <w:top w:val="single" w:color="auto" w:sz="4" w:space="0"/>
              <w:left w:val="single" w:color="auto" w:sz="4" w:space="0"/>
              <w:bottom w:val="single" w:color="auto" w:sz="4" w:space="0"/>
              <w:right w:val="single" w:color="000000" w:sz="4" w:space="0"/>
            </w:tcBorders>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lang w:val="en-US" w:eastAsia="zh-CN"/>
              </w:rPr>
              <w:t>达川区石桥镇麻油沟村小儿坡页岩矿采矿权</w:t>
            </w:r>
          </w:p>
        </w:tc>
        <w:tc>
          <w:tcPr>
            <w:tcW w:w="425"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lang w:val="zh-CN" w:eastAsia="zh-CN"/>
              </w:rPr>
              <w:t>页岩矿</w:t>
            </w:r>
          </w:p>
        </w:tc>
        <w:tc>
          <w:tcPr>
            <w:tcW w:w="567" w:type="dxa"/>
            <w:tcBorders>
              <w:top w:val="single" w:color="auto" w:sz="4" w:space="0"/>
              <w:left w:val="single" w:color="auto" w:sz="4" w:space="0"/>
              <w:bottom w:val="single" w:color="auto" w:sz="4" w:space="0"/>
              <w:right w:val="single" w:color="000000" w:sz="4" w:space="0"/>
            </w:tcBorders>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lang w:val="en-US" w:eastAsia="zh-CN"/>
              </w:rPr>
              <w:t>达川区石桥镇麻油沟村小儿坡</w:t>
            </w:r>
          </w:p>
        </w:tc>
        <w:tc>
          <w:tcPr>
            <w:tcW w:w="709" w:type="dxa"/>
            <w:tcBorders>
              <w:top w:val="single" w:color="auto" w:sz="4" w:space="0"/>
              <w:left w:val="single" w:color="auto" w:sz="4" w:space="0"/>
              <w:bottom w:val="single" w:color="auto" w:sz="4" w:space="0"/>
              <w:right w:val="single" w:color="auto" w:sz="4" w:space="0"/>
            </w:tcBorders>
            <w:vAlign w:val="center"/>
          </w:tcPr>
          <w:p>
            <w:pPr>
              <w:snapToGrid w:val="0"/>
              <w:spacing w:line="289"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详见《出让须知》</w:t>
            </w:r>
          </w:p>
        </w:tc>
        <w:tc>
          <w:tcPr>
            <w:tcW w:w="709" w:type="dxa"/>
            <w:tcBorders>
              <w:top w:val="single" w:color="auto" w:sz="4" w:space="0"/>
              <w:left w:val="single" w:color="auto" w:sz="4" w:space="0"/>
              <w:bottom w:val="single" w:color="auto" w:sz="4" w:space="0"/>
              <w:right w:val="single" w:color="000000" w:sz="4" w:space="0"/>
            </w:tcBorders>
            <w:vAlign w:val="center"/>
          </w:tcPr>
          <w:p>
            <w:pPr>
              <w:spacing w:line="40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lang w:val="zh-CN" w:eastAsia="zh-CN"/>
              </w:rPr>
              <w:t>0.1272</w:t>
            </w:r>
          </w:p>
        </w:tc>
        <w:tc>
          <w:tcPr>
            <w:tcW w:w="425" w:type="dxa"/>
            <w:tcBorders>
              <w:top w:val="single" w:color="auto" w:sz="4" w:space="0"/>
              <w:left w:val="single" w:color="auto" w:sz="4" w:space="0"/>
              <w:bottom w:val="single" w:color="auto" w:sz="4" w:space="0"/>
              <w:right w:val="single" w:color="000000" w:sz="4" w:space="0"/>
            </w:tcBorders>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详见附件</w:t>
            </w:r>
          </w:p>
        </w:tc>
        <w:tc>
          <w:tcPr>
            <w:tcW w:w="709" w:type="dxa"/>
            <w:tcBorders>
              <w:top w:val="single" w:color="auto" w:sz="4" w:space="0"/>
              <w:left w:val="single" w:color="auto" w:sz="4" w:space="0"/>
              <w:bottom w:val="single" w:color="auto" w:sz="4" w:space="0"/>
              <w:right w:val="single" w:color="000000" w:sz="4" w:space="0"/>
            </w:tcBorders>
            <w:vAlign w:val="center"/>
          </w:tcPr>
          <w:p>
            <w:pPr>
              <w:spacing w:line="400" w:lineRule="exact"/>
              <w:jc w:val="center"/>
              <w:rPr>
                <w:rFonts w:hint="eastAsia" w:asciiTheme="minorEastAsia" w:hAnsiTheme="minorEastAsia" w:eastAsiaTheme="minorEastAsia"/>
                <w:sz w:val="18"/>
                <w:szCs w:val="18"/>
                <w:lang w:val="zh-CN" w:eastAsia="zh-CN"/>
              </w:rPr>
            </w:pPr>
            <w:r>
              <w:rPr>
                <w:rFonts w:hint="eastAsia" w:asciiTheme="minorEastAsia" w:hAnsiTheme="minorEastAsia" w:eastAsiaTheme="minorEastAsia"/>
                <w:sz w:val="18"/>
                <w:szCs w:val="18"/>
                <w:lang w:val="zh-CN" w:eastAsia="zh-CN"/>
              </w:rPr>
              <w:t>+500</w:t>
            </w:r>
          </w:p>
          <w:p>
            <w:pPr>
              <w:spacing w:line="400" w:lineRule="exact"/>
              <w:jc w:val="center"/>
              <w:rPr>
                <w:rFonts w:hint="eastAsia" w:asciiTheme="minorEastAsia" w:hAnsiTheme="minorEastAsia" w:eastAsiaTheme="minorEastAsia"/>
                <w:sz w:val="18"/>
                <w:szCs w:val="18"/>
                <w:lang w:val="zh-CN" w:eastAsia="zh-CN"/>
              </w:rPr>
            </w:pPr>
            <w:r>
              <w:rPr>
                <w:rFonts w:hint="eastAsia" w:asciiTheme="minorEastAsia" w:hAnsiTheme="minorEastAsia" w:eastAsiaTheme="minorEastAsia"/>
                <w:sz w:val="18"/>
                <w:szCs w:val="18"/>
                <w:lang w:val="zh-CN" w:eastAsia="zh-CN"/>
              </w:rPr>
              <w:t>～</w:t>
            </w:r>
          </w:p>
          <w:p>
            <w:pPr>
              <w:spacing w:line="40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lang w:val="zh-CN" w:eastAsia="zh-CN"/>
              </w:rPr>
              <w:t>+360m</w:t>
            </w:r>
          </w:p>
        </w:tc>
        <w:tc>
          <w:tcPr>
            <w:tcW w:w="567" w:type="dxa"/>
            <w:tcBorders>
              <w:top w:val="single" w:color="auto" w:sz="4" w:space="0"/>
              <w:left w:val="single" w:color="auto" w:sz="4" w:space="0"/>
              <w:bottom w:val="single" w:color="auto" w:sz="4" w:space="0"/>
              <w:right w:val="single" w:color="000000" w:sz="4" w:space="0"/>
            </w:tcBorders>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425" w:type="dxa"/>
            <w:tcBorders>
              <w:top w:val="single" w:color="auto" w:sz="4" w:space="0"/>
              <w:left w:val="single" w:color="auto" w:sz="4" w:space="0"/>
              <w:bottom w:val="single" w:color="auto" w:sz="4" w:space="0"/>
              <w:right w:val="single" w:color="000000" w:sz="4" w:space="0"/>
            </w:tcBorders>
            <w:vAlign w:val="center"/>
          </w:tcPr>
          <w:p>
            <w:pPr>
              <w:snapToGrid w:val="0"/>
              <w:spacing w:line="289"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lang w:val="en-US" w:eastAsia="zh-CN"/>
              </w:rPr>
              <w:t>20</w:t>
            </w:r>
            <w:r>
              <w:rPr>
                <w:rFonts w:hint="eastAsia" w:asciiTheme="minorEastAsia" w:hAnsiTheme="minorEastAsia" w:eastAsiaTheme="minorEastAsia"/>
                <w:sz w:val="18"/>
                <w:szCs w:val="18"/>
              </w:rPr>
              <w:t>年</w:t>
            </w:r>
          </w:p>
        </w:tc>
        <w:tc>
          <w:tcPr>
            <w:tcW w:w="425"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851" w:type="dxa"/>
            <w:tcBorders>
              <w:top w:val="single" w:color="auto" w:sz="4" w:space="0"/>
              <w:left w:val="single" w:color="auto" w:sz="4" w:space="0"/>
              <w:bottom w:val="single" w:color="auto" w:sz="4" w:space="0"/>
              <w:right w:val="single" w:color="000000" w:sz="4" w:space="0"/>
            </w:tcBorders>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露天开采</w:t>
            </w:r>
          </w:p>
        </w:tc>
        <w:tc>
          <w:tcPr>
            <w:tcW w:w="741" w:type="dxa"/>
            <w:tcBorders>
              <w:top w:val="single" w:color="auto" w:sz="4" w:space="0"/>
              <w:left w:val="single" w:color="auto" w:sz="4" w:space="0"/>
              <w:bottom w:val="single" w:color="auto" w:sz="4" w:space="0"/>
              <w:right w:val="single" w:color="000000" w:sz="4" w:space="0"/>
            </w:tcBorders>
            <w:vAlign w:val="center"/>
          </w:tcPr>
          <w:p>
            <w:pPr>
              <w:spacing w:line="400" w:lineRule="exact"/>
              <w:jc w:val="center"/>
              <w:rPr>
                <w:rFonts w:hint="default" w:asciiTheme="minorEastAsia" w:hAnsiTheme="minorEastAsia" w:eastAsiaTheme="minorEastAsia"/>
                <w:sz w:val="18"/>
                <w:szCs w:val="18"/>
                <w:lang w:val="en-US" w:eastAsia="zh-CN"/>
              </w:rPr>
            </w:pPr>
            <w:r>
              <w:rPr>
                <w:rFonts w:hint="eastAsia" w:asciiTheme="minorEastAsia" w:hAnsiTheme="minorEastAsia" w:eastAsiaTheme="minorEastAsia"/>
                <w:sz w:val="18"/>
                <w:szCs w:val="18"/>
                <w:lang w:val="en-US" w:eastAsia="zh-CN"/>
              </w:rPr>
              <w:t>725</w:t>
            </w:r>
          </w:p>
        </w:tc>
        <w:tc>
          <w:tcPr>
            <w:tcW w:w="705" w:type="dxa"/>
            <w:tcBorders>
              <w:top w:val="single" w:color="auto" w:sz="4" w:space="0"/>
              <w:left w:val="single" w:color="auto" w:sz="4" w:space="0"/>
              <w:bottom w:val="single" w:color="auto" w:sz="4" w:space="0"/>
              <w:right w:val="single" w:color="000000" w:sz="4" w:space="0"/>
            </w:tcBorders>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lang w:val="en-US" w:eastAsia="zh-CN"/>
              </w:rPr>
              <w:t>10</w:t>
            </w:r>
            <w:r>
              <w:rPr>
                <w:rFonts w:hint="eastAsia" w:asciiTheme="minorEastAsia" w:hAnsiTheme="minorEastAsia" w:eastAsiaTheme="minorEastAsia"/>
                <w:sz w:val="18"/>
                <w:szCs w:val="18"/>
              </w:rPr>
              <w:t>万元或</w:t>
            </w:r>
            <w:r>
              <w:rPr>
                <w:rFonts w:hint="eastAsia" w:asciiTheme="minorEastAsia" w:hAnsiTheme="minorEastAsia" w:eastAsiaTheme="minorEastAsia"/>
                <w:sz w:val="18"/>
                <w:szCs w:val="18"/>
                <w:lang w:val="en-US" w:eastAsia="zh-CN"/>
              </w:rPr>
              <w:t>10</w:t>
            </w:r>
            <w:r>
              <w:rPr>
                <w:rFonts w:hint="eastAsia" w:asciiTheme="minorEastAsia" w:hAnsiTheme="minorEastAsia" w:eastAsiaTheme="minorEastAsia"/>
                <w:sz w:val="18"/>
                <w:szCs w:val="18"/>
              </w:rPr>
              <w:t>万元的整倍数</w:t>
            </w:r>
          </w:p>
        </w:tc>
        <w:tc>
          <w:tcPr>
            <w:tcW w:w="822" w:type="dxa"/>
            <w:tcBorders>
              <w:top w:val="single" w:color="auto" w:sz="4" w:space="0"/>
              <w:left w:val="single" w:color="auto" w:sz="4" w:space="0"/>
              <w:bottom w:val="single" w:color="auto" w:sz="4" w:space="0"/>
              <w:right w:val="single" w:color="000000" w:sz="4" w:space="0"/>
            </w:tcBorders>
            <w:vAlign w:val="center"/>
          </w:tcPr>
          <w:p>
            <w:pPr>
              <w:jc w:val="center"/>
              <w:rPr>
                <w:rFonts w:hint="default" w:asciiTheme="minorEastAsia" w:hAnsiTheme="minorEastAsia" w:eastAsiaTheme="minorEastAsia"/>
                <w:sz w:val="18"/>
                <w:szCs w:val="18"/>
                <w:lang w:val="en-US" w:eastAsia="zh-CN"/>
              </w:rPr>
            </w:pPr>
            <w:r>
              <w:rPr>
                <w:rFonts w:hint="eastAsia" w:asciiTheme="minorEastAsia" w:hAnsiTheme="minorEastAsia" w:eastAsiaTheme="minorEastAsia"/>
                <w:sz w:val="18"/>
                <w:szCs w:val="18"/>
                <w:lang w:val="en-US" w:eastAsia="zh-CN"/>
              </w:rPr>
              <w:t>725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53" w:hRule="atLeast"/>
        </w:trPr>
        <w:tc>
          <w:tcPr>
            <w:tcW w:w="284" w:type="dxa"/>
            <w:tcBorders>
              <w:top w:val="single" w:color="auto" w:sz="4" w:space="0"/>
              <w:left w:val="single" w:color="000000" w:sz="4" w:space="0"/>
              <w:bottom w:val="single" w:color="auto" w:sz="4" w:space="0"/>
              <w:right w:val="single" w:color="auto" w:sz="4" w:space="0"/>
            </w:tcBorders>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4</w:t>
            </w:r>
          </w:p>
        </w:tc>
        <w:tc>
          <w:tcPr>
            <w:tcW w:w="851" w:type="dxa"/>
            <w:tcBorders>
              <w:top w:val="single" w:color="auto" w:sz="4" w:space="0"/>
              <w:left w:val="single" w:color="auto" w:sz="4" w:space="0"/>
              <w:bottom w:val="single" w:color="auto" w:sz="4" w:space="0"/>
              <w:right w:val="single" w:color="000000" w:sz="4" w:space="0"/>
            </w:tcBorders>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lang w:val="en-US" w:eastAsia="zh-CN"/>
              </w:rPr>
              <w:t>达川区石桥镇麻油沟村后寨门砂、页岩矿采矿权</w:t>
            </w:r>
          </w:p>
        </w:tc>
        <w:tc>
          <w:tcPr>
            <w:tcW w:w="425" w:type="dxa"/>
            <w:tcBorders>
              <w:top w:val="single" w:color="auto" w:sz="4" w:space="0"/>
              <w:left w:val="single" w:color="auto" w:sz="4" w:space="0"/>
              <w:bottom w:val="single" w:color="auto" w:sz="4" w:space="0"/>
              <w:right w:val="single" w:color="auto" w:sz="4" w:space="0"/>
            </w:tcBorders>
            <w:vAlign w:val="center"/>
          </w:tcPr>
          <w:p>
            <w:pPr>
              <w:jc w:val="both"/>
              <w:rPr>
                <w:rFonts w:asciiTheme="minorEastAsia" w:hAnsiTheme="minorEastAsia" w:eastAsiaTheme="minorEastAsia"/>
                <w:sz w:val="18"/>
                <w:szCs w:val="18"/>
              </w:rPr>
            </w:pPr>
            <w:r>
              <w:rPr>
                <w:rFonts w:hint="eastAsia" w:asciiTheme="minorEastAsia" w:hAnsiTheme="minorEastAsia" w:eastAsiaTheme="minorEastAsia"/>
                <w:sz w:val="18"/>
                <w:szCs w:val="18"/>
                <w:lang w:eastAsia="zh-CN"/>
              </w:rPr>
              <w:t>砂岩、</w:t>
            </w:r>
            <w:r>
              <w:rPr>
                <w:rFonts w:hint="eastAsia" w:asciiTheme="minorEastAsia" w:hAnsiTheme="minorEastAsia" w:eastAsiaTheme="minorEastAsia"/>
                <w:sz w:val="18"/>
                <w:szCs w:val="18"/>
              </w:rPr>
              <w:t>灰岩矿</w:t>
            </w:r>
          </w:p>
        </w:tc>
        <w:tc>
          <w:tcPr>
            <w:tcW w:w="567" w:type="dxa"/>
            <w:tcBorders>
              <w:top w:val="single" w:color="auto" w:sz="4" w:space="0"/>
              <w:left w:val="single" w:color="auto" w:sz="4" w:space="0"/>
              <w:bottom w:val="single" w:color="auto" w:sz="4" w:space="0"/>
              <w:right w:val="single" w:color="000000" w:sz="4" w:space="0"/>
            </w:tcBorders>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lang w:val="en-US" w:eastAsia="zh-CN"/>
              </w:rPr>
              <w:t>达川区石桥镇麻油沟村后寨门</w:t>
            </w:r>
          </w:p>
        </w:tc>
        <w:tc>
          <w:tcPr>
            <w:tcW w:w="709" w:type="dxa"/>
            <w:tcBorders>
              <w:top w:val="single" w:color="auto" w:sz="4" w:space="0"/>
              <w:left w:val="single" w:color="auto" w:sz="4" w:space="0"/>
              <w:bottom w:val="single" w:color="auto" w:sz="4" w:space="0"/>
              <w:right w:val="single" w:color="auto" w:sz="4" w:space="0"/>
            </w:tcBorders>
            <w:vAlign w:val="center"/>
          </w:tcPr>
          <w:p>
            <w:pPr>
              <w:snapToGrid w:val="0"/>
              <w:spacing w:line="289"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详见《出让须知》</w:t>
            </w:r>
          </w:p>
        </w:tc>
        <w:tc>
          <w:tcPr>
            <w:tcW w:w="709" w:type="dxa"/>
            <w:tcBorders>
              <w:top w:val="single" w:color="auto" w:sz="4" w:space="0"/>
              <w:left w:val="single" w:color="auto" w:sz="4" w:space="0"/>
              <w:bottom w:val="single" w:color="auto" w:sz="4" w:space="0"/>
              <w:right w:val="single" w:color="000000" w:sz="4" w:space="0"/>
            </w:tcBorders>
            <w:vAlign w:val="center"/>
          </w:tcPr>
          <w:p>
            <w:pPr>
              <w:jc w:val="center"/>
              <w:rPr>
                <w:rFonts w:hint="eastAsia" w:asciiTheme="minorEastAsia" w:hAnsiTheme="minorEastAsia" w:eastAsiaTheme="minorEastAsia"/>
                <w:sz w:val="18"/>
                <w:szCs w:val="18"/>
                <w:lang w:val="en-US" w:eastAsia="zh-CN"/>
              </w:rPr>
            </w:pPr>
            <w:r>
              <w:rPr>
                <w:rFonts w:hint="eastAsia" w:asciiTheme="minorEastAsia" w:hAnsiTheme="minorEastAsia" w:eastAsiaTheme="minorEastAsia"/>
                <w:sz w:val="18"/>
                <w:szCs w:val="18"/>
                <w:lang w:val="zh-CN" w:eastAsia="zh-CN"/>
              </w:rPr>
              <w:t>0.</w:t>
            </w:r>
            <w:r>
              <w:rPr>
                <w:rFonts w:hint="eastAsia" w:asciiTheme="minorEastAsia" w:hAnsiTheme="minorEastAsia" w:eastAsiaTheme="minorEastAsia"/>
                <w:sz w:val="18"/>
                <w:szCs w:val="18"/>
                <w:lang w:val="en-US" w:eastAsia="zh-CN"/>
              </w:rPr>
              <w:t>1112</w:t>
            </w:r>
          </w:p>
        </w:tc>
        <w:tc>
          <w:tcPr>
            <w:tcW w:w="425" w:type="dxa"/>
            <w:tcBorders>
              <w:top w:val="single" w:color="auto" w:sz="4" w:space="0"/>
              <w:left w:val="single" w:color="auto" w:sz="4" w:space="0"/>
              <w:bottom w:val="single" w:color="auto" w:sz="4" w:space="0"/>
              <w:right w:val="single" w:color="000000" w:sz="4" w:space="0"/>
            </w:tcBorders>
            <w:vAlign w:val="center"/>
          </w:tcPr>
          <w:p>
            <w:pPr>
              <w:jc w:val="center"/>
              <w:rPr>
                <w:rFonts w:hint="eastAsia" w:asciiTheme="minorEastAsia" w:hAnsiTheme="minorEastAsia" w:eastAsiaTheme="minorEastAsia"/>
                <w:sz w:val="18"/>
                <w:szCs w:val="18"/>
                <w:lang w:val="en-US" w:eastAsia="zh-CN"/>
              </w:rPr>
            </w:pPr>
            <w:r>
              <w:rPr>
                <w:rFonts w:hint="eastAsia" w:asciiTheme="minorEastAsia" w:hAnsiTheme="minorEastAsia" w:eastAsiaTheme="minorEastAsia"/>
                <w:sz w:val="18"/>
                <w:szCs w:val="18"/>
                <w:lang w:val="en-US" w:eastAsia="zh-CN"/>
              </w:rPr>
              <w:t>详见附件</w:t>
            </w:r>
          </w:p>
        </w:tc>
        <w:tc>
          <w:tcPr>
            <w:tcW w:w="709" w:type="dxa"/>
            <w:tcBorders>
              <w:top w:val="single" w:color="auto" w:sz="4" w:space="0"/>
              <w:left w:val="single" w:color="auto" w:sz="4" w:space="0"/>
              <w:bottom w:val="single" w:color="auto" w:sz="4" w:space="0"/>
              <w:right w:val="single" w:color="000000" w:sz="4" w:space="0"/>
            </w:tcBorders>
            <w:vAlign w:val="center"/>
          </w:tcPr>
          <w:p>
            <w:pPr>
              <w:jc w:val="center"/>
              <w:rPr>
                <w:rFonts w:hint="eastAsia" w:asciiTheme="minorEastAsia" w:hAnsiTheme="minorEastAsia" w:eastAsiaTheme="minorEastAsia"/>
                <w:sz w:val="18"/>
                <w:szCs w:val="18"/>
                <w:lang w:val="zh-CN" w:eastAsia="zh-CN"/>
              </w:rPr>
            </w:pPr>
            <w:r>
              <w:rPr>
                <w:rFonts w:hint="eastAsia" w:asciiTheme="minorEastAsia" w:hAnsiTheme="minorEastAsia" w:eastAsiaTheme="minorEastAsia"/>
                <w:sz w:val="18"/>
                <w:szCs w:val="18"/>
                <w:lang w:val="en-US" w:eastAsia="zh-CN"/>
              </w:rPr>
              <w:t>+</w:t>
            </w:r>
            <w:r>
              <w:rPr>
                <w:rFonts w:hint="eastAsia" w:asciiTheme="minorEastAsia" w:hAnsiTheme="minorEastAsia" w:eastAsiaTheme="minorEastAsia"/>
                <w:sz w:val="18"/>
                <w:szCs w:val="18"/>
                <w:lang w:val="zh-CN" w:eastAsia="zh-CN"/>
              </w:rPr>
              <w:t>640</w:t>
            </w:r>
          </w:p>
          <w:p>
            <w:pPr>
              <w:jc w:val="center"/>
              <w:rPr>
                <w:rFonts w:hint="eastAsia" w:asciiTheme="minorEastAsia" w:hAnsiTheme="minorEastAsia" w:eastAsiaTheme="minorEastAsia"/>
                <w:sz w:val="18"/>
                <w:szCs w:val="18"/>
                <w:lang w:val="zh-CN" w:eastAsia="zh-CN"/>
              </w:rPr>
            </w:pPr>
            <w:r>
              <w:rPr>
                <w:rFonts w:hint="eastAsia" w:asciiTheme="minorEastAsia" w:hAnsiTheme="minorEastAsia" w:eastAsiaTheme="minorEastAsia"/>
                <w:sz w:val="18"/>
                <w:szCs w:val="18"/>
                <w:lang w:val="zh-CN" w:eastAsia="zh-CN"/>
              </w:rPr>
              <w:t>～</w:t>
            </w:r>
          </w:p>
          <w:p>
            <w:pPr>
              <w:jc w:val="center"/>
              <w:rPr>
                <w:rFonts w:hint="eastAsia" w:asciiTheme="minorEastAsia" w:hAnsiTheme="minorEastAsia" w:eastAsiaTheme="minorEastAsia"/>
                <w:sz w:val="18"/>
                <w:szCs w:val="18"/>
                <w:lang w:val="en-US" w:eastAsia="zh-CN"/>
              </w:rPr>
            </w:pPr>
            <w:r>
              <w:rPr>
                <w:rFonts w:hint="eastAsia" w:asciiTheme="minorEastAsia" w:hAnsiTheme="minorEastAsia" w:eastAsiaTheme="minorEastAsia"/>
                <w:sz w:val="18"/>
                <w:szCs w:val="18"/>
                <w:lang w:val="en-US" w:eastAsia="zh-CN"/>
              </w:rPr>
              <w:t>+</w:t>
            </w:r>
            <w:r>
              <w:rPr>
                <w:rFonts w:hint="eastAsia" w:asciiTheme="minorEastAsia" w:hAnsiTheme="minorEastAsia" w:eastAsiaTheme="minorEastAsia"/>
                <w:sz w:val="18"/>
                <w:szCs w:val="18"/>
                <w:lang w:val="zh-CN" w:eastAsia="zh-CN"/>
              </w:rPr>
              <w:t>480m</w:t>
            </w:r>
          </w:p>
        </w:tc>
        <w:tc>
          <w:tcPr>
            <w:tcW w:w="567" w:type="dxa"/>
            <w:tcBorders>
              <w:top w:val="single" w:color="auto" w:sz="4" w:space="0"/>
              <w:left w:val="single" w:color="auto" w:sz="4" w:space="0"/>
              <w:bottom w:val="single" w:color="auto" w:sz="4" w:space="0"/>
              <w:right w:val="single" w:color="000000" w:sz="4" w:space="0"/>
            </w:tcBorders>
            <w:vAlign w:val="center"/>
          </w:tcPr>
          <w:p>
            <w:pPr>
              <w:jc w:val="center"/>
              <w:rPr>
                <w:rFonts w:hint="eastAsia" w:asciiTheme="minorEastAsia" w:hAnsiTheme="minorEastAsia" w:eastAsiaTheme="minorEastAsia"/>
                <w:sz w:val="18"/>
                <w:szCs w:val="18"/>
                <w:lang w:val="en-US" w:eastAsia="zh-CN"/>
              </w:rPr>
            </w:pPr>
            <w:r>
              <w:rPr>
                <w:rFonts w:hint="eastAsia" w:asciiTheme="minorEastAsia" w:hAnsiTheme="minorEastAsia" w:eastAsiaTheme="minorEastAsia"/>
                <w:sz w:val="18"/>
                <w:szCs w:val="18"/>
                <w:lang w:val="en-US" w:eastAsia="zh-CN"/>
              </w:rPr>
              <w:t>/</w:t>
            </w:r>
          </w:p>
        </w:tc>
        <w:tc>
          <w:tcPr>
            <w:tcW w:w="425" w:type="dxa"/>
            <w:tcBorders>
              <w:top w:val="single" w:color="auto" w:sz="4" w:space="0"/>
              <w:left w:val="single" w:color="auto" w:sz="4" w:space="0"/>
              <w:bottom w:val="single" w:color="auto" w:sz="4" w:space="0"/>
              <w:right w:val="single" w:color="000000" w:sz="4" w:space="0"/>
            </w:tcBorders>
            <w:vAlign w:val="center"/>
          </w:tcPr>
          <w:p>
            <w:pPr>
              <w:snapToGrid w:val="0"/>
              <w:spacing w:line="289"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lang w:val="en-US" w:eastAsia="zh-CN"/>
              </w:rPr>
              <w:t>20</w:t>
            </w:r>
            <w:r>
              <w:rPr>
                <w:rFonts w:hint="eastAsia" w:asciiTheme="minorEastAsia" w:hAnsiTheme="minorEastAsia" w:eastAsiaTheme="minorEastAsia"/>
                <w:sz w:val="18"/>
                <w:szCs w:val="18"/>
              </w:rPr>
              <w:t>年</w:t>
            </w:r>
          </w:p>
        </w:tc>
        <w:tc>
          <w:tcPr>
            <w:tcW w:w="425"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851" w:type="dxa"/>
            <w:tcBorders>
              <w:top w:val="single" w:color="auto" w:sz="4" w:space="0"/>
              <w:left w:val="single" w:color="auto" w:sz="4" w:space="0"/>
              <w:bottom w:val="single" w:color="auto" w:sz="4" w:space="0"/>
              <w:right w:val="single" w:color="000000" w:sz="4" w:space="0"/>
            </w:tcBorders>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露天开采</w:t>
            </w:r>
          </w:p>
        </w:tc>
        <w:tc>
          <w:tcPr>
            <w:tcW w:w="741" w:type="dxa"/>
            <w:tcBorders>
              <w:top w:val="single" w:color="auto" w:sz="4" w:space="0"/>
              <w:left w:val="single" w:color="auto" w:sz="4" w:space="0"/>
              <w:bottom w:val="single" w:color="auto" w:sz="4" w:space="0"/>
              <w:right w:val="single" w:color="000000" w:sz="4" w:space="0"/>
            </w:tcBorders>
            <w:vAlign w:val="center"/>
          </w:tcPr>
          <w:p>
            <w:pPr>
              <w:spacing w:line="400" w:lineRule="exact"/>
              <w:jc w:val="center"/>
              <w:rPr>
                <w:rFonts w:hint="default" w:asciiTheme="minorEastAsia" w:hAnsiTheme="minorEastAsia" w:eastAsiaTheme="minorEastAsia"/>
                <w:sz w:val="18"/>
                <w:szCs w:val="18"/>
                <w:lang w:val="en-US" w:eastAsia="zh-CN"/>
              </w:rPr>
            </w:pPr>
            <w:r>
              <w:rPr>
                <w:rFonts w:hint="eastAsia" w:asciiTheme="minorEastAsia" w:hAnsiTheme="minorEastAsia" w:eastAsiaTheme="minorEastAsia"/>
                <w:sz w:val="18"/>
                <w:szCs w:val="18"/>
                <w:lang w:val="en-US" w:eastAsia="zh-CN"/>
              </w:rPr>
              <w:t>715</w:t>
            </w:r>
          </w:p>
        </w:tc>
        <w:tc>
          <w:tcPr>
            <w:tcW w:w="705" w:type="dxa"/>
            <w:tcBorders>
              <w:top w:val="single" w:color="auto" w:sz="4" w:space="0"/>
              <w:left w:val="single" w:color="auto" w:sz="4" w:space="0"/>
              <w:bottom w:val="single" w:color="auto" w:sz="4" w:space="0"/>
              <w:right w:val="single" w:color="000000" w:sz="4" w:space="0"/>
            </w:tcBorders>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lang w:val="en-US" w:eastAsia="zh-CN"/>
              </w:rPr>
              <w:t>10</w:t>
            </w:r>
            <w:r>
              <w:rPr>
                <w:rFonts w:hint="eastAsia" w:asciiTheme="minorEastAsia" w:hAnsiTheme="minorEastAsia" w:eastAsiaTheme="minorEastAsia"/>
                <w:sz w:val="18"/>
                <w:szCs w:val="18"/>
              </w:rPr>
              <w:t>万元或</w:t>
            </w:r>
            <w:r>
              <w:rPr>
                <w:rFonts w:hint="eastAsia" w:asciiTheme="minorEastAsia" w:hAnsiTheme="minorEastAsia" w:eastAsiaTheme="minorEastAsia"/>
                <w:sz w:val="18"/>
                <w:szCs w:val="18"/>
                <w:lang w:val="en-US" w:eastAsia="zh-CN"/>
              </w:rPr>
              <w:t>10</w:t>
            </w:r>
            <w:r>
              <w:rPr>
                <w:rFonts w:hint="eastAsia" w:asciiTheme="minorEastAsia" w:hAnsiTheme="minorEastAsia" w:eastAsiaTheme="minorEastAsia"/>
                <w:sz w:val="18"/>
                <w:szCs w:val="18"/>
              </w:rPr>
              <w:t>万元的整倍数</w:t>
            </w:r>
          </w:p>
        </w:tc>
        <w:tc>
          <w:tcPr>
            <w:tcW w:w="822" w:type="dxa"/>
            <w:tcBorders>
              <w:top w:val="single" w:color="auto" w:sz="4" w:space="0"/>
              <w:left w:val="single" w:color="auto" w:sz="4" w:space="0"/>
              <w:bottom w:val="single" w:color="auto" w:sz="4" w:space="0"/>
              <w:right w:val="single" w:color="000000" w:sz="4" w:space="0"/>
            </w:tcBorders>
            <w:vAlign w:val="center"/>
          </w:tcPr>
          <w:p>
            <w:pPr>
              <w:jc w:val="center"/>
              <w:rPr>
                <w:rFonts w:hint="default" w:asciiTheme="minorEastAsia" w:hAnsiTheme="minorEastAsia" w:eastAsiaTheme="minorEastAsia"/>
                <w:sz w:val="18"/>
                <w:szCs w:val="18"/>
                <w:lang w:val="en-US" w:eastAsia="zh-CN"/>
              </w:rPr>
            </w:pPr>
            <w:r>
              <w:rPr>
                <w:rFonts w:hint="eastAsia" w:asciiTheme="minorEastAsia" w:hAnsiTheme="minorEastAsia" w:eastAsiaTheme="minorEastAsia"/>
                <w:sz w:val="18"/>
                <w:szCs w:val="18"/>
                <w:lang w:val="en-US" w:eastAsia="zh-CN"/>
              </w:rPr>
              <w:t>715</w:t>
            </w:r>
          </w:p>
        </w:tc>
      </w:tr>
    </w:tbl>
    <w:p>
      <w:pPr>
        <w:snapToGrid w:val="0"/>
        <w:spacing w:line="578" w:lineRule="exact"/>
        <w:ind w:firstLine="630"/>
        <w:rPr>
          <w:rFonts w:ascii="仿宋" w:hAnsi="仿宋" w:eastAsia="仿宋" w:cs="宋体"/>
          <w:sz w:val="32"/>
          <w:szCs w:val="32"/>
        </w:rPr>
      </w:pPr>
      <w:r>
        <w:rPr>
          <w:rFonts w:hint="eastAsia" w:ascii="仿宋" w:hAnsi="仿宋" w:eastAsia="仿宋" w:cs="宋体"/>
          <w:sz w:val="32"/>
          <w:szCs w:val="32"/>
        </w:rPr>
        <w:t>二、竞买人的资质条件</w:t>
      </w:r>
    </w:p>
    <w:p>
      <w:pPr>
        <w:snapToGrid w:val="0"/>
        <w:spacing w:line="578" w:lineRule="exact"/>
        <w:ind w:firstLine="630"/>
        <w:rPr>
          <w:rFonts w:ascii="仿宋" w:hAnsi="仿宋" w:eastAsia="仿宋" w:cs="宋体"/>
          <w:sz w:val="32"/>
          <w:szCs w:val="32"/>
        </w:rPr>
      </w:pPr>
      <w:r>
        <w:rPr>
          <w:rFonts w:hint="eastAsia" w:ascii="仿宋" w:hAnsi="仿宋" w:eastAsia="仿宋" w:cs="宋体"/>
          <w:sz w:val="32"/>
          <w:szCs w:val="32"/>
        </w:rPr>
        <w:t>（一）中华人民共和国境内的公司、企业和其他组织（除法律另有规定外）均可参加竞买。</w:t>
      </w:r>
    </w:p>
    <w:p>
      <w:pPr>
        <w:snapToGrid w:val="0"/>
        <w:spacing w:line="578" w:lineRule="exact"/>
        <w:ind w:firstLine="630"/>
        <w:rPr>
          <w:rFonts w:ascii="仿宋" w:hAnsi="仿宋" w:eastAsia="仿宋" w:cs="宋体"/>
          <w:sz w:val="32"/>
          <w:szCs w:val="32"/>
        </w:rPr>
      </w:pPr>
      <w:r>
        <w:rPr>
          <w:rFonts w:hint="eastAsia" w:ascii="仿宋" w:hAnsi="仿宋" w:eastAsia="仿宋" w:cs="宋体"/>
          <w:sz w:val="32"/>
          <w:szCs w:val="32"/>
        </w:rPr>
        <w:t>（二）参加竞买者具体报名程序按采矿权公开拍卖出让公告内容执行。</w:t>
      </w:r>
    </w:p>
    <w:p>
      <w:pPr>
        <w:snapToGrid w:val="0"/>
        <w:spacing w:line="578" w:lineRule="exact"/>
        <w:ind w:firstLine="630"/>
        <w:rPr>
          <w:rFonts w:ascii="仿宋" w:hAnsi="仿宋" w:eastAsia="仿宋" w:cs="宋体"/>
          <w:sz w:val="32"/>
          <w:szCs w:val="32"/>
        </w:rPr>
      </w:pPr>
      <w:r>
        <w:rPr>
          <w:rFonts w:hint="eastAsia" w:ascii="仿宋" w:hAnsi="仿宋" w:eastAsia="仿宋" w:cs="宋体"/>
          <w:sz w:val="32"/>
          <w:szCs w:val="32"/>
        </w:rPr>
        <w:t>（三）竞得采矿权人不得出卖原矿，只能用于矿产品深加工。</w:t>
      </w:r>
    </w:p>
    <w:p>
      <w:pPr>
        <w:snapToGrid w:val="0"/>
        <w:spacing w:line="578" w:lineRule="exact"/>
        <w:ind w:firstLine="630"/>
        <w:rPr>
          <w:rFonts w:ascii="仿宋" w:hAnsi="仿宋" w:eastAsia="仿宋" w:cs="宋体"/>
          <w:sz w:val="32"/>
          <w:szCs w:val="32"/>
        </w:rPr>
      </w:pPr>
      <w:r>
        <w:rPr>
          <w:rFonts w:hint="eastAsia" w:ascii="仿宋" w:hAnsi="仿宋" w:eastAsia="仿宋" w:cs="宋体"/>
          <w:sz w:val="32"/>
          <w:szCs w:val="32"/>
        </w:rPr>
        <w:t>（四）竞买人取得采矿权后，需到应急、环保、公安等部门办理相关手续，需临时占用或者征用土地的，应按规定办理用地审批手续，涉及林地的，需报林业行政主管部门审核批准，所需费用由采矿权人自行承担。</w:t>
      </w:r>
    </w:p>
    <w:p>
      <w:pPr>
        <w:snapToGrid w:val="0"/>
        <w:spacing w:line="578" w:lineRule="exact"/>
        <w:ind w:firstLine="640" w:firstLineChars="200"/>
        <w:rPr>
          <w:rFonts w:ascii="仿宋" w:hAnsi="仿宋" w:eastAsia="仿宋"/>
          <w:color w:val="000000"/>
          <w:sz w:val="32"/>
          <w:szCs w:val="32"/>
        </w:rPr>
      </w:pPr>
      <w:r>
        <w:rPr>
          <w:rFonts w:hint="eastAsia" w:ascii="仿宋" w:hAnsi="仿宋" w:eastAsia="仿宋"/>
          <w:color w:val="000000"/>
          <w:sz w:val="32"/>
          <w:szCs w:val="32"/>
        </w:rPr>
        <w:t>三、申请竞买方式及资格审查</w:t>
      </w:r>
    </w:p>
    <w:p>
      <w:pPr>
        <w:snapToGrid w:val="0"/>
        <w:spacing w:line="578" w:lineRule="exact"/>
        <w:ind w:firstLine="640" w:firstLineChars="200"/>
        <w:rPr>
          <w:rFonts w:ascii="仿宋" w:hAnsi="仿宋" w:eastAsia="仿宋"/>
          <w:color w:val="000000"/>
          <w:sz w:val="32"/>
          <w:szCs w:val="32"/>
        </w:rPr>
      </w:pPr>
      <w:r>
        <w:rPr>
          <w:rFonts w:hint="eastAsia" w:ascii="仿宋" w:hAnsi="仿宋" w:eastAsia="仿宋"/>
          <w:color w:val="000000"/>
          <w:sz w:val="32"/>
          <w:szCs w:val="32"/>
        </w:rPr>
        <w:t>本次采矿权拍卖出让实行网上报名，竞买申请人须在</w:t>
      </w:r>
      <w:r>
        <w:rPr>
          <w:rStyle w:val="23"/>
          <w:rFonts w:hint="eastAsia" w:ascii="仿宋" w:hAnsi="仿宋" w:eastAsia="仿宋"/>
          <w:color w:val="000000"/>
          <w:sz w:val="32"/>
          <w:szCs w:val="32"/>
          <w:shd w:val="clear" w:color="auto" w:fill="FFFFFF"/>
        </w:rPr>
        <w:t>达州市公共资源交易服务网（</w:t>
      </w:r>
      <w:r>
        <w:fldChar w:fldCharType="begin"/>
      </w:r>
      <w:r>
        <w:instrText xml:space="preserve"> HYPERLINK "http://www.dzggzy.cn" </w:instrText>
      </w:r>
      <w:r>
        <w:fldChar w:fldCharType="separate"/>
      </w:r>
      <w:r>
        <w:rPr>
          <w:rStyle w:val="23"/>
          <w:rFonts w:ascii="仿宋" w:hAnsi="仿宋" w:eastAsia="仿宋"/>
          <w:sz w:val="32"/>
          <w:szCs w:val="32"/>
          <w:shd w:val="clear" w:color="auto" w:fill="FFFFFF"/>
        </w:rPr>
        <w:t>http://www.dzggzy.cn</w:t>
      </w:r>
      <w:r>
        <w:rPr>
          <w:rStyle w:val="23"/>
          <w:rFonts w:ascii="仿宋" w:hAnsi="仿宋" w:eastAsia="仿宋"/>
          <w:sz w:val="32"/>
          <w:szCs w:val="32"/>
          <w:shd w:val="clear" w:color="auto" w:fill="FFFFFF"/>
        </w:rPr>
        <w:fldChar w:fldCharType="end"/>
      </w:r>
      <w:r>
        <w:rPr>
          <w:rStyle w:val="23"/>
          <w:rFonts w:hint="eastAsia" w:ascii="仿宋" w:hAnsi="仿宋" w:eastAsia="仿宋"/>
          <w:color w:val="000000"/>
          <w:sz w:val="32"/>
          <w:szCs w:val="32"/>
          <w:shd w:val="clear" w:color="auto" w:fill="FFFFFF"/>
        </w:rPr>
        <w:t>）查阅网上操作指南，完成用户注册、网上报名等</w:t>
      </w:r>
      <w:r>
        <w:rPr>
          <w:rFonts w:hint="eastAsia" w:ascii="仿宋" w:hAnsi="仿宋" w:eastAsia="仿宋"/>
          <w:color w:val="000000"/>
          <w:sz w:val="32"/>
          <w:szCs w:val="32"/>
        </w:rPr>
        <w:t>。</w:t>
      </w:r>
    </w:p>
    <w:p>
      <w:pPr>
        <w:snapToGrid w:val="0"/>
        <w:spacing w:line="578" w:lineRule="exact"/>
        <w:ind w:firstLine="713" w:firstLineChars="223"/>
        <w:rPr>
          <w:rStyle w:val="23"/>
          <w:rFonts w:ascii="仿宋" w:hAnsi="仿宋" w:eastAsia="仿宋"/>
          <w:color w:val="000000"/>
          <w:sz w:val="32"/>
          <w:szCs w:val="32"/>
        </w:rPr>
      </w:pPr>
      <w:r>
        <w:rPr>
          <w:rStyle w:val="23"/>
          <w:rFonts w:hint="eastAsia" w:ascii="仿宋" w:hAnsi="仿宋" w:eastAsia="仿宋"/>
          <w:color w:val="000000"/>
          <w:sz w:val="32"/>
          <w:szCs w:val="32"/>
        </w:rPr>
        <w:t>已完成用户注册的竞买申请人须在</w:t>
      </w:r>
      <w:r>
        <w:rPr>
          <w:rStyle w:val="23"/>
          <w:rFonts w:ascii="仿宋" w:hAnsi="仿宋" w:eastAsia="仿宋"/>
          <w:b/>
          <w:color w:val="FF0000"/>
          <w:sz w:val="32"/>
          <w:szCs w:val="32"/>
          <w:u w:val="single"/>
        </w:rPr>
        <w:t>2021</w:t>
      </w:r>
      <w:r>
        <w:rPr>
          <w:rStyle w:val="23"/>
          <w:rFonts w:hint="eastAsia" w:ascii="仿宋" w:hAnsi="仿宋" w:eastAsia="仿宋"/>
          <w:b/>
          <w:color w:val="FF0000"/>
          <w:sz w:val="32"/>
          <w:szCs w:val="32"/>
          <w:u w:val="single"/>
        </w:rPr>
        <w:t>年</w:t>
      </w:r>
      <w:r>
        <w:rPr>
          <w:rStyle w:val="23"/>
          <w:rFonts w:hint="eastAsia" w:ascii="仿宋" w:hAnsi="仿宋" w:eastAsia="仿宋"/>
          <w:b/>
          <w:color w:val="FF0000"/>
          <w:sz w:val="32"/>
          <w:szCs w:val="32"/>
          <w:u w:val="single"/>
          <w:lang w:val="en-US" w:eastAsia="zh-CN"/>
        </w:rPr>
        <w:t>6</w:t>
      </w:r>
      <w:r>
        <w:rPr>
          <w:rStyle w:val="23"/>
          <w:rFonts w:hint="eastAsia" w:ascii="仿宋" w:hAnsi="仿宋" w:eastAsia="仿宋"/>
          <w:b/>
          <w:color w:val="FF0000"/>
          <w:sz w:val="32"/>
          <w:szCs w:val="32"/>
          <w:u w:val="single"/>
        </w:rPr>
        <w:t>月</w:t>
      </w:r>
      <w:r>
        <w:rPr>
          <w:rStyle w:val="23"/>
          <w:rFonts w:hint="eastAsia" w:ascii="仿宋" w:hAnsi="仿宋" w:eastAsia="仿宋"/>
          <w:b/>
          <w:color w:val="FF0000"/>
          <w:sz w:val="32"/>
          <w:szCs w:val="32"/>
          <w:u w:val="single"/>
          <w:lang w:val="en-US" w:eastAsia="zh-CN"/>
        </w:rPr>
        <w:t>23</w:t>
      </w:r>
      <w:r>
        <w:rPr>
          <w:rStyle w:val="23"/>
          <w:rFonts w:hint="eastAsia" w:ascii="仿宋" w:hAnsi="仿宋" w:eastAsia="仿宋"/>
          <w:b/>
          <w:color w:val="FF0000"/>
          <w:sz w:val="32"/>
          <w:szCs w:val="32"/>
          <w:u w:val="single"/>
        </w:rPr>
        <w:t>日</w:t>
      </w:r>
      <w:r>
        <w:rPr>
          <w:rStyle w:val="23"/>
          <w:rFonts w:ascii="仿宋" w:hAnsi="仿宋" w:eastAsia="仿宋"/>
          <w:b/>
          <w:color w:val="FF0000"/>
          <w:sz w:val="32"/>
          <w:szCs w:val="32"/>
          <w:u w:val="single"/>
        </w:rPr>
        <w:t>17:00</w:t>
      </w:r>
      <w:r>
        <w:rPr>
          <w:rStyle w:val="23"/>
          <w:rFonts w:hint="eastAsia" w:ascii="仿宋" w:hAnsi="仿宋" w:eastAsia="仿宋"/>
          <w:color w:val="000000"/>
          <w:sz w:val="32"/>
          <w:szCs w:val="32"/>
        </w:rPr>
        <w:t>之前经达州市公共资源交易服务网（</w:t>
      </w:r>
      <w:r>
        <w:fldChar w:fldCharType="begin"/>
      </w:r>
      <w:r>
        <w:instrText xml:space="preserve"> HYPERLINK "http://www.dzggzy.cn/" </w:instrText>
      </w:r>
      <w:r>
        <w:fldChar w:fldCharType="separate"/>
      </w:r>
      <w:r>
        <w:rPr>
          <w:rStyle w:val="23"/>
          <w:rFonts w:ascii="仿宋" w:hAnsi="仿宋" w:eastAsia="仿宋"/>
          <w:color w:val="000000"/>
          <w:sz w:val="32"/>
          <w:szCs w:val="32"/>
        </w:rPr>
        <w:t>http://www.dzggzy.cn</w:t>
      </w:r>
      <w:r>
        <w:rPr>
          <w:rStyle w:val="23"/>
          <w:rFonts w:ascii="仿宋" w:hAnsi="仿宋" w:eastAsia="仿宋"/>
          <w:color w:val="000000"/>
          <w:sz w:val="32"/>
          <w:szCs w:val="32"/>
        </w:rPr>
        <w:fldChar w:fldCharType="end"/>
      </w:r>
      <w:r>
        <w:rPr>
          <w:rStyle w:val="23"/>
          <w:rFonts w:hint="eastAsia" w:ascii="仿宋" w:hAnsi="仿宋" w:eastAsia="仿宋"/>
          <w:color w:val="000000"/>
          <w:sz w:val="32"/>
          <w:szCs w:val="32"/>
        </w:rPr>
        <w:t>）通过系统提交竞买申请。</w:t>
      </w:r>
    </w:p>
    <w:p>
      <w:pPr>
        <w:snapToGrid w:val="0"/>
        <w:spacing w:line="578" w:lineRule="exact"/>
        <w:ind w:left="160" w:leftChars="76" w:firstLine="684" w:firstLineChars="214"/>
        <w:rPr>
          <w:rFonts w:ascii="仿宋" w:hAnsi="仿宋" w:eastAsia="仿宋"/>
          <w:color w:val="000000"/>
          <w:sz w:val="32"/>
          <w:szCs w:val="32"/>
        </w:rPr>
      </w:pPr>
      <w:r>
        <w:rPr>
          <w:rFonts w:hint="eastAsia" w:ascii="仿宋" w:hAnsi="仿宋" w:eastAsia="仿宋"/>
          <w:color w:val="000000"/>
          <w:sz w:val="32"/>
          <w:szCs w:val="32"/>
        </w:rPr>
        <w:t>已提交申请的竞买申请人须在</w:t>
      </w:r>
      <w:r>
        <w:rPr>
          <w:rFonts w:hint="eastAsia" w:ascii="仿宋" w:hAnsi="仿宋" w:eastAsia="仿宋"/>
          <w:b/>
          <w:color w:val="000000"/>
          <w:sz w:val="32"/>
          <w:szCs w:val="32"/>
        </w:rPr>
        <w:t>资格审查当日（</w:t>
      </w:r>
      <w:r>
        <w:rPr>
          <w:rStyle w:val="23"/>
          <w:rFonts w:ascii="仿宋" w:hAnsi="仿宋" w:eastAsia="仿宋"/>
          <w:b/>
          <w:color w:val="FF0000"/>
          <w:sz w:val="32"/>
          <w:szCs w:val="32"/>
          <w:u w:val="single"/>
        </w:rPr>
        <w:t>2021</w:t>
      </w:r>
      <w:r>
        <w:rPr>
          <w:rStyle w:val="23"/>
          <w:rFonts w:hint="eastAsia" w:ascii="仿宋" w:hAnsi="仿宋" w:eastAsia="仿宋"/>
          <w:b/>
          <w:color w:val="FF0000"/>
          <w:sz w:val="32"/>
          <w:szCs w:val="32"/>
          <w:u w:val="single"/>
        </w:rPr>
        <w:t>年</w:t>
      </w:r>
      <w:r>
        <w:rPr>
          <w:rStyle w:val="23"/>
          <w:rFonts w:hint="eastAsia" w:ascii="仿宋" w:hAnsi="仿宋" w:eastAsia="仿宋"/>
          <w:b/>
          <w:color w:val="FF0000"/>
          <w:sz w:val="32"/>
          <w:szCs w:val="32"/>
          <w:u w:val="single"/>
          <w:lang w:val="en-US" w:eastAsia="zh-CN"/>
        </w:rPr>
        <w:t>6</w:t>
      </w:r>
      <w:r>
        <w:rPr>
          <w:rStyle w:val="23"/>
          <w:rFonts w:hint="eastAsia" w:ascii="仿宋" w:hAnsi="仿宋" w:eastAsia="仿宋"/>
          <w:b/>
          <w:color w:val="FF0000"/>
          <w:sz w:val="32"/>
          <w:szCs w:val="32"/>
          <w:u w:val="single"/>
        </w:rPr>
        <w:t>月</w:t>
      </w:r>
      <w:r>
        <w:rPr>
          <w:rStyle w:val="23"/>
          <w:rFonts w:hint="eastAsia" w:ascii="仿宋" w:hAnsi="仿宋" w:eastAsia="仿宋"/>
          <w:b/>
          <w:color w:val="FF0000"/>
          <w:sz w:val="32"/>
          <w:szCs w:val="32"/>
          <w:u w:val="single"/>
          <w:lang w:val="en-US" w:eastAsia="zh-CN"/>
        </w:rPr>
        <w:t>24</w:t>
      </w:r>
      <w:r>
        <w:rPr>
          <w:rFonts w:hint="eastAsia" w:ascii="仿宋" w:hAnsi="仿宋" w:eastAsia="仿宋"/>
          <w:b/>
          <w:color w:val="FF0000"/>
          <w:sz w:val="32"/>
          <w:szCs w:val="32"/>
          <w:u w:val="single"/>
        </w:rPr>
        <w:t>日</w:t>
      </w:r>
      <w:r>
        <w:rPr>
          <w:rFonts w:hint="eastAsia" w:ascii="仿宋" w:hAnsi="仿宋" w:eastAsia="仿宋"/>
          <w:b/>
          <w:color w:val="000000"/>
          <w:sz w:val="32"/>
          <w:szCs w:val="32"/>
        </w:rPr>
        <w:t>）</w:t>
      </w:r>
      <w:r>
        <w:rPr>
          <w:rFonts w:ascii="仿宋" w:hAnsi="仿宋" w:eastAsia="仿宋"/>
          <w:b/>
          <w:color w:val="000000"/>
          <w:sz w:val="32"/>
          <w:szCs w:val="32"/>
          <w:u w:val="single"/>
        </w:rPr>
        <w:t>8:30</w:t>
      </w:r>
      <w:r>
        <w:rPr>
          <w:rFonts w:hint="eastAsia" w:ascii="仿宋" w:hAnsi="仿宋" w:eastAsia="仿宋"/>
          <w:color w:val="000000"/>
          <w:sz w:val="32"/>
          <w:szCs w:val="32"/>
        </w:rPr>
        <w:t>之前将竞买申请文件原件现场提交至达州市公共资源交易服务中心</w:t>
      </w:r>
      <w:r>
        <w:rPr>
          <w:rStyle w:val="23"/>
          <w:rFonts w:hint="eastAsia" w:ascii="仿宋" w:hAnsi="仿宋" w:eastAsia="仿宋"/>
          <w:b/>
          <w:color w:val="FF0000"/>
          <w:sz w:val="32"/>
          <w:szCs w:val="32"/>
          <w:u w:val="single"/>
        </w:rPr>
        <w:t>4B-17</w:t>
      </w:r>
      <w:r>
        <w:rPr>
          <w:rFonts w:hint="eastAsia" w:ascii="仿宋" w:hAnsi="仿宋" w:eastAsia="仿宋"/>
          <w:color w:val="000000"/>
          <w:sz w:val="32"/>
          <w:szCs w:val="32"/>
        </w:rPr>
        <w:t>室，未按时提交原件的视为自行放弃竞买资格。</w:t>
      </w:r>
    </w:p>
    <w:p>
      <w:pPr>
        <w:snapToGrid w:val="0"/>
        <w:spacing w:line="578" w:lineRule="exact"/>
        <w:ind w:firstLine="713" w:firstLineChars="223"/>
        <w:rPr>
          <w:rFonts w:ascii="仿宋" w:hAnsi="仿宋" w:eastAsia="仿宋"/>
          <w:color w:val="000000"/>
          <w:sz w:val="32"/>
          <w:szCs w:val="32"/>
        </w:rPr>
      </w:pPr>
      <w:r>
        <w:rPr>
          <w:rFonts w:hint="eastAsia" w:ascii="仿宋" w:hAnsi="仿宋" w:eastAsia="仿宋"/>
          <w:color w:val="000000"/>
          <w:sz w:val="32"/>
          <w:szCs w:val="32"/>
        </w:rPr>
        <w:t>通过竞买资格审查的竞买申请人须在</w:t>
      </w:r>
      <w:r>
        <w:rPr>
          <w:rStyle w:val="23"/>
          <w:rFonts w:ascii="仿宋" w:hAnsi="仿宋" w:eastAsia="仿宋"/>
          <w:b/>
          <w:color w:val="FF0000"/>
          <w:sz w:val="32"/>
          <w:szCs w:val="32"/>
          <w:u w:val="single"/>
        </w:rPr>
        <w:t>2021</w:t>
      </w:r>
      <w:r>
        <w:rPr>
          <w:rStyle w:val="23"/>
          <w:rFonts w:hint="eastAsia" w:ascii="仿宋" w:hAnsi="仿宋" w:eastAsia="仿宋"/>
          <w:b/>
          <w:color w:val="FF0000"/>
          <w:sz w:val="32"/>
          <w:szCs w:val="32"/>
          <w:u w:val="single"/>
        </w:rPr>
        <w:t>年</w:t>
      </w:r>
      <w:r>
        <w:rPr>
          <w:rStyle w:val="23"/>
          <w:rFonts w:hint="eastAsia" w:ascii="仿宋" w:hAnsi="仿宋" w:eastAsia="仿宋"/>
          <w:b/>
          <w:color w:val="FF0000"/>
          <w:sz w:val="32"/>
          <w:szCs w:val="32"/>
          <w:u w:val="single"/>
          <w:lang w:val="en-US" w:eastAsia="zh-CN"/>
        </w:rPr>
        <w:t>6</w:t>
      </w:r>
      <w:r>
        <w:rPr>
          <w:rStyle w:val="23"/>
          <w:rFonts w:hint="eastAsia" w:ascii="仿宋" w:hAnsi="仿宋" w:eastAsia="仿宋"/>
          <w:b/>
          <w:color w:val="FF0000"/>
          <w:sz w:val="32"/>
          <w:szCs w:val="32"/>
          <w:u w:val="single"/>
        </w:rPr>
        <w:t>月</w:t>
      </w:r>
      <w:r>
        <w:rPr>
          <w:rStyle w:val="23"/>
          <w:rFonts w:hint="eastAsia" w:ascii="仿宋" w:hAnsi="仿宋" w:eastAsia="仿宋"/>
          <w:b/>
          <w:color w:val="FF0000"/>
          <w:sz w:val="32"/>
          <w:szCs w:val="32"/>
          <w:u w:val="single"/>
          <w:lang w:val="en-US" w:eastAsia="zh-CN"/>
        </w:rPr>
        <w:t>24</w:t>
      </w:r>
      <w:r>
        <w:rPr>
          <w:rStyle w:val="23"/>
          <w:rFonts w:hint="eastAsia" w:ascii="仿宋" w:hAnsi="仿宋" w:eastAsia="仿宋"/>
          <w:b/>
          <w:color w:val="FF0000"/>
          <w:sz w:val="32"/>
          <w:szCs w:val="32"/>
          <w:u w:val="single"/>
        </w:rPr>
        <w:t>日10：</w:t>
      </w:r>
      <w:r>
        <w:rPr>
          <w:rStyle w:val="23"/>
          <w:rFonts w:hint="eastAsia" w:ascii="仿宋" w:hAnsi="仿宋" w:eastAsia="仿宋"/>
          <w:b/>
          <w:color w:val="FF0000"/>
          <w:sz w:val="32"/>
          <w:szCs w:val="32"/>
          <w:u w:val="single"/>
          <w:lang w:val="en-US" w:eastAsia="zh-CN"/>
        </w:rPr>
        <w:t>3</w:t>
      </w:r>
      <w:r>
        <w:rPr>
          <w:rStyle w:val="23"/>
          <w:rFonts w:hint="eastAsia" w:ascii="仿宋" w:hAnsi="仿宋" w:eastAsia="仿宋"/>
          <w:b/>
          <w:color w:val="FF0000"/>
          <w:sz w:val="32"/>
          <w:szCs w:val="32"/>
          <w:u w:val="single"/>
        </w:rPr>
        <w:t>0</w:t>
      </w:r>
      <w:r>
        <w:rPr>
          <w:rFonts w:hint="eastAsia" w:ascii="仿宋" w:hAnsi="仿宋" w:eastAsia="仿宋"/>
          <w:color w:val="000000"/>
          <w:sz w:val="32"/>
          <w:szCs w:val="32"/>
        </w:rPr>
        <w:t>前自行通过达州市公共资源交易服务</w:t>
      </w:r>
      <w:r>
        <w:rPr>
          <w:rStyle w:val="23"/>
          <w:rFonts w:hint="eastAsia" w:ascii="仿宋" w:hAnsi="仿宋" w:eastAsia="仿宋"/>
          <w:color w:val="000000"/>
          <w:sz w:val="32"/>
          <w:szCs w:val="32"/>
        </w:rPr>
        <w:t>网（</w:t>
      </w:r>
      <w:r>
        <w:fldChar w:fldCharType="begin"/>
      </w:r>
      <w:r>
        <w:instrText xml:space="preserve"> HYPERLINK "http://www.dzggzy.cn/" </w:instrText>
      </w:r>
      <w:r>
        <w:fldChar w:fldCharType="separate"/>
      </w:r>
      <w:r>
        <w:rPr>
          <w:rStyle w:val="23"/>
          <w:rFonts w:ascii="仿宋" w:hAnsi="仿宋" w:eastAsia="仿宋"/>
          <w:color w:val="000000"/>
          <w:sz w:val="32"/>
          <w:szCs w:val="32"/>
        </w:rPr>
        <w:t>http://www.dzggzy.cn</w:t>
      </w:r>
      <w:r>
        <w:rPr>
          <w:rStyle w:val="23"/>
          <w:rFonts w:ascii="仿宋" w:hAnsi="仿宋" w:eastAsia="仿宋"/>
          <w:color w:val="000000"/>
          <w:sz w:val="32"/>
          <w:szCs w:val="32"/>
        </w:rPr>
        <w:fldChar w:fldCharType="end"/>
      </w:r>
      <w:r>
        <w:rPr>
          <w:rStyle w:val="23"/>
          <w:rFonts w:hint="eastAsia" w:ascii="仿宋" w:hAnsi="仿宋" w:eastAsia="仿宋"/>
          <w:color w:val="000000"/>
          <w:sz w:val="32"/>
          <w:szCs w:val="32"/>
        </w:rPr>
        <w:t>）</w:t>
      </w:r>
      <w:r>
        <w:rPr>
          <w:rFonts w:hint="eastAsia" w:ascii="仿宋" w:hAnsi="仿宋" w:eastAsia="仿宋"/>
          <w:color w:val="000000"/>
          <w:sz w:val="32"/>
          <w:szCs w:val="32"/>
        </w:rPr>
        <w:t>打印竞买资格确认书并带到拍卖现场</w:t>
      </w:r>
      <w:r>
        <w:rPr>
          <w:rFonts w:ascii="仿宋" w:hAnsi="仿宋" w:eastAsia="仿宋"/>
          <w:color w:val="000000"/>
          <w:sz w:val="32"/>
          <w:szCs w:val="32"/>
        </w:rPr>
        <w:t>(</w:t>
      </w:r>
      <w:r>
        <w:rPr>
          <w:rFonts w:hint="eastAsia" w:ascii="仿宋" w:hAnsi="仿宋" w:eastAsia="仿宋"/>
          <w:color w:val="000000"/>
          <w:sz w:val="32"/>
          <w:szCs w:val="32"/>
        </w:rPr>
        <w:t>打印时间可能因资格审查而延迟</w:t>
      </w:r>
      <w:r>
        <w:rPr>
          <w:rFonts w:ascii="仿宋" w:hAnsi="仿宋" w:eastAsia="仿宋"/>
          <w:color w:val="000000"/>
          <w:sz w:val="32"/>
          <w:szCs w:val="32"/>
        </w:rPr>
        <w:t>)</w:t>
      </w:r>
      <w:r>
        <w:rPr>
          <w:rFonts w:hint="eastAsia" w:ascii="仿宋" w:hAnsi="仿宋" w:eastAsia="仿宋"/>
          <w:color w:val="000000"/>
          <w:sz w:val="32"/>
          <w:szCs w:val="32"/>
        </w:rPr>
        <w:t>。</w:t>
      </w:r>
    </w:p>
    <w:p>
      <w:pPr>
        <w:snapToGrid w:val="0"/>
        <w:spacing w:line="578" w:lineRule="exact"/>
        <w:ind w:firstLine="640" w:firstLineChars="200"/>
        <w:rPr>
          <w:rFonts w:ascii="仿宋" w:hAnsi="仿宋" w:eastAsia="仿宋"/>
          <w:color w:val="000000"/>
          <w:sz w:val="32"/>
          <w:szCs w:val="32"/>
        </w:rPr>
      </w:pPr>
      <w:r>
        <w:rPr>
          <w:rFonts w:hint="eastAsia" w:ascii="仿宋" w:hAnsi="仿宋" w:eastAsia="仿宋"/>
          <w:color w:val="000000"/>
          <w:sz w:val="32"/>
          <w:szCs w:val="32"/>
        </w:rPr>
        <w:t>四、竞得人的确定</w:t>
      </w:r>
    </w:p>
    <w:p>
      <w:pPr>
        <w:spacing w:line="578" w:lineRule="exact"/>
        <w:ind w:firstLine="640" w:firstLineChars="200"/>
        <w:rPr>
          <w:rFonts w:ascii="仿宋" w:hAnsi="仿宋" w:eastAsia="仿宋"/>
          <w:sz w:val="32"/>
          <w:szCs w:val="32"/>
        </w:rPr>
      </w:pPr>
      <w:r>
        <w:rPr>
          <w:rFonts w:hint="eastAsia" w:ascii="仿宋" w:hAnsi="仿宋" w:eastAsia="仿宋"/>
          <w:sz w:val="32"/>
          <w:szCs w:val="32"/>
        </w:rPr>
        <w:t>本次采矿权出让采取公开拍卖方式进行，按照价高者得的原则确定竞得人。本宗采矿权公开拍卖出让区政府设置保留底价。</w:t>
      </w:r>
    </w:p>
    <w:p>
      <w:pPr>
        <w:snapToGrid w:val="0"/>
        <w:spacing w:line="578" w:lineRule="exact"/>
        <w:ind w:firstLine="640" w:firstLineChars="200"/>
        <w:rPr>
          <w:rFonts w:ascii="仿宋" w:hAnsi="仿宋" w:eastAsia="仿宋"/>
          <w:color w:val="000000"/>
          <w:sz w:val="32"/>
          <w:szCs w:val="32"/>
        </w:rPr>
      </w:pPr>
      <w:r>
        <w:rPr>
          <w:rFonts w:hint="eastAsia" w:ascii="仿宋" w:hAnsi="仿宋" w:eastAsia="仿宋"/>
          <w:color w:val="000000"/>
          <w:sz w:val="32"/>
          <w:szCs w:val="32"/>
        </w:rPr>
        <w:t>五、拍卖时间及地点</w:t>
      </w:r>
    </w:p>
    <w:p>
      <w:pPr>
        <w:snapToGrid w:val="0"/>
        <w:spacing w:line="578" w:lineRule="exact"/>
        <w:ind w:firstLine="640" w:firstLineChars="200"/>
        <w:rPr>
          <w:rFonts w:ascii="仿宋" w:hAnsi="仿宋" w:eastAsia="仿宋"/>
          <w:color w:val="000000"/>
          <w:sz w:val="32"/>
          <w:szCs w:val="32"/>
        </w:rPr>
      </w:pPr>
      <w:r>
        <w:rPr>
          <w:rFonts w:hint="eastAsia" w:ascii="仿宋" w:hAnsi="仿宋" w:eastAsia="仿宋"/>
          <w:color w:val="000000"/>
          <w:sz w:val="32"/>
          <w:szCs w:val="32"/>
        </w:rPr>
        <w:t>本次采矿权拍卖会定于</w:t>
      </w:r>
      <w:r>
        <w:rPr>
          <w:rStyle w:val="23"/>
          <w:rFonts w:ascii="仿宋" w:hAnsi="仿宋" w:eastAsia="仿宋"/>
          <w:b/>
          <w:color w:val="FF0000"/>
          <w:sz w:val="32"/>
          <w:szCs w:val="32"/>
          <w:u w:val="single"/>
        </w:rPr>
        <w:t>2021</w:t>
      </w:r>
      <w:r>
        <w:rPr>
          <w:rStyle w:val="23"/>
          <w:rFonts w:hint="eastAsia" w:ascii="仿宋" w:hAnsi="仿宋" w:eastAsia="仿宋"/>
          <w:b/>
          <w:color w:val="FF0000"/>
          <w:sz w:val="32"/>
          <w:szCs w:val="32"/>
          <w:u w:val="single"/>
        </w:rPr>
        <w:t>年</w:t>
      </w:r>
      <w:r>
        <w:rPr>
          <w:rStyle w:val="23"/>
          <w:rFonts w:hint="eastAsia" w:ascii="仿宋" w:hAnsi="仿宋" w:eastAsia="仿宋"/>
          <w:b/>
          <w:color w:val="FF0000"/>
          <w:sz w:val="32"/>
          <w:szCs w:val="32"/>
          <w:u w:val="single"/>
          <w:lang w:val="en-US" w:eastAsia="zh-CN"/>
        </w:rPr>
        <w:t>6</w:t>
      </w:r>
      <w:r>
        <w:rPr>
          <w:rStyle w:val="23"/>
          <w:rFonts w:hint="eastAsia" w:ascii="仿宋" w:hAnsi="仿宋" w:eastAsia="仿宋"/>
          <w:b/>
          <w:color w:val="FF0000"/>
          <w:sz w:val="32"/>
          <w:szCs w:val="32"/>
          <w:u w:val="single"/>
        </w:rPr>
        <w:t>月</w:t>
      </w:r>
      <w:r>
        <w:rPr>
          <w:rStyle w:val="23"/>
          <w:rFonts w:hint="eastAsia" w:ascii="仿宋" w:hAnsi="仿宋" w:eastAsia="仿宋"/>
          <w:b/>
          <w:color w:val="FF0000"/>
          <w:sz w:val="32"/>
          <w:szCs w:val="32"/>
          <w:u w:val="single"/>
          <w:lang w:val="en-US" w:eastAsia="zh-CN"/>
        </w:rPr>
        <w:t>24</w:t>
      </w:r>
      <w:r>
        <w:rPr>
          <w:rStyle w:val="23"/>
          <w:rFonts w:hint="eastAsia" w:ascii="仿宋" w:hAnsi="仿宋" w:eastAsia="仿宋"/>
          <w:b/>
          <w:color w:val="FF0000"/>
          <w:sz w:val="32"/>
          <w:szCs w:val="32"/>
          <w:u w:val="single"/>
        </w:rPr>
        <w:t>日10：</w:t>
      </w:r>
      <w:r>
        <w:rPr>
          <w:rStyle w:val="23"/>
          <w:rFonts w:hint="eastAsia" w:ascii="仿宋" w:hAnsi="仿宋" w:eastAsia="仿宋"/>
          <w:b/>
          <w:color w:val="FF0000"/>
          <w:sz w:val="32"/>
          <w:szCs w:val="32"/>
          <w:u w:val="single"/>
          <w:lang w:val="en-US" w:eastAsia="zh-CN"/>
        </w:rPr>
        <w:t>3</w:t>
      </w:r>
      <w:r>
        <w:rPr>
          <w:rStyle w:val="23"/>
          <w:rFonts w:hint="eastAsia" w:ascii="仿宋" w:hAnsi="仿宋" w:eastAsia="仿宋"/>
          <w:b/>
          <w:color w:val="FF0000"/>
          <w:sz w:val="32"/>
          <w:szCs w:val="32"/>
          <w:u w:val="single"/>
        </w:rPr>
        <w:t>0时</w:t>
      </w:r>
      <w:r>
        <w:rPr>
          <w:rFonts w:hint="eastAsia" w:ascii="仿宋" w:hAnsi="仿宋" w:eastAsia="仿宋"/>
          <w:color w:val="000000"/>
          <w:sz w:val="32"/>
          <w:szCs w:val="32"/>
        </w:rPr>
        <w:t>在达州市公共资源交易服务中心</w:t>
      </w:r>
      <w:r>
        <w:rPr>
          <w:rFonts w:hint="eastAsia" w:ascii="仿宋" w:hAnsi="仿宋" w:eastAsia="仿宋"/>
          <w:color w:val="FF0000"/>
          <w:sz w:val="32"/>
          <w:szCs w:val="32"/>
          <w:u w:val="single"/>
          <w:lang w:val="en-US" w:eastAsia="zh-CN"/>
        </w:rPr>
        <w:t>开标二</w:t>
      </w:r>
      <w:r>
        <w:rPr>
          <w:rFonts w:hint="eastAsia" w:ascii="仿宋" w:hAnsi="仿宋" w:eastAsia="仿宋"/>
          <w:color w:val="FF0000"/>
          <w:sz w:val="32"/>
          <w:szCs w:val="32"/>
          <w:u w:val="single"/>
        </w:rPr>
        <w:t>厅</w:t>
      </w:r>
      <w:r>
        <w:rPr>
          <w:rFonts w:hint="eastAsia" w:ascii="仿宋" w:hAnsi="仿宋" w:eastAsia="仿宋"/>
          <w:color w:val="000000"/>
          <w:sz w:val="32"/>
          <w:szCs w:val="32"/>
        </w:rPr>
        <w:t>举行。</w:t>
      </w:r>
      <w:r>
        <w:rPr>
          <w:rFonts w:ascii="仿宋" w:hAnsi="仿宋" w:eastAsia="仿宋"/>
          <w:sz w:val="32"/>
          <w:szCs w:val="32"/>
        </w:rPr>
        <w:t>(</w:t>
      </w:r>
      <w:r>
        <w:rPr>
          <w:rFonts w:hint="eastAsia" w:ascii="仿宋" w:hAnsi="仿宋" w:eastAsia="仿宋"/>
          <w:sz w:val="32"/>
          <w:szCs w:val="32"/>
        </w:rPr>
        <w:t>拍卖会时间可能因资格审查而延迟</w:t>
      </w:r>
      <w:r>
        <w:rPr>
          <w:rFonts w:ascii="仿宋" w:hAnsi="仿宋" w:eastAsia="仿宋"/>
          <w:sz w:val="32"/>
          <w:szCs w:val="32"/>
        </w:rPr>
        <w:t>)</w:t>
      </w:r>
    </w:p>
    <w:p>
      <w:pPr>
        <w:spacing w:line="578" w:lineRule="exact"/>
        <w:ind w:firstLine="640" w:firstLineChars="200"/>
        <w:rPr>
          <w:rFonts w:ascii="仿宋" w:hAnsi="仿宋" w:eastAsia="仿宋"/>
          <w:sz w:val="32"/>
          <w:szCs w:val="32"/>
        </w:rPr>
      </w:pPr>
      <w:r>
        <w:rPr>
          <w:rFonts w:hint="eastAsia" w:ascii="仿宋" w:hAnsi="仿宋" w:eastAsia="仿宋"/>
          <w:sz w:val="32"/>
          <w:szCs w:val="32"/>
        </w:rPr>
        <w:t>六、特别提醒</w:t>
      </w:r>
    </w:p>
    <w:p>
      <w:pPr>
        <w:spacing w:line="578" w:lineRule="exact"/>
        <w:ind w:firstLine="640" w:firstLineChars="200"/>
        <w:rPr>
          <w:rFonts w:hint="eastAsia" w:ascii="仿宋" w:hAnsi="仿宋" w:eastAsia="仿宋"/>
          <w:sz w:val="32"/>
          <w:szCs w:val="32"/>
        </w:rPr>
      </w:pPr>
      <w:r>
        <w:rPr>
          <w:rFonts w:hint="eastAsia" w:ascii="仿宋" w:hAnsi="仿宋" w:eastAsia="仿宋"/>
          <w:sz w:val="32"/>
          <w:szCs w:val="32"/>
          <w:lang w:val="en-US" w:eastAsia="zh-CN"/>
        </w:rPr>
        <w:t>1.</w:t>
      </w:r>
      <w:r>
        <w:rPr>
          <w:rFonts w:hint="eastAsia" w:ascii="仿宋" w:hAnsi="仿宋" w:eastAsia="仿宋"/>
          <w:sz w:val="32"/>
          <w:szCs w:val="32"/>
        </w:rPr>
        <w:t>凡参与竞买的申请人须对本公告、出让文件、采矿权详情全面了解、完全接受、不持异议，须有一次或一次以上的报价</w:t>
      </w:r>
      <w:r>
        <w:rPr>
          <w:rFonts w:ascii="仿宋" w:hAnsi="仿宋" w:eastAsia="仿宋"/>
          <w:sz w:val="32"/>
          <w:szCs w:val="32"/>
        </w:rPr>
        <w:t>,</w:t>
      </w:r>
      <w:r>
        <w:rPr>
          <w:rFonts w:hint="eastAsia" w:ascii="仿宋" w:hAnsi="仿宋" w:eastAsia="仿宋"/>
          <w:sz w:val="32"/>
          <w:szCs w:val="32"/>
        </w:rPr>
        <w:t>报价规则详见拍卖出让文件。本次拍卖出让不接受邮寄竞买申请。</w:t>
      </w:r>
    </w:p>
    <w:p>
      <w:pPr>
        <w:spacing w:line="578" w:lineRule="exact"/>
        <w:ind w:firstLine="640" w:firstLineChars="200"/>
        <w:rPr>
          <w:rFonts w:hint="default" w:ascii="仿宋" w:hAnsi="仿宋" w:eastAsia="仿宋"/>
          <w:color w:val="FF0000"/>
          <w:sz w:val="32"/>
          <w:szCs w:val="32"/>
          <w:lang w:val="en-US" w:eastAsia="zh-CN"/>
        </w:rPr>
      </w:pPr>
      <w:r>
        <w:rPr>
          <w:rFonts w:hint="eastAsia" w:ascii="仿宋" w:hAnsi="仿宋" w:eastAsia="仿宋"/>
          <w:sz w:val="32"/>
          <w:szCs w:val="32"/>
          <w:lang w:val="en-US" w:eastAsia="zh-CN"/>
        </w:rPr>
        <w:t>2.</w:t>
      </w:r>
      <w:r>
        <w:rPr>
          <w:rFonts w:hint="eastAsia" w:ascii="仿宋" w:hAnsi="仿宋" w:eastAsia="仿宋"/>
          <w:color w:val="FF0000"/>
          <w:sz w:val="32"/>
          <w:szCs w:val="32"/>
          <w:lang w:val="en-US" w:eastAsia="zh-CN"/>
        </w:rPr>
        <w:t>担保函：竞买申请人须提交银行出具的725万元金额担保函，申请中标或竞得后，未能按出让公告履行责任或义务时，由担保人代其履行担保金额的80%违约金。</w:t>
      </w:r>
    </w:p>
    <w:p>
      <w:pPr>
        <w:spacing w:line="578" w:lineRule="exact"/>
        <w:ind w:firstLine="640" w:firstLineChars="200"/>
        <w:rPr>
          <w:rFonts w:ascii="仿宋" w:hAnsi="仿宋" w:eastAsia="仿宋"/>
          <w:sz w:val="32"/>
          <w:szCs w:val="32"/>
        </w:rPr>
      </w:pPr>
      <w:r>
        <w:rPr>
          <w:rFonts w:hint="eastAsia" w:ascii="仿宋" w:hAnsi="仿宋" w:eastAsia="仿宋"/>
          <w:sz w:val="32"/>
          <w:szCs w:val="32"/>
        </w:rPr>
        <w:t>七、风险提示</w:t>
      </w:r>
    </w:p>
    <w:p>
      <w:pPr>
        <w:spacing w:line="578" w:lineRule="exact"/>
        <w:ind w:firstLine="640" w:firstLineChars="200"/>
        <w:rPr>
          <w:rFonts w:ascii="仿宋" w:hAnsi="仿宋" w:eastAsia="仿宋"/>
          <w:sz w:val="32"/>
          <w:szCs w:val="32"/>
        </w:rPr>
      </w:pPr>
      <w:r>
        <w:rPr>
          <w:rFonts w:hint="eastAsia" w:ascii="仿宋" w:hAnsi="仿宋" w:eastAsia="仿宋"/>
          <w:sz w:val="32"/>
          <w:szCs w:val="32"/>
        </w:rPr>
        <w:t>竞得人应当承担下列可能存在的风险：</w:t>
      </w:r>
    </w:p>
    <w:p>
      <w:pPr>
        <w:spacing w:line="578" w:lineRule="exact"/>
        <w:ind w:firstLine="640" w:firstLineChars="200"/>
        <w:rPr>
          <w:rFonts w:ascii="仿宋" w:hAnsi="仿宋" w:eastAsia="仿宋"/>
          <w:sz w:val="32"/>
          <w:szCs w:val="32"/>
        </w:rPr>
      </w:pPr>
      <w:r>
        <w:rPr>
          <w:rFonts w:hint="eastAsia" w:ascii="仿宋" w:hAnsi="仿宋" w:eastAsia="仿宋"/>
          <w:sz w:val="32"/>
          <w:szCs w:val="32"/>
        </w:rPr>
        <w:t>（一）标的瑕疵的影响。申请人提交申请并参加竞买，即视对出让的采矿权现状和出让文件已完全认可并自愿承担全部的风险责任。</w:t>
      </w:r>
    </w:p>
    <w:p>
      <w:pPr>
        <w:spacing w:line="578" w:lineRule="exact"/>
        <w:ind w:firstLine="640" w:firstLineChars="200"/>
        <w:rPr>
          <w:rFonts w:ascii="仿宋" w:hAnsi="仿宋" w:eastAsia="仿宋"/>
          <w:sz w:val="32"/>
          <w:szCs w:val="32"/>
        </w:rPr>
      </w:pPr>
      <w:r>
        <w:rPr>
          <w:rFonts w:hint="eastAsia" w:ascii="仿宋" w:hAnsi="仿宋" w:eastAsia="仿宋"/>
          <w:sz w:val="32"/>
          <w:szCs w:val="32"/>
        </w:rPr>
        <w:t>（二）国家产业政策或者矿产资源规划调整的影响。</w:t>
      </w:r>
    </w:p>
    <w:p>
      <w:pPr>
        <w:spacing w:line="578" w:lineRule="exact"/>
        <w:ind w:firstLine="640" w:firstLineChars="200"/>
        <w:rPr>
          <w:rFonts w:ascii="仿宋" w:hAnsi="仿宋" w:eastAsia="仿宋"/>
          <w:sz w:val="32"/>
          <w:szCs w:val="32"/>
        </w:rPr>
      </w:pPr>
      <w:r>
        <w:rPr>
          <w:rFonts w:hint="eastAsia" w:ascii="仿宋" w:hAnsi="仿宋" w:eastAsia="仿宋"/>
          <w:sz w:val="32"/>
          <w:szCs w:val="32"/>
        </w:rPr>
        <w:t>（三）包括但不限于安全、地质灾害防治、环境保护等要求，对特定采矿方法、选矿方法的限制。</w:t>
      </w:r>
    </w:p>
    <w:p>
      <w:pPr>
        <w:spacing w:line="578" w:lineRule="exact"/>
        <w:ind w:firstLine="640" w:firstLineChars="200"/>
        <w:rPr>
          <w:rFonts w:ascii="仿宋" w:hAnsi="仿宋" w:eastAsia="仿宋"/>
          <w:sz w:val="32"/>
          <w:szCs w:val="32"/>
        </w:rPr>
      </w:pPr>
      <w:r>
        <w:rPr>
          <w:rFonts w:hint="eastAsia" w:ascii="仿宋" w:hAnsi="仿宋" w:eastAsia="仿宋"/>
          <w:sz w:val="32"/>
          <w:szCs w:val="32"/>
        </w:rPr>
        <w:t>（四）与出让采矿权有关的其他因素及条件，如林权、道路、土地占用、环境保护、社群关系等，由竞得人自行承担风险。</w:t>
      </w:r>
    </w:p>
    <w:p>
      <w:pPr>
        <w:spacing w:line="578" w:lineRule="exact"/>
        <w:ind w:firstLine="640" w:firstLineChars="200"/>
        <w:rPr>
          <w:rFonts w:hint="eastAsia" w:ascii="仿宋" w:hAnsi="仿宋" w:eastAsia="仿宋"/>
          <w:sz w:val="32"/>
          <w:szCs w:val="32"/>
          <w:lang w:val="en-US" w:eastAsia="zh-CN"/>
        </w:rPr>
      </w:pPr>
      <w:r>
        <w:rPr>
          <w:rFonts w:hint="eastAsia" w:ascii="仿宋" w:hAnsi="仿宋" w:eastAsia="仿宋"/>
          <w:sz w:val="32"/>
          <w:szCs w:val="32"/>
          <w:lang w:val="en-US" w:eastAsia="zh-CN"/>
        </w:rPr>
        <w:t>（五）竞买人竞得后按市场化原则配给达州市</w:t>
      </w:r>
      <w:r>
        <w:rPr>
          <w:rFonts w:hint="eastAsia" w:ascii="仿宋" w:hAnsi="仿宋" w:eastAsia="仿宋"/>
          <w:sz w:val="32"/>
          <w:szCs w:val="32"/>
          <w:lang w:val="zh-TW" w:eastAsia="zh-CN"/>
        </w:rPr>
        <w:t>达川区</w:t>
      </w:r>
      <w:r>
        <w:rPr>
          <w:rFonts w:hint="eastAsia" w:ascii="仿宋" w:hAnsi="仿宋" w:eastAsia="仿宋"/>
          <w:sz w:val="32"/>
          <w:szCs w:val="32"/>
          <w:lang w:val="en-US" w:eastAsia="zh-CN"/>
        </w:rPr>
        <w:t>修建25条乡镇道路，并对外经营。</w:t>
      </w:r>
    </w:p>
    <w:p>
      <w:pPr>
        <w:spacing w:line="578" w:lineRule="exact"/>
        <w:ind w:firstLine="640" w:firstLineChars="200"/>
        <w:rPr>
          <w:rFonts w:hint="eastAsia" w:ascii="仿宋" w:hAnsi="仿宋" w:eastAsia="仿宋"/>
          <w:sz w:val="32"/>
          <w:szCs w:val="32"/>
          <w:lang w:val="en-US" w:eastAsia="zh-CN"/>
        </w:rPr>
      </w:pPr>
      <w:r>
        <w:rPr>
          <w:rFonts w:hint="eastAsia" w:ascii="仿宋" w:hAnsi="仿宋" w:eastAsia="仿宋"/>
          <w:sz w:val="32"/>
          <w:szCs w:val="32"/>
          <w:lang w:val="en-US" w:eastAsia="zh-CN"/>
        </w:rPr>
        <w:t>（六）不可抗力的影响。</w:t>
      </w:r>
    </w:p>
    <w:p>
      <w:pPr>
        <w:snapToGrid w:val="0"/>
        <w:spacing w:line="560" w:lineRule="exact"/>
        <w:ind w:firstLine="566"/>
        <w:rPr>
          <w:rFonts w:hint="eastAsia" w:ascii="仿宋" w:hAnsi="仿宋" w:eastAsia="仿宋" w:cs="Times New Roman"/>
          <w:sz w:val="32"/>
          <w:szCs w:val="32"/>
        </w:rPr>
      </w:pPr>
      <w:r>
        <w:rPr>
          <w:rFonts w:hint="eastAsia" w:ascii="仿宋" w:hAnsi="仿宋" w:eastAsia="仿宋"/>
          <w:sz w:val="32"/>
          <w:szCs w:val="32"/>
        </w:rPr>
        <w:t>八、</w:t>
      </w:r>
      <w:r>
        <w:rPr>
          <w:rFonts w:hint="eastAsia" w:ascii="仿宋" w:hAnsi="仿宋" w:eastAsia="仿宋" w:cs="Times New Roman"/>
          <w:sz w:val="32"/>
          <w:szCs w:val="32"/>
        </w:rPr>
        <w:t>对交易采矿权异议的处理方式</w:t>
      </w:r>
    </w:p>
    <w:p>
      <w:pPr>
        <w:spacing w:line="578" w:lineRule="exact"/>
        <w:ind w:firstLine="640" w:firstLineChars="200"/>
        <w:rPr>
          <w:rFonts w:hint="default" w:ascii="仿宋" w:hAnsi="仿宋" w:eastAsia="仿宋"/>
          <w:sz w:val="32"/>
          <w:szCs w:val="32"/>
          <w:lang w:val="en-US" w:eastAsia="zh-CN"/>
        </w:rPr>
      </w:pPr>
      <w:r>
        <w:rPr>
          <w:rFonts w:hint="eastAsia" w:ascii="仿宋" w:hAnsi="仿宋" w:eastAsia="仿宋"/>
          <w:sz w:val="32"/>
          <w:szCs w:val="32"/>
          <w:lang w:val="en-US" w:eastAsia="zh-CN"/>
        </w:rPr>
        <w:t>（一）</w:t>
      </w:r>
      <w:r>
        <w:rPr>
          <w:rFonts w:hint="default" w:ascii="仿宋" w:hAnsi="仿宋" w:eastAsia="仿宋"/>
          <w:sz w:val="32"/>
          <w:szCs w:val="32"/>
          <w:lang w:val="en-US" w:eastAsia="zh-CN"/>
        </w:rPr>
        <w:t>出让采矿权范围</w:t>
      </w:r>
      <w:r>
        <w:rPr>
          <w:rFonts w:hint="eastAsia" w:ascii="仿宋" w:hAnsi="仿宋" w:eastAsia="仿宋"/>
          <w:sz w:val="32"/>
          <w:szCs w:val="32"/>
          <w:lang w:val="en-US" w:eastAsia="zh-CN"/>
        </w:rPr>
        <w:t>如</w:t>
      </w:r>
      <w:r>
        <w:rPr>
          <w:rFonts w:hint="default" w:ascii="仿宋" w:hAnsi="仿宋" w:eastAsia="仿宋"/>
          <w:sz w:val="32"/>
          <w:szCs w:val="32"/>
          <w:lang w:val="en-US" w:eastAsia="zh-CN"/>
        </w:rPr>
        <w:t>与油气矿业权存在重叠</w:t>
      </w:r>
      <w:r>
        <w:rPr>
          <w:rFonts w:hint="eastAsia" w:ascii="仿宋" w:hAnsi="仿宋" w:eastAsia="仿宋"/>
          <w:sz w:val="32"/>
          <w:szCs w:val="32"/>
          <w:lang w:val="en-US" w:eastAsia="zh-CN"/>
        </w:rPr>
        <w:t>情况</w:t>
      </w:r>
      <w:r>
        <w:rPr>
          <w:rFonts w:hint="default" w:ascii="仿宋" w:hAnsi="仿宋" w:eastAsia="仿宋"/>
          <w:sz w:val="32"/>
          <w:szCs w:val="32"/>
          <w:lang w:val="en-US" w:eastAsia="zh-CN"/>
        </w:rPr>
        <w:t>。竞得人需与油气矿业权人签订互不影响和权益保护协议。</w:t>
      </w:r>
    </w:p>
    <w:p>
      <w:pPr>
        <w:spacing w:line="578" w:lineRule="exact"/>
        <w:ind w:firstLine="640" w:firstLineChars="200"/>
        <w:rPr>
          <w:rFonts w:hint="eastAsia" w:ascii="仿宋" w:hAnsi="仿宋" w:eastAsia="仿宋"/>
          <w:sz w:val="32"/>
          <w:szCs w:val="32"/>
          <w:lang w:val="en-US" w:eastAsia="zh-CN"/>
        </w:rPr>
      </w:pPr>
      <w:r>
        <w:rPr>
          <w:rFonts w:hint="eastAsia" w:ascii="仿宋" w:hAnsi="仿宋" w:eastAsia="仿宋"/>
          <w:sz w:val="32"/>
          <w:szCs w:val="32"/>
          <w:lang w:val="en-US" w:eastAsia="zh-CN"/>
        </w:rPr>
        <w:t>（二）</w:t>
      </w:r>
      <w:r>
        <w:rPr>
          <w:rFonts w:hint="default" w:ascii="仿宋" w:hAnsi="仿宋" w:eastAsia="仿宋"/>
          <w:sz w:val="32"/>
          <w:szCs w:val="32"/>
          <w:lang w:val="en-US" w:eastAsia="zh-CN"/>
        </w:rPr>
        <w:t>出让采矿权范围</w:t>
      </w:r>
      <w:r>
        <w:rPr>
          <w:rFonts w:hint="eastAsia" w:ascii="仿宋" w:hAnsi="仿宋" w:eastAsia="仿宋"/>
          <w:sz w:val="32"/>
          <w:szCs w:val="32"/>
          <w:lang w:val="en-US" w:eastAsia="zh-CN"/>
        </w:rPr>
        <w:t>如</w:t>
      </w:r>
      <w:r>
        <w:rPr>
          <w:rFonts w:hint="default" w:ascii="仿宋" w:hAnsi="仿宋" w:eastAsia="仿宋"/>
          <w:sz w:val="32"/>
          <w:szCs w:val="32"/>
          <w:lang w:val="en-US" w:eastAsia="zh-CN"/>
        </w:rPr>
        <w:t>与输变电线路及配电变压器存在重叠，在勘查开发过程中应保证各线路及配电变压器安全。</w:t>
      </w:r>
    </w:p>
    <w:p>
      <w:pPr>
        <w:spacing w:line="578" w:lineRule="exact"/>
        <w:ind w:firstLine="640" w:firstLineChars="200"/>
        <w:rPr>
          <w:rFonts w:hint="eastAsia" w:ascii="仿宋" w:hAnsi="仿宋" w:eastAsia="仿宋"/>
          <w:sz w:val="32"/>
          <w:szCs w:val="32"/>
          <w:lang w:val="en-US" w:eastAsia="zh-CN"/>
        </w:rPr>
      </w:pPr>
      <w:r>
        <w:rPr>
          <w:rFonts w:hint="eastAsia" w:ascii="仿宋" w:hAnsi="仿宋" w:eastAsia="仿宋"/>
          <w:sz w:val="32"/>
          <w:szCs w:val="32"/>
          <w:lang w:val="en-US" w:eastAsia="zh-CN"/>
        </w:rPr>
        <w:t>（三）竞买人在决定竞买前应仔认真阅读出让采矿权相关资料，对出让矿区资源储量及矿区范围所涉及的土地使用权、林权、地表附着物、道路、废土废渣占地堆放、社群关系、周边矿山生产开采情况等影响资源开采作业的外部条件作充分的了解，充分评估投资风险及承担风险责任，一旦竞得并成为采矿权人，视为对本方案出让的采矿权无异议，不得以资源储量、开采条件、发生不可抗力等为由向自然资源等部门提出退款、索赔、延长开采期限等要求。</w:t>
      </w:r>
    </w:p>
    <w:p>
      <w:pPr>
        <w:spacing w:line="578" w:lineRule="exact"/>
        <w:ind w:firstLine="640" w:firstLineChars="200"/>
        <w:rPr>
          <w:rFonts w:hint="eastAsia" w:ascii="仿宋" w:hAnsi="仿宋" w:eastAsia="仿宋"/>
          <w:sz w:val="32"/>
          <w:szCs w:val="32"/>
          <w:lang w:val="en-US" w:eastAsia="zh-CN"/>
        </w:rPr>
      </w:pPr>
      <w:r>
        <w:rPr>
          <w:rFonts w:hint="eastAsia" w:ascii="仿宋" w:hAnsi="仿宋" w:eastAsia="仿宋"/>
          <w:sz w:val="32"/>
          <w:szCs w:val="32"/>
          <w:lang w:val="en-US" w:eastAsia="zh-CN"/>
        </w:rPr>
        <w:t>（四）竞买申请人可自行现场踏勘，费用由竞买申请人自行承担。竞买人竞得后需自行解决采矿过程中出现的各种问题和纠纷，妥善解决周边老百姓的饮用水、道路出行等问题，并承担费用，因采矿需要占用、利用他人设施设备时，应自行协商解决。采矿所在地的乡镇、村，自然资源局等部门予以协助。若协调不成，后果由竞得人承担。</w:t>
      </w:r>
    </w:p>
    <w:p>
      <w:pPr>
        <w:spacing w:line="578" w:lineRule="exact"/>
        <w:ind w:firstLine="640" w:firstLineChars="200"/>
        <w:rPr>
          <w:rFonts w:ascii="仿宋" w:hAnsi="仿宋" w:eastAsia="仿宋"/>
          <w:sz w:val="32"/>
          <w:szCs w:val="32"/>
        </w:rPr>
      </w:pPr>
      <w:r>
        <w:rPr>
          <w:rFonts w:hint="eastAsia" w:ascii="仿宋" w:hAnsi="仿宋" w:eastAsia="仿宋"/>
          <w:sz w:val="32"/>
          <w:szCs w:val="32"/>
          <w:lang w:val="en-US" w:eastAsia="zh-CN"/>
        </w:rPr>
        <w:t>九、</w:t>
      </w:r>
      <w:r>
        <w:rPr>
          <w:rFonts w:hint="eastAsia" w:ascii="仿宋" w:hAnsi="仿宋" w:eastAsia="仿宋"/>
          <w:sz w:val="32"/>
          <w:szCs w:val="32"/>
        </w:rPr>
        <w:t>其它需要公告事项</w:t>
      </w:r>
      <w:r>
        <w:rPr>
          <w:rFonts w:ascii="仿宋" w:hAnsi="仿宋" w:eastAsia="仿宋"/>
          <w:sz w:val="32"/>
          <w:szCs w:val="32"/>
        </w:rPr>
        <w:tab/>
      </w:r>
    </w:p>
    <w:p>
      <w:pPr>
        <w:pStyle w:val="16"/>
        <w:keepNext w:val="0"/>
        <w:keepLines w:val="0"/>
        <w:pageBreakBefore w:val="0"/>
        <w:kinsoku/>
        <w:wordWrap/>
        <w:overflowPunct/>
        <w:topLinePunct w:val="0"/>
        <w:autoSpaceDE/>
        <w:autoSpaceDN/>
        <w:bidi w:val="0"/>
        <w:adjustRightInd/>
        <w:snapToGrid/>
        <w:spacing w:before="0" w:beforeAutospacing="0" w:after="0" w:afterAutospacing="0" w:line="578" w:lineRule="exact"/>
        <w:ind w:firstLine="480"/>
        <w:jc w:val="both"/>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（一</w:t>
      </w:r>
      <w:r>
        <w:rPr>
          <w:rFonts w:hint="eastAsia" w:ascii="仿宋" w:hAnsi="仿宋" w:eastAsia="仿宋" w:cs="仿宋"/>
          <w:sz w:val="32"/>
          <w:szCs w:val="32"/>
          <w:lang w:val="zh-CN" w:eastAsia="zh-CN"/>
        </w:rPr>
        <w:t>）</w:t>
      </w:r>
      <w:r>
        <w:rPr>
          <w:rFonts w:hint="default" w:ascii="Times New Roman" w:hAnsi="Times New Roman" w:eastAsia="仿宋_GB2312" w:cs="Times New Roman"/>
          <w:kern w:val="2"/>
          <w:sz w:val="32"/>
          <w:szCs w:val="32"/>
          <w:lang w:val="en-US" w:eastAsia="zh-CN" w:bidi="ar-SA"/>
        </w:rPr>
        <w:t>拍卖按照报价最高者得的原则确定竞得人。竞得人必须当场签订采矿权成交确认书，签订成交确认书后，出让人在5个工作日内公告竞得结果，公告15个工作日之后无异议的，竞得人自公告期满之日起5个工作日内必须与出让人签订采矿权出让合同，并按采矿权出让合同的约定缴纳采矿权价款。</w:t>
      </w:r>
    </w:p>
    <w:p>
      <w:pPr>
        <w:spacing w:line="578" w:lineRule="exact"/>
        <w:ind w:right="-27" w:rightChars="-13" w:firstLine="640" w:firstLineChars="200"/>
        <w:rPr>
          <w:rFonts w:hint="eastAsia" w:ascii="仿宋" w:hAnsi="仿宋" w:eastAsia="仿宋" w:cs="仿宋"/>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竞得人逾期不签订采矿权成交确认书、采矿权出让合同和缴纳采矿权价款的，视为自动放弃采矿权，出让人可取消竞得人的竞得资格，依法收回采矿权，</w:t>
      </w:r>
      <w:r>
        <w:rPr>
          <w:rFonts w:hint="eastAsia" w:ascii="仿宋" w:hAnsi="仿宋" w:eastAsia="仿宋" w:cs="仿宋"/>
          <w:sz w:val="32"/>
          <w:szCs w:val="32"/>
          <w:lang w:val="zh-CN" w:eastAsia="zh-CN"/>
        </w:rPr>
        <w:t>由担保人代其履行担保金额的</w:t>
      </w:r>
      <w:r>
        <w:rPr>
          <w:rFonts w:hint="eastAsia" w:ascii="仿宋" w:hAnsi="仿宋" w:eastAsia="仿宋" w:cs="仿宋"/>
          <w:sz w:val="32"/>
          <w:szCs w:val="32"/>
          <w:lang w:val="en-US" w:eastAsia="zh-CN"/>
        </w:rPr>
        <w:t>80%</w:t>
      </w:r>
      <w:r>
        <w:rPr>
          <w:rFonts w:hint="eastAsia" w:ascii="仿宋" w:hAnsi="仿宋" w:eastAsia="仿宋" w:cs="仿宋"/>
          <w:sz w:val="32"/>
          <w:szCs w:val="32"/>
          <w:lang w:val="zh-CN" w:eastAsia="zh-CN"/>
        </w:rPr>
        <w:t>违约金。</w:t>
      </w:r>
    </w:p>
    <w:p>
      <w:pPr>
        <w:spacing w:line="578" w:lineRule="exact"/>
        <w:ind w:right="-27" w:rightChars="-13" w:firstLine="640" w:firstLineChars="200"/>
        <w:rPr>
          <w:rFonts w:hint="eastAsia" w:ascii="仿宋" w:hAnsi="仿宋" w:eastAsia="仿宋" w:cs="仿宋"/>
          <w:color w:val="000000"/>
          <w:sz w:val="32"/>
          <w:szCs w:val="32"/>
          <w:lang w:val="zh-CN" w:eastAsia="zh-CN"/>
        </w:rPr>
      </w:pPr>
      <w:r>
        <w:rPr>
          <w:rFonts w:hint="eastAsia" w:ascii="仿宋" w:hAnsi="仿宋" w:eastAsia="仿宋" w:cs="仿宋"/>
          <w:sz w:val="32"/>
          <w:szCs w:val="32"/>
          <w:lang w:val="zh-CN" w:eastAsia="zh-CN"/>
        </w:rPr>
        <w:t>（二）竞得人缴纳采矿权成交价款后，应在3个月内持占用储量登记书、矿山地质环境保护恢复治理与土地复垦方案、环境影响评价报告、水土保持方案、安全预评价报告、企业法人营业执照等采矿登记应具备的资料到达州市自然资源和规划局依法办理采矿登记手续，办理采矿登记手续一切费用由竞得人承担。</w:t>
      </w:r>
      <w:r>
        <w:rPr>
          <w:rFonts w:hint="eastAsia" w:ascii="仿宋" w:hAnsi="仿宋" w:eastAsia="仿宋" w:cs="仿宋"/>
          <w:color w:val="000000"/>
          <w:sz w:val="32"/>
          <w:szCs w:val="32"/>
          <w:lang w:val="zh-CN" w:eastAsia="zh-CN"/>
        </w:rPr>
        <w:t>竞得人逾期未依法申请办理采矿登记手续的，视为放弃，出让人无偿收回采矿权。</w:t>
      </w:r>
    </w:p>
    <w:p>
      <w:pPr>
        <w:spacing w:line="578" w:lineRule="exact"/>
        <w:ind w:right="-27" w:rightChars="-13" w:firstLine="640" w:firstLineChars="200"/>
        <w:rPr>
          <w:rFonts w:hint="eastAsia" w:ascii="仿宋" w:hAnsi="仿宋" w:eastAsia="仿宋" w:cs="仿宋"/>
          <w:sz w:val="32"/>
          <w:szCs w:val="32"/>
          <w:lang w:val="zh-CN" w:eastAsia="zh-CN"/>
        </w:rPr>
      </w:pPr>
      <w:r>
        <w:rPr>
          <w:rFonts w:hint="eastAsia" w:ascii="仿宋" w:hAnsi="仿宋" w:eastAsia="仿宋" w:cs="仿宋"/>
          <w:sz w:val="32"/>
          <w:szCs w:val="32"/>
          <w:lang w:val="zh-CN" w:eastAsia="zh-CN"/>
        </w:rPr>
        <w:t>（三）竞得人在取得采矿许可证后，必须具备其他有关法定条件后方可实施开采作业，自取得采矿许可证后1年内应当进行建设或者生产，逾期不进行建设或者生产的，依法收回采矿许可证。</w:t>
      </w:r>
    </w:p>
    <w:p>
      <w:pPr>
        <w:spacing w:line="578" w:lineRule="exact"/>
        <w:ind w:right="-27" w:rightChars="-13" w:firstLine="640" w:firstLineChars="200"/>
        <w:rPr>
          <w:rFonts w:hint="eastAsia" w:ascii="仿宋" w:hAnsi="仿宋" w:eastAsia="仿宋" w:cs="仿宋"/>
          <w:sz w:val="32"/>
          <w:szCs w:val="32"/>
          <w:lang w:val="zh-CN" w:eastAsia="zh-CN"/>
        </w:rPr>
      </w:pPr>
      <w:r>
        <w:rPr>
          <w:rFonts w:hint="eastAsia" w:ascii="仿宋" w:hAnsi="仿宋" w:eastAsia="仿宋" w:cs="仿宋"/>
          <w:sz w:val="32"/>
          <w:szCs w:val="32"/>
          <w:lang w:val="zh-CN" w:eastAsia="zh-CN"/>
        </w:rPr>
        <w:t>（四）采矿权人应严格按照经审查批准的相关要件实施开采作业，接受相关部门的监督管理。必须严格按照采矿许可证规定的开采范围和期限从事开采活动，必须严格按照矿产资源开发利用方案进行采矿生产作业，做好安全生产工作，保护矿山地质环境，防止水土流失，节约集约利用土地。</w:t>
      </w:r>
    </w:p>
    <w:p>
      <w:pPr>
        <w:spacing w:line="578" w:lineRule="exact"/>
        <w:ind w:right="-27" w:rightChars="-13" w:firstLine="640" w:firstLineChars="200"/>
        <w:rPr>
          <w:rFonts w:hint="eastAsia" w:ascii="仿宋" w:hAnsi="仿宋" w:eastAsia="仿宋" w:cs="仿宋"/>
          <w:sz w:val="32"/>
          <w:szCs w:val="32"/>
          <w:lang w:val="zh-CN" w:eastAsia="zh-CN"/>
        </w:rPr>
      </w:pPr>
      <w:r>
        <w:rPr>
          <w:rFonts w:hint="eastAsia" w:ascii="仿宋" w:hAnsi="仿宋" w:eastAsia="仿宋" w:cs="仿宋"/>
          <w:sz w:val="32"/>
          <w:szCs w:val="32"/>
          <w:lang w:val="zh-CN" w:eastAsia="zh-CN"/>
        </w:rPr>
        <w:t>（五）采矿权人开采矿产资源需要临时占用或者征用土地的，应当办理用地审批手续，涉及林地的，必须报林业行政主管部门审核批准。</w:t>
      </w:r>
    </w:p>
    <w:p>
      <w:pPr>
        <w:keepNext w:val="0"/>
        <w:keepLines w:val="0"/>
        <w:pageBreakBefore w:val="0"/>
        <w:kinsoku/>
        <w:wordWrap/>
        <w:overflowPunct/>
        <w:topLinePunct w:val="0"/>
        <w:bidi w:val="0"/>
        <w:adjustRightInd w:val="0"/>
        <w:snapToGrid w:val="0"/>
        <w:spacing w:line="578" w:lineRule="exact"/>
        <w:ind w:firstLine="640" w:firstLineChars="200"/>
        <w:textAlignment w:val="auto"/>
        <w:rPr>
          <w:rFonts w:hint="eastAsia"/>
          <w:lang w:val="zh-CN" w:eastAsia="zh-CN"/>
        </w:rPr>
      </w:pPr>
      <w:r>
        <w:rPr>
          <w:rFonts w:hint="default" w:ascii="Times New Roman" w:hAnsi="Times New Roman" w:eastAsia="仿宋_GB2312" w:cs="Times New Roman"/>
          <w:sz w:val="32"/>
          <w:szCs w:val="32"/>
        </w:rPr>
        <w:t>（</w:t>
      </w:r>
      <w:r>
        <w:rPr>
          <w:rFonts w:hint="eastAsia" w:ascii="Times New Roman" w:hAnsi="Times New Roman" w:eastAsia="仿宋_GB2312" w:cs="Times New Roman"/>
          <w:sz w:val="32"/>
          <w:szCs w:val="32"/>
          <w:lang w:eastAsia="zh-CN"/>
        </w:rPr>
        <w:t>六</w:t>
      </w:r>
      <w:r>
        <w:rPr>
          <w:rFonts w:hint="default" w:ascii="Times New Roman" w:hAnsi="Times New Roman" w:eastAsia="仿宋_GB2312" w:cs="Times New Roman"/>
          <w:sz w:val="32"/>
          <w:szCs w:val="32"/>
        </w:rPr>
        <w:t>）该采矿权出让后，竞得人须按照绿色矿山标准进行建设及开发利用，严格按照开发利用方案，合理利用矿产资源。</w:t>
      </w:r>
    </w:p>
    <w:p>
      <w:pPr>
        <w:spacing w:line="578" w:lineRule="exact"/>
        <w:ind w:right="-27" w:rightChars="-13" w:firstLine="640" w:firstLineChars="200"/>
        <w:rPr>
          <w:rFonts w:hint="eastAsia" w:ascii="仿宋" w:hAnsi="仿宋" w:eastAsia="仿宋" w:cs="仿宋"/>
          <w:sz w:val="32"/>
          <w:szCs w:val="32"/>
          <w:lang w:val="zh-CN" w:eastAsia="zh-CN"/>
        </w:rPr>
      </w:pPr>
      <w:r>
        <w:rPr>
          <w:rFonts w:hint="eastAsia" w:ascii="仿宋" w:hAnsi="仿宋" w:eastAsia="仿宋" w:cs="仿宋"/>
          <w:sz w:val="32"/>
          <w:szCs w:val="32"/>
          <w:lang w:val="zh-CN" w:eastAsia="zh-CN"/>
        </w:rPr>
        <w:t>（七）采矿许可证有效期届满，原则上无偿收回采矿权。延续登记未经登记机关批准，采矿权人应在其采矿许可证有效期满之日前，撤出一切采矿机械设备，运走矿区范围内的矿产品，办理采矿许可证注销手续，并按照规定完成矿山环境恢复治理和土地复垦工作。</w:t>
      </w:r>
    </w:p>
    <w:p>
      <w:pPr>
        <w:spacing w:line="578" w:lineRule="exact"/>
        <w:ind w:right="-27" w:rightChars="-13" w:firstLine="640" w:firstLineChars="200"/>
        <w:rPr>
          <w:rFonts w:hint="eastAsia" w:ascii="仿宋" w:hAnsi="仿宋" w:eastAsia="仿宋" w:cs="仿宋"/>
          <w:sz w:val="32"/>
          <w:szCs w:val="32"/>
        </w:rPr>
      </w:pPr>
      <w:r>
        <w:rPr>
          <w:rFonts w:hint="eastAsia" w:ascii="仿宋" w:hAnsi="仿宋" w:eastAsia="仿宋" w:cs="仿宋"/>
          <w:sz w:val="32"/>
          <w:szCs w:val="32"/>
          <w:lang w:val="zh-CN" w:eastAsia="zh-CN"/>
        </w:rPr>
        <w:t>（八）采矿权出让期满未经批准办理采矿延续登记的，原采矿权人应停止一切采矿活动，采矿权人因采矿的所有投入一律不予补偿。</w:t>
      </w:r>
    </w:p>
    <w:p>
      <w:pPr>
        <w:spacing w:line="578" w:lineRule="exact"/>
        <w:ind w:firstLine="640" w:firstLineChars="200"/>
        <w:rPr>
          <w:rFonts w:ascii="仿宋" w:hAnsi="仿宋" w:eastAsia="仿宋"/>
          <w:sz w:val="32"/>
          <w:szCs w:val="32"/>
        </w:rPr>
      </w:pPr>
      <w:r>
        <w:rPr>
          <w:rFonts w:hint="eastAsia" w:ascii="仿宋" w:hAnsi="仿宋" w:eastAsia="仿宋"/>
          <w:sz w:val="32"/>
          <w:szCs w:val="32"/>
        </w:rPr>
        <w:t>（</w:t>
      </w:r>
      <w:r>
        <w:rPr>
          <w:rFonts w:hint="eastAsia" w:ascii="仿宋" w:hAnsi="仿宋" w:eastAsia="仿宋"/>
          <w:color w:val="000000"/>
          <w:sz w:val="32"/>
          <w:szCs w:val="32"/>
          <w:lang w:val="en-US" w:eastAsia="zh-CN"/>
        </w:rPr>
        <w:t>九</w:t>
      </w:r>
      <w:r>
        <w:rPr>
          <w:rFonts w:hint="eastAsia" w:ascii="仿宋" w:hAnsi="仿宋" w:eastAsia="仿宋"/>
          <w:sz w:val="32"/>
          <w:szCs w:val="32"/>
        </w:rPr>
        <w:t>）本次拍卖出让实行全程电子化拍卖交易，具体操作见《竞买人操作指南》。</w:t>
      </w:r>
    </w:p>
    <w:p>
      <w:pPr>
        <w:spacing w:line="578" w:lineRule="exact"/>
        <w:ind w:firstLine="640" w:firstLineChars="200"/>
        <w:rPr>
          <w:rFonts w:ascii="仿宋" w:hAnsi="仿宋" w:eastAsia="仿宋"/>
          <w:color w:val="000000"/>
          <w:sz w:val="32"/>
          <w:szCs w:val="32"/>
        </w:rPr>
      </w:pPr>
      <w:r>
        <w:rPr>
          <w:rFonts w:hint="eastAsia" w:ascii="仿宋" w:hAnsi="仿宋" w:eastAsia="仿宋"/>
          <w:color w:val="000000"/>
          <w:sz w:val="32"/>
          <w:szCs w:val="32"/>
        </w:rPr>
        <w:t>（</w:t>
      </w:r>
      <w:r>
        <w:rPr>
          <w:rFonts w:hint="eastAsia" w:ascii="仿宋" w:hAnsi="仿宋" w:eastAsia="仿宋"/>
          <w:color w:val="000000"/>
          <w:sz w:val="32"/>
          <w:szCs w:val="32"/>
          <w:lang w:val="en-US" w:eastAsia="zh-CN"/>
        </w:rPr>
        <w:t>十</w:t>
      </w:r>
      <w:r>
        <w:rPr>
          <w:rFonts w:hint="eastAsia" w:ascii="仿宋" w:hAnsi="仿宋" w:eastAsia="仿宋"/>
          <w:color w:val="000000"/>
          <w:sz w:val="32"/>
          <w:szCs w:val="32"/>
        </w:rPr>
        <w:t>）竞得人需自行解决除出让采矿权以外等方面的问题，并承担费用。</w:t>
      </w:r>
    </w:p>
    <w:p>
      <w:pPr>
        <w:spacing w:line="578" w:lineRule="exact"/>
        <w:rPr>
          <w:rFonts w:ascii="仿宋" w:hAnsi="仿宋" w:eastAsia="仿宋"/>
          <w:color w:val="000000"/>
          <w:sz w:val="32"/>
          <w:szCs w:val="32"/>
        </w:rPr>
      </w:pPr>
      <w:r>
        <w:rPr>
          <w:rFonts w:ascii="仿宋" w:hAnsi="仿宋" w:eastAsia="仿宋"/>
          <w:color w:val="000000"/>
          <w:sz w:val="32"/>
          <w:szCs w:val="32"/>
        </w:rPr>
        <w:t xml:space="preserve">    </w:t>
      </w:r>
      <w:r>
        <w:rPr>
          <w:rFonts w:hint="eastAsia" w:ascii="仿宋" w:hAnsi="仿宋" w:eastAsia="仿宋"/>
          <w:color w:val="000000"/>
          <w:sz w:val="32"/>
          <w:szCs w:val="32"/>
        </w:rPr>
        <w:t>（</w:t>
      </w:r>
      <w:r>
        <w:rPr>
          <w:rFonts w:hint="eastAsia" w:ascii="仿宋" w:hAnsi="仿宋" w:eastAsia="仿宋"/>
          <w:color w:val="000000"/>
          <w:sz w:val="32"/>
          <w:szCs w:val="32"/>
          <w:lang w:val="en-US" w:eastAsia="zh-CN"/>
        </w:rPr>
        <w:t>十一</w:t>
      </w:r>
      <w:r>
        <w:rPr>
          <w:rFonts w:hint="eastAsia" w:ascii="仿宋" w:hAnsi="仿宋" w:eastAsia="仿宋"/>
          <w:color w:val="000000"/>
          <w:sz w:val="32"/>
          <w:szCs w:val="32"/>
        </w:rPr>
        <w:t>）竞得人应向自然资源部门申请办理采矿许可证，向应急管理、生态环境、林业等有关部门办理相关手续，所需资料及相关费用由竞得人自行承担。</w:t>
      </w:r>
    </w:p>
    <w:p>
      <w:pPr>
        <w:pStyle w:val="16"/>
        <w:spacing w:before="0" w:beforeAutospacing="0" w:after="0" w:afterAutospacing="0" w:line="578" w:lineRule="exact"/>
        <w:ind w:firstLine="604" w:firstLineChars="189"/>
        <w:jc w:val="both"/>
        <w:rPr>
          <w:rFonts w:ascii="仿宋" w:hAnsi="仿宋" w:eastAsia="仿宋"/>
          <w:sz w:val="32"/>
          <w:szCs w:val="32"/>
        </w:rPr>
      </w:pPr>
      <w:r>
        <w:rPr>
          <w:rFonts w:hint="eastAsia" w:ascii="仿宋" w:hAnsi="仿宋" w:eastAsia="仿宋" w:cs="Times New Roman"/>
          <w:color w:val="000000"/>
          <w:sz w:val="32"/>
          <w:szCs w:val="32"/>
        </w:rPr>
        <w:t>（十</w:t>
      </w:r>
      <w:r>
        <w:rPr>
          <w:rFonts w:hint="eastAsia" w:ascii="仿宋" w:hAnsi="仿宋" w:eastAsia="仿宋" w:cs="Times New Roman"/>
          <w:color w:val="000000"/>
          <w:sz w:val="32"/>
          <w:szCs w:val="32"/>
          <w:lang w:val="en-US" w:eastAsia="zh-CN"/>
        </w:rPr>
        <w:t>二</w:t>
      </w:r>
      <w:r>
        <w:rPr>
          <w:rFonts w:hint="eastAsia" w:ascii="仿宋" w:hAnsi="仿宋" w:eastAsia="仿宋" w:cs="Times New Roman"/>
          <w:color w:val="000000"/>
          <w:sz w:val="32"/>
          <w:szCs w:val="32"/>
        </w:rPr>
        <w:t>）</w:t>
      </w:r>
      <w:r>
        <w:rPr>
          <w:rFonts w:hint="eastAsia" w:ascii="仿宋" w:hAnsi="仿宋" w:eastAsia="仿宋"/>
          <w:sz w:val="32"/>
          <w:szCs w:val="32"/>
        </w:rPr>
        <w:t>本公告未尽事宜详见拍卖出让文件（拍卖出让文件可在</w:t>
      </w:r>
      <w:r>
        <w:rPr>
          <w:rFonts w:hint="eastAsia" w:ascii="仿宋" w:hAnsi="仿宋" w:eastAsia="仿宋"/>
          <w:w w:val="90"/>
          <w:sz w:val="32"/>
          <w:szCs w:val="32"/>
        </w:rPr>
        <w:t>达州市公共资源交易服务网</w:t>
      </w:r>
      <w:r>
        <w:rPr>
          <w:rFonts w:ascii="仿宋" w:hAnsi="仿宋" w:eastAsia="仿宋"/>
          <w:w w:val="90"/>
          <w:sz w:val="32"/>
          <w:szCs w:val="32"/>
        </w:rPr>
        <w:t xml:space="preserve"> </w:t>
      </w:r>
      <w:r>
        <w:rPr>
          <w:rFonts w:hint="eastAsia" w:ascii="仿宋" w:hAnsi="仿宋" w:eastAsia="仿宋"/>
          <w:sz w:val="32"/>
          <w:szCs w:val="32"/>
        </w:rPr>
        <w:t>（</w:t>
      </w:r>
      <w:r>
        <w:rPr>
          <w:rFonts w:ascii="仿宋" w:hAnsi="仿宋" w:eastAsia="仿宋"/>
          <w:sz w:val="32"/>
          <w:szCs w:val="32"/>
        </w:rPr>
        <w:t>http://www.dzggzy.cn</w:t>
      </w:r>
      <w:r>
        <w:rPr>
          <w:rFonts w:hint="eastAsia" w:ascii="仿宋" w:hAnsi="仿宋" w:eastAsia="仿宋"/>
          <w:sz w:val="32"/>
          <w:szCs w:val="32"/>
        </w:rPr>
        <w:t>）</w:t>
      </w:r>
      <w:r>
        <w:rPr>
          <w:rFonts w:hint="eastAsia" w:ascii="仿宋" w:hAnsi="仿宋" w:eastAsia="仿宋"/>
          <w:w w:val="90"/>
          <w:sz w:val="32"/>
          <w:szCs w:val="32"/>
        </w:rPr>
        <w:t>下载）</w:t>
      </w:r>
      <w:r>
        <w:rPr>
          <w:rFonts w:hint="eastAsia" w:ascii="仿宋" w:hAnsi="仿宋" w:eastAsia="仿宋"/>
          <w:sz w:val="32"/>
          <w:szCs w:val="32"/>
        </w:rPr>
        <w:t>，并以拍卖出让文件中各相关职能部门或行政主管部门出具的文件为准。公告发布后可能出现延期、中止、终止等变更情况，为保障各竞买人顺利参加本次拍卖活动，敬请各竞买人在交易开始前随时关注查阅相关公告信息。</w:t>
      </w:r>
    </w:p>
    <w:p>
      <w:pPr>
        <w:snapToGrid w:val="0"/>
        <w:spacing w:line="578" w:lineRule="exact"/>
        <w:ind w:firstLine="640" w:firstLineChars="200"/>
        <w:rPr>
          <w:rFonts w:ascii="仿宋" w:hAnsi="仿宋" w:eastAsia="仿宋"/>
          <w:sz w:val="32"/>
          <w:szCs w:val="32"/>
        </w:rPr>
      </w:pPr>
      <w:r>
        <w:rPr>
          <w:rFonts w:hint="eastAsia" w:ascii="仿宋" w:hAnsi="仿宋" w:eastAsia="仿宋"/>
          <w:sz w:val="32"/>
          <w:szCs w:val="32"/>
          <w:lang w:val="en-US" w:eastAsia="zh-CN"/>
        </w:rPr>
        <w:t>十</w:t>
      </w:r>
      <w:r>
        <w:rPr>
          <w:rFonts w:hint="eastAsia" w:ascii="仿宋" w:hAnsi="仿宋" w:eastAsia="仿宋"/>
          <w:sz w:val="32"/>
          <w:szCs w:val="32"/>
        </w:rPr>
        <w:t>、失信联合惩戒提示</w:t>
      </w:r>
    </w:p>
    <w:p>
      <w:pPr>
        <w:snapToGrid w:val="0"/>
        <w:spacing w:line="578" w:lineRule="exact"/>
        <w:ind w:firstLine="640" w:firstLineChars="200"/>
        <w:rPr>
          <w:rFonts w:ascii="仿宋" w:hAnsi="仿宋" w:eastAsia="仿宋"/>
          <w:sz w:val="32"/>
          <w:szCs w:val="32"/>
        </w:rPr>
      </w:pPr>
      <w:r>
        <w:rPr>
          <w:rFonts w:hint="eastAsia" w:ascii="仿宋" w:hAnsi="仿宋" w:eastAsia="仿宋"/>
          <w:sz w:val="32"/>
          <w:szCs w:val="32"/>
        </w:rPr>
        <w:t>拍卖、挂牌成交后，竞得人如不按要求签订成交确认书，或签订成交确认书后不按要求签订矿业权出让合同，则将被纳入公共资源交易领域严重违法失信“黑名单”，实施联合惩戒，并追究相应法律责任。</w:t>
      </w:r>
    </w:p>
    <w:p>
      <w:pPr>
        <w:snapToGrid w:val="0"/>
        <w:spacing w:line="578" w:lineRule="exact"/>
        <w:ind w:firstLine="480" w:firstLineChars="150"/>
        <w:rPr>
          <w:rFonts w:ascii="仿宋" w:hAnsi="仿宋" w:eastAsia="仿宋"/>
          <w:sz w:val="32"/>
          <w:szCs w:val="32"/>
        </w:rPr>
      </w:pPr>
      <w:r>
        <w:rPr>
          <w:rFonts w:hint="eastAsia" w:ascii="仿宋" w:hAnsi="仿宋" w:eastAsia="仿宋"/>
          <w:sz w:val="32"/>
          <w:szCs w:val="32"/>
        </w:rPr>
        <w:t>十</w:t>
      </w:r>
      <w:r>
        <w:rPr>
          <w:rFonts w:hint="eastAsia" w:ascii="仿宋" w:hAnsi="仿宋" w:eastAsia="仿宋"/>
          <w:sz w:val="32"/>
          <w:szCs w:val="32"/>
          <w:lang w:val="en-US" w:eastAsia="zh-CN"/>
        </w:rPr>
        <w:t>一</w:t>
      </w:r>
      <w:r>
        <w:rPr>
          <w:rFonts w:hint="eastAsia" w:ascii="仿宋" w:hAnsi="仿宋" w:eastAsia="仿宋"/>
          <w:sz w:val="32"/>
          <w:szCs w:val="32"/>
        </w:rPr>
        <w:t>、联系方式</w:t>
      </w:r>
    </w:p>
    <w:p>
      <w:pPr>
        <w:snapToGrid w:val="0"/>
        <w:spacing w:line="578" w:lineRule="exact"/>
        <w:ind w:firstLine="555"/>
        <w:rPr>
          <w:rFonts w:ascii="仿宋" w:hAnsi="仿宋" w:eastAsia="仿宋"/>
          <w:sz w:val="32"/>
          <w:szCs w:val="32"/>
        </w:rPr>
      </w:pPr>
      <w:r>
        <w:rPr>
          <w:rFonts w:hint="eastAsia" w:ascii="仿宋" w:hAnsi="仿宋" w:eastAsia="仿宋"/>
          <w:sz w:val="32"/>
          <w:szCs w:val="32"/>
        </w:rPr>
        <w:t>出让人：达州市</w:t>
      </w:r>
      <w:r>
        <w:rPr>
          <w:rFonts w:hint="eastAsia" w:ascii="仿宋" w:hAnsi="仿宋" w:eastAsia="仿宋"/>
          <w:sz w:val="32"/>
          <w:szCs w:val="32"/>
          <w:lang w:val="en-US" w:eastAsia="zh-CN"/>
        </w:rPr>
        <w:t>达</w:t>
      </w:r>
      <w:r>
        <w:rPr>
          <w:rFonts w:hint="eastAsia" w:ascii="仿宋" w:hAnsi="仿宋" w:eastAsia="仿宋"/>
          <w:sz w:val="32"/>
          <w:szCs w:val="32"/>
        </w:rPr>
        <w:t>川区自然资源局</w:t>
      </w:r>
    </w:p>
    <w:p>
      <w:pPr>
        <w:snapToGrid w:val="0"/>
        <w:spacing w:line="578" w:lineRule="exact"/>
        <w:ind w:firstLine="555"/>
        <w:rPr>
          <w:rFonts w:hint="eastAsia" w:ascii="仿宋" w:hAnsi="仿宋" w:eastAsia="仿宋"/>
          <w:sz w:val="32"/>
          <w:szCs w:val="32"/>
          <w:lang w:val="en-US" w:eastAsia="zh-CN"/>
        </w:rPr>
      </w:pPr>
      <w:r>
        <w:rPr>
          <w:rFonts w:hint="eastAsia" w:ascii="仿宋" w:hAnsi="仿宋" w:eastAsia="仿宋"/>
          <w:sz w:val="32"/>
          <w:szCs w:val="32"/>
        </w:rPr>
        <w:t>联系地址：</w:t>
      </w:r>
      <w:r>
        <w:rPr>
          <w:rFonts w:ascii="仿宋" w:hAnsi="仿宋" w:eastAsia="仿宋" w:cs="仿宋"/>
          <w:i w:val="0"/>
          <w:iCs w:val="0"/>
          <w:caps w:val="0"/>
          <w:color w:val="000000"/>
          <w:spacing w:val="0"/>
          <w:sz w:val="32"/>
          <w:szCs w:val="32"/>
          <w:shd w:val="clear" w:fill="FFFFFF"/>
        </w:rPr>
        <w:t>达川区达川大道三段</w:t>
      </w:r>
      <w:r>
        <w:rPr>
          <w:rFonts w:hint="eastAsia" w:ascii="仿宋" w:hAnsi="仿宋" w:eastAsia="仿宋" w:cs="仿宋"/>
          <w:i w:val="0"/>
          <w:iCs w:val="0"/>
          <w:caps w:val="0"/>
          <w:color w:val="000000"/>
          <w:spacing w:val="0"/>
          <w:sz w:val="32"/>
          <w:szCs w:val="32"/>
          <w:shd w:val="clear" w:fill="FFFFFF"/>
        </w:rPr>
        <w:t>333号</w:t>
      </w:r>
    </w:p>
    <w:p>
      <w:pPr>
        <w:snapToGrid w:val="0"/>
        <w:spacing w:line="578" w:lineRule="exact"/>
        <w:ind w:left="556" w:leftChars="265"/>
        <w:rPr>
          <w:rFonts w:hint="eastAsia" w:ascii="仿宋" w:hAnsi="仿宋" w:eastAsia="仿宋"/>
          <w:sz w:val="32"/>
          <w:szCs w:val="32"/>
          <w:u w:val="single"/>
          <w:lang w:val="en-US" w:eastAsia="zh-CN"/>
        </w:rPr>
      </w:pPr>
      <w:r>
        <w:rPr>
          <w:rFonts w:hint="eastAsia" w:ascii="仿宋" w:hAnsi="仿宋" w:eastAsia="仿宋"/>
          <w:sz w:val="32"/>
          <w:szCs w:val="32"/>
        </w:rPr>
        <w:t>联系电话：</w:t>
      </w:r>
      <w:r>
        <w:rPr>
          <w:rFonts w:ascii="仿宋" w:hAnsi="仿宋" w:eastAsia="仿宋" w:cs="仿宋"/>
          <w:i w:val="0"/>
          <w:iCs w:val="0"/>
          <w:caps w:val="0"/>
          <w:color w:val="000000"/>
          <w:spacing w:val="0"/>
          <w:sz w:val="32"/>
          <w:szCs w:val="32"/>
          <w:shd w:val="clear" w:fill="FFFFFF"/>
        </w:rPr>
        <w:t>0818-3109058</w:t>
      </w:r>
    </w:p>
    <w:p>
      <w:pPr>
        <w:snapToGrid w:val="0"/>
        <w:spacing w:line="578" w:lineRule="exact"/>
        <w:ind w:left="556" w:leftChars="265"/>
        <w:rPr>
          <w:rFonts w:ascii="仿宋" w:hAnsi="仿宋" w:eastAsia="仿宋"/>
          <w:sz w:val="32"/>
          <w:szCs w:val="32"/>
        </w:rPr>
      </w:pPr>
      <w:r>
        <w:rPr>
          <w:rFonts w:hint="eastAsia" w:ascii="仿宋" w:hAnsi="仿宋" w:eastAsia="仿宋"/>
          <w:sz w:val="32"/>
          <w:szCs w:val="32"/>
        </w:rPr>
        <w:t>拍卖人：达州市公共资源交易服务中心</w:t>
      </w:r>
    </w:p>
    <w:p>
      <w:pPr>
        <w:snapToGrid w:val="0"/>
        <w:spacing w:line="600" w:lineRule="exact"/>
        <w:ind w:left="1992" w:leftChars="263" w:hanging="1440" w:hangingChars="450"/>
        <w:rPr>
          <w:rFonts w:ascii="仿宋" w:hAnsi="仿宋" w:eastAsia="仿宋"/>
          <w:sz w:val="32"/>
          <w:szCs w:val="32"/>
        </w:rPr>
      </w:pPr>
      <w:r>
        <w:rPr>
          <w:rFonts w:hint="eastAsia" w:ascii="仿宋" w:hAnsi="仿宋" w:eastAsia="仿宋"/>
          <w:sz w:val="32"/>
          <w:szCs w:val="32"/>
        </w:rPr>
        <w:t>联系地址：四川省达州市马踏洞新区龙马大道与鱼泉路交叉口处新政务服务大楼</w:t>
      </w:r>
    </w:p>
    <w:p>
      <w:pPr>
        <w:snapToGrid w:val="0"/>
        <w:spacing w:line="578" w:lineRule="exact"/>
        <w:ind w:firstLine="555"/>
        <w:rPr>
          <w:rFonts w:ascii="仿宋" w:hAnsi="仿宋" w:eastAsia="仿宋"/>
          <w:sz w:val="32"/>
          <w:szCs w:val="32"/>
        </w:rPr>
      </w:pPr>
      <w:r>
        <w:rPr>
          <w:rFonts w:hint="eastAsia" w:ascii="仿宋" w:hAnsi="仿宋" w:eastAsia="仿宋"/>
          <w:sz w:val="32"/>
          <w:szCs w:val="32"/>
        </w:rPr>
        <w:t>联系电话</w:t>
      </w:r>
      <w:r>
        <w:rPr>
          <w:rFonts w:ascii="仿宋" w:hAnsi="仿宋" w:eastAsia="仿宋"/>
          <w:sz w:val="32"/>
          <w:szCs w:val="32"/>
        </w:rPr>
        <w:t>: 0818-333</w:t>
      </w:r>
      <w:r>
        <w:rPr>
          <w:rFonts w:hint="eastAsia" w:ascii="仿宋" w:hAnsi="仿宋" w:eastAsia="仿宋"/>
          <w:sz w:val="32"/>
          <w:szCs w:val="32"/>
          <w:lang w:val="en-US" w:eastAsia="zh-CN"/>
        </w:rPr>
        <w:t>0177</w:t>
      </w:r>
      <w:r>
        <w:rPr>
          <w:rFonts w:hint="eastAsia" w:ascii="仿宋" w:hAnsi="仿宋" w:eastAsia="仿宋"/>
          <w:sz w:val="32"/>
          <w:szCs w:val="32"/>
        </w:rPr>
        <w:t>（组织科）</w:t>
      </w:r>
    </w:p>
    <w:p>
      <w:pPr>
        <w:snapToGrid w:val="0"/>
        <w:spacing w:line="578" w:lineRule="exact"/>
        <w:ind w:firstLine="2080" w:firstLineChars="650"/>
        <w:rPr>
          <w:rFonts w:ascii="仿宋" w:hAnsi="仿宋" w:eastAsia="仿宋"/>
          <w:sz w:val="32"/>
          <w:szCs w:val="32"/>
        </w:rPr>
      </w:pPr>
      <w:r>
        <w:rPr>
          <w:rFonts w:ascii="仿宋" w:hAnsi="仿宋" w:eastAsia="仿宋"/>
          <w:sz w:val="32"/>
          <w:szCs w:val="32"/>
        </w:rPr>
        <w:t>0818-3131833</w:t>
      </w:r>
      <w:r>
        <w:rPr>
          <w:rFonts w:hint="eastAsia" w:ascii="仿宋" w:hAnsi="仿宋" w:eastAsia="仿宋"/>
          <w:sz w:val="32"/>
          <w:szCs w:val="32"/>
        </w:rPr>
        <w:t>（信息科）</w:t>
      </w:r>
    </w:p>
    <w:p>
      <w:pPr>
        <w:snapToGrid w:val="0"/>
        <w:spacing w:line="578" w:lineRule="exact"/>
        <w:ind w:right="620"/>
        <w:jc w:val="right"/>
        <w:rPr>
          <w:rFonts w:ascii="仿宋" w:hAnsi="仿宋" w:eastAsia="仿宋"/>
          <w:sz w:val="32"/>
          <w:szCs w:val="32"/>
        </w:rPr>
      </w:pPr>
    </w:p>
    <w:p>
      <w:pPr>
        <w:snapToGrid w:val="0"/>
        <w:spacing w:line="578" w:lineRule="exact"/>
        <w:ind w:right="620"/>
        <w:jc w:val="right"/>
        <w:rPr>
          <w:rFonts w:ascii="仿宋" w:hAnsi="仿宋" w:eastAsia="仿宋"/>
          <w:sz w:val="32"/>
          <w:szCs w:val="32"/>
        </w:rPr>
      </w:pPr>
    </w:p>
    <w:p>
      <w:pPr>
        <w:snapToGrid w:val="0"/>
        <w:spacing w:line="578" w:lineRule="exact"/>
        <w:ind w:firstLine="555"/>
        <w:jc w:val="center"/>
        <w:rPr>
          <w:rFonts w:ascii="仿宋" w:hAnsi="仿宋" w:eastAsia="仿宋"/>
          <w:sz w:val="32"/>
          <w:szCs w:val="32"/>
        </w:rPr>
      </w:pPr>
      <w:r>
        <w:rPr>
          <w:rFonts w:ascii="仿宋" w:hAnsi="仿宋" w:eastAsia="仿宋"/>
          <w:sz w:val="32"/>
          <w:szCs w:val="32"/>
        </w:rPr>
        <w:t xml:space="preserve">        </w:t>
      </w:r>
      <w:r>
        <w:rPr>
          <w:rFonts w:hint="eastAsia" w:ascii="仿宋" w:hAnsi="仿宋" w:eastAsia="仿宋"/>
          <w:sz w:val="32"/>
          <w:szCs w:val="32"/>
        </w:rPr>
        <w:t>达州市</w:t>
      </w:r>
      <w:r>
        <w:rPr>
          <w:rFonts w:hint="eastAsia" w:ascii="仿宋" w:hAnsi="仿宋" w:eastAsia="仿宋"/>
          <w:sz w:val="32"/>
          <w:szCs w:val="32"/>
          <w:lang w:val="en-US" w:eastAsia="zh-CN"/>
        </w:rPr>
        <w:t>达</w:t>
      </w:r>
      <w:r>
        <w:rPr>
          <w:rFonts w:hint="eastAsia" w:ascii="仿宋" w:hAnsi="仿宋" w:eastAsia="仿宋"/>
          <w:sz w:val="32"/>
          <w:szCs w:val="32"/>
        </w:rPr>
        <w:t>川区自然资源局</w:t>
      </w:r>
    </w:p>
    <w:p>
      <w:pPr>
        <w:snapToGrid w:val="0"/>
        <w:spacing w:line="578" w:lineRule="exact"/>
        <w:ind w:firstLine="555"/>
        <w:jc w:val="center"/>
        <w:rPr>
          <w:rFonts w:ascii="仿宋" w:hAnsi="仿宋" w:eastAsia="仿宋"/>
          <w:sz w:val="32"/>
          <w:szCs w:val="32"/>
        </w:rPr>
      </w:pPr>
      <w:r>
        <w:rPr>
          <w:rFonts w:ascii="仿宋" w:hAnsi="仿宋" w:eastAsia="仿宋"/>
          <w:sz w:val="32"/>
          <w:szCs w:val="32"/>
        </w:rPr>
        <w:t xml:space="preserve">          </w:t>
      </w:r>
      <w:r>
        <w:rPr>
          <w:rFonts w:hint="eastAsia" w:ascii="仿宋" w:hAnsi="仿宋" w:eastAsia="仿宋"/>
          <w:sz w:val="32"/>
          <w:szCs w:val="32"/>
        </w:rPr>
        <w:t>达州市公共资源交易服务中心</w:t>
      </w:r>
    </w:p>
    <w:p>
      <w:pPr>
        <w:snapToGrid w:val="0"/>
        <w:spacing w:line="578" w:lineRule="exact"/>
        <w:ind w:firstLine="555"/>
        <w:rPr>
          <w:rFonts w:ascii="仿宋" w:hAnsi="仿宋" w:eastAsia="仿宋"/>
          <w:sz w:val="32"/>
          <w:szCs w:val="32"/>
        </w:rPr>
      </w:pPr>
      <w:r>
        <w:rPr>
          <w:rFonts w:ascii="仿宋" w:hAnsi="仿宋" w:eastAsia="仿宋"/>
          <w:sz w:val="32"/>
          <w:szCs w:val="32"/>
        </w:rPr>
        <w:t xml:space="preserve">                       202</w:t>
      </w:r>
      <w:r>
        <w:rPr>
          <w:rFonts w:hint="eastAsia" w:ascii="仿宋" w:hAnsi="仿宋" w:eastAsia="仿宋"/>
          <w:sz w:val="32"/>
          <w:szCs w:val="32"/>
          <w:lang w:val="en-US" w:eastAsia="zh-CN"/>
        </w:rPr>
        <w:t>1</w:t>
      </w:r>
      <w:r>
        <w:rPr>
          <w:rFonts w:hint="eastAsia" w:ascii="仿宋" w:hAnsi="仿宋" w:eastAsia="仿宋"/>
          <w:sz w:val="32"/>
          <w:szCs w:val="32"/>
        </w:rPr>
        <w:t>年</w:t>
      </w:r>
      <w:r>
        <w:rPr>
          <w:rFonts w:hint="eastAsia" w:ascii="仿宋" w:hAnsi="仿宋" w:eastAsia="仿宋"/>
          <w:sz w:val="32"/>
          <w:szCs w:val="32"/>
          <w:lang w:val="en-US" w:eastAsia="zh-CN"/>
        </w:rPr>
        <w:t>5</w:t>
      </w:r>
      <w:r>
        <w:rPr>
          <w:rFonts w:hint="eastAsia" w:ascii="仿宋" w:hAnsi="仿宋" w:eastAsia="仿宋"/>
          <w:sz w:val="32"/>
          <w:szCs w:val="32"/>
        </w:rPr>
        <w:t>月</w:t>
      </w:r>
      <w:r>
        <w:rPr>
          <w:rFonts w:hint="eastAsia" w:ascii="仿宋" w:hAnsi="仿宋" w:eastAsia="仿宋"/>
          <w:sz w:val="32"/>
          <w:szCs w:val="32"/>
          <w:lang w:val="en-US" w:eastAsia="zh-CN"/>
        </w:rPr>
        <w:t>26</w:t>
      </w:r>
      <w:r>
        <w:rPr>
          <w:rFonts w:hint="eastAsia" w:ascii="仿宋" w:hAnsi="仿宋" w:eastAsia="仿宋"/>
          <w:sz w:val="32"/>
          <w:szCs w:val="32"/>
        </w:rPr>
        <w:t>日</w:t>
      </w:r>
    </w:p>
    <w:p>
      <w:pPr>
        <w:spacing w:line="578" w:lineRule="exact"/>
        <w:jc w:val="center"/>
        <w:rPr>
          <w:rFonts w:ascii="方正小标宋简体" w:hAnsi="黑体" w:eastAsia="方正小标宋简体"/>
          <w:spacing w:val="-5"/>
          <w:sz w:val="44"/>
          <w:szCs w:val="44"/>
        </w:rPr>
      </w:pPr>
    </w:p>
    <w:p>
      <w:pPr>
        <w:spacing w:line="578" w:lineRule="exact"/>
        <w:jc w:val="both"/>
        <w:rPr>
          <w:rFonts w:ascii="方正小标宋简体" w:hAnsi="黑体" w:eastAsia="方正小标宋简体"/>
          <w:spacing w:val="-5"/>
          <w:sz w:val="44"/>
          <w:szCs w:val="44"/>
        </w:rPr>
      </w:pPr>
    </w:p>
    <w:p>
      <w:pPr>
        <w:spacing w:line="578" w:lineRule="exact"/>
        <w:jc w:val="center"/>
        <w:rPr>
          <w:rFonts w:ascii="方正小标宋简体" w:hAnsi="黑体" w:eastAsia="方正小标宋简体"/>
          <w:spacing w:val="-5"/>
          <w:sz w:val="44"/>
          <w:szCs w:val="44"/>
        </w:rPr>
      </w:pPr>
      <w:r>
        <w:rPr>
          <w:rFonts w:hint="eastAsia" w:ascii="方正小标宋简体" w:hAnsi="黑体" w:eastAsia="方正小标宋简体"/>
          <w:spacing w:val="-5"/>
          <w:sz w:val="44"/>
          <w:szCs w:val="44"/>
        </w:rPr>
        <w:t>采矿权拍卖出让须知</w:t>
      </w:r>
    </w:p>
    <w:p>
      <w:pPr>
        <w:pStyle w:val="34"/>
        <w:spacing w:line="578" w:lineRule="exact"/>
        <w:rPr>
          <w:rFonts w:ascii="仿宋_GB2312" w:hAnsi="华文仿宋" w:eastAsia="仿宋_GB2312"/>
          <w:sz w:val="32"/>
          <w:szCs w:val="32"/>
        </w:rPr>
      </w:pPr>
    </w:p>
    <w:p>
      <w:pPr>
        <w:spacing w:line="578" w:lineRule="exact"/>
        <w:ind w:firstLine="640" w:firstLineChars="200"/>
        <w:rPr>
          <w:rFonts w:ascii="仿宋_GB2312" w:hAnsi="宋体" w:eastAsia="仿宋_GB2312"/>
          <w:sz w:val="32"/>
          <w:szCs w:val="32"/>
          <w:u w:val="single"/>
        </w:rPr>
      </w:pPr>
      <w:r>
        <w:rPr>
          <w:rFonts w:hint="eastAsia" w:ascii="仿宋_GB2312" w:hAnsi="仿宋_GB2312" w:eastAsia="仿宋_GB2312" w:cs="仿宋_GB2312"/>
          <w:sz w:val="32"/>
          <w:szCs w:val="32"/>
        </w:rPr>
        <w:t>根据《中华人民共和国矿产资源法》、《矿业权交易规则》等有关规定，经</w:t>
      </w:r>
      <w:r>
        <w:rPr>
          <w:rFonts w:hint="eastAsia" w:ascii="仿宋_GB2312" w:hAnsi="仿宋_GB2312" w:eastAsia="仿宋_GB2312" w:cs="仿宋_GB2312"/>
          <w:sz w:val="32"/>
          <w:szCs w:val="32"/>
          <w:u w:val="single"/>
        </w:rPr>
        <w:t>达州市</w:t>
      </w:r>
      <w:r>
        <w:rPr>
          <w:rFonts w:hint="eastAsia" w:ascii="仿宋_GB2312" w:hAnsi="仿宋_GB2312" w:eastAsia="仿宋_GB2312" w:cs="仿宋_GB2312"/>
          <w:sz w:val="32"/>
          <w:szCs w:val="32"/>
          <w:u w:val="single"/>
          <w:lang w:val="en-US" w:eastAsia="zh-CN"/>
        </w:rPr>
        <w:t>达</w:t>
      </w:r>
      <w:r>
        <w:rPr>
          <w:rFonts w:hint="eastAsia" w:ascii="仿宋_GB2312" w:hAnsi="仿宋_GB2312" w:eastAsia="仿宋_GB2312" w:cs="仿宋_GB2312"/>
          <w:sz w:val="32"/>
          <w:szCs w:val="32"/>
          <w:u w:val="single"/>
        </w:rPr>
        <w:t>川区人民政府</w:t>
      </w:r>
      <w:r>
        <w:rPr>
          <w:rFonts w:hint="eastAsia" w:ascii="仿宋_GB2312" w:hAnsi="仿宋_GB2312" w:eastAsia="仿宋_GB2312" w:cs="仿宋_GB2312"/>
          <w:sz w:val="32"/>
          <w:szCs w:val="32"/>
        </w:rPr>
        <w:t>批准，</w:t>
      </w:r>
      <w:r>
        <w:rPr>
          <w:rFonts w:hint="eastAsia" w:eastAsia="仿宋_GB2312"/>
          <w:sz w:val="32"/>
          <w:szCs w:val="32"/>
        </w:rPr>
        <w:t>达州市</w:t>
      </w:r>
      <w:r>
        <w:rPr>
          <w:rFonts w:hint="eastAsia" w:eastAsia="仿宋_GB2312"/>
          <w:sz w:val="32"/>
          <w:szCs w:val="32"/>
          <w:lang w:val="en-US" w:eastAsia="zh-CN"/>
        </w:rPr>
        <w:t>达</w:t>
      </w:r>
      <w:r>
        <w:rPr>
          <w:rFonts w:hint="eastAsia" w:eastAsia="仿宋_GB2312"/>
          <w:sz w:val="32"/>
          <w:szCs w:val="32"/>
        </w:rPr>
        <w:t>川区自然资源局</w:t>
      </w:r>
      <w:r>
        <w:rPr>
          <w:rFonts w:hint="eastAsia" w:ascii="仿宋_GB2312" w:hAnsi="仿宋_GB2312" w:eastAsia="仿宋_GB2312" w:cs="仿宋_GB2312"/>
          <w:sz w:val="32"/>
          <w:szCs w:val="32"/>
        </w:rPr>
        <w:t>决定以拍卖方式公开出让</w:t>
      </w:r>
      <w:r>
        <w:rPr>
          <w:rFonts w:hint="eastAsia" w:ascii="仿宋_GB2312" w:hAnsi="宋体" w:eastAsia="仿宋_GB2312"/>
          <w:sz w:val="32"/>
          <w:szCs w:val="32"/>
          <w:u w:val="single"/>
        </w:rPr>
        <w:t>达州市</w:t>
      </w:r>
      <w:r>
        <w:rPr>
          <w:rFonts w:hint="eastAsia" w:ascii="仿宋_GB2312" w:hAnsi="宋体" w:eastAsia="仿宋_GB2312" w:cs="Times New Roman"/>
          <w:sz w:val="32"/>
          <w:szCs w:val="32"/>
          <w:u w:val="single"/>
          <w:lang w:val="en-US" w:eastAsia="zh-CN"/>
        </w:rPr>
        <w:t>达川区石桥镇麻油沟村后寨门砂、页岩矿等四宗</w:t>
      </w:r>
      <w:r>
        <w:rPr>
          <w:rFonts w:hint="eastAsia" w:ascii="仿宋_GB2312" w:hAnsi="宋体" w:eastAsia="仿宋_GB2312" w:cs="Times New Roman"/>
          <w:sz w:val="32"/>
          <w:szCs w:val="32"/>
          <w:u w:val="single"/>
        </w:rPr>
        <w:t>采</w:t>
      </w:r>
      <w:r>
        <w:rPr>
          <w:rFonts w:hint="eastAsia" w:ascii="仿宋_GB2312" w:hAnsi="宋体" w:eastAsia="仿宋_GB2312"/>
          <w:sz w:val="32"/>
          <w:szCs w:val="32"/>
          <w:u w:val="single"/>
        </w:rPr>
        <w:t>矿权</w:t>
      </w:r>
      <w:r>
        <w:rPr>
          <w:rFonts w:hint="eastAsia" w:ascii="仿宋_GB2312" w:hAnsi="仿宋_GB2312" w:eastAsia="仿宋_GB2312" w:cs="仿宋_GB2312"/>
          <w:sz w:val="32"/>
          <w:szCs w:val="32"/>
        </w:rPr>
        <w:t>。</w:t>
      </w:r>
    </w:p>
    <w:p>
      <w:pPr>
        <w:spacing w:line="578"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一、</w:t>
      </w:r>
      <w:r>
        <w:rPr>
          <w:rFonts w:hint="eastAsia" w:ascii="仿宋_GB2312" w:hAnsi="宋体" w:eastAsia="仿宋_GB2312"/>
          <w:sz w:val="32"/>
          <w:szCs w:val="32"/>
        </w:rPr>
        <w:t>本次采矿权拍卖出让的出让人为</w:t>
      </w:r>
      <w:r>
        <w:rPr>
          <w:rFonts w:hint="eastAsia" w:eastAsia="仿宋_GB2312"/>
          <w:sz w:val="32"/>
          <w:szCs w:val="32"/>
        </w:rPr>
        <w:t>达州市</w:t>
      </w:r>
      <w:r>
        <w:rPr>
          <w:rFonts w:hint="eastAsia" w:eastAsia="仿宋_GB2312"/>
          <w:sz w:val="32"/>
          <w:szCs w:val="32"/>
          <w:lang w:val="en-US" w:eastAsia="zh-CN"/>
        </w:rPr>
        <w:t>达</w:t>
      </w:r>
      <w:r>
        <w:rPr>
          <w:rFonts w:hint="eastAsia" w:eastAsia="仿宋_GB2312"/>
          <w:sz w:val="32"/>
          <w:szCs w:val="32"/>
        </w:rPr>
        <w:t>川区自然资源局</w:t>
      </w:r>
      <w:r>
        <w:rPr>
          <w:rFonts w:hint="eastAsia" w:ascii="仿宋_GB2312" w:hAnsi="宋体" w:eastAsia="仿宋_GB2312"/>
          <w:sz w:val="32"/>
          <w:szCs w:val="32"/>
        </w:rPr>
        <w:t>，由达州市公共资源交易服务中心</w:t>
      </w:r>
      <w:r>
        <w:rPr>
          <w:rFonts w:ascii="仿宋_GB2312" w:hAnsi="宋体" w:eastAsia="仿宋_GB2312"/>
          <w:sz w:val="32"/>
          <w:szCs w:val="32"/>
        </w:rPr>
        <w:t>(</w:t>
      </w:r>
      <w:r>
        <w:rPr>
          <w:rFonts w:hint="eastAsia" w:ascii="仿宋_GB2312" w:hAnsi="宋体" w:eastAsia="仿宋_GB2312"/>
          <w:sz w:val="32"/>
          <w:szCs w:val="32"/>
        </w:rPr>
        <w:t>简称：</w:t>
      </w:r>
      <w:r>
        <w:rPr>
          <w:rFonts w:hint="eastAsia" w:ascii="仿宋_GB2312" w:hAnsi="仿宋_GB2312" w:eastAsia="仿宋_GB2312" w:cs="仿宋_GB2312"/>
          <w:sz w:val="32"/>
          <w:szCs w:val="32"/>
        </w:rPr>
        <w:t>拍卖人</w:t>
      </w:r>
      <w:r>
        <w:rPr>
          <w:rFonts w:ascii="仿宋_GB2312" w:hAnsi="宋体" w:eastAsia="仿宋_GB2312"/>
          <w:sz w:val="32"/>
          <w:szCs w:val="32"/>
        </w:rPr>
        <w:t>)</w:t>
      </w:r>
      <w:r>
        <w:rPr>
          <w:rFonts w:hint="eastAsia" w:ascii="仿宋_GB2312" w:hAnsi="宋体" w:eastAsia="仿宋_GB2312"/>
          <w:sz w:val="32"/>
          <w:szCs w:val="32"/>
        </w:rPr>
        <w:t>具体组织实施。</w:t>
      </w:r>
    </w:p>
    <w:p>
      <w:pPr>
        <w:spacing w:line="578"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二、本次采矿权拍卖出让严格遵循公开、公平、公正和诚实信用原则。</w:t>
      </w:r>
    </w:p>
    <w:p>
      <w:pPr>
        <w:spacing w:line="578" w:lineRule="exact"/>
        <w:ind w:firstLine="640" w:firstLineChars="200"/>
        <w:rPr>
          <w:rFonts w:ascii="黑体" w:hAnsi="宋体" w:eastAsia="黑体"/>
          <w:sz w:val="32"/>
          <w:szCs w:val="32"/>
        </w:rPr>
      </w:pPr>
      <w:r>
        <w:rPr>
          <w:rFonts w:hint="eastAsia" w:ascii="黑体" w:hAnsi="宋体" w:eastAsia="黑体"/>
          <w:sz w:val="32"/>
          <w:szCs w:val="32"/>
        </w:rPr>
        <w:t>三、拍卖出让采矿权基本情况</w:t>
      </w:r>
    </w:p>
    <w:p>
      <w:pPr>
        <w:spacing w:line="578" w:lineRule="exact"/>
        <w:ind w:firstLine="640" w:firstLineChars="200"/>
        <w:rPr>
          <w:rFonts w:hint="eastAsia" w:ascii="方正仿宋简体" w:hAnsi="方正仿宋简体" w:eastAsia="方正仿宋简体" w:cs="方正仿宋简体"/>
          <w:sz w:val="32"/>
          <w:szCs w:val="32"/>
          <w:lang w:val="en-US" w:eastAsia="zh-CN"/>
        </w:rPr>
      </w:pPr>
      <w:r>
        <w:rPr>
          <w:rFonts w:hint="eastAsia" w:ascii="仿宋_GB2312" w:hAnsi="宋体" w:eastAsia="仿宋_GB2312"/>
          <w:sz w:val="32"/>
          <w:szCs w:val="32"/>
        </w:rPr>
        <w:t>（一）项目名称</w:t>
      </w:r>
      <w:r>
        <w:rPr>
          <w:rFonts w:hint="eastAsia" w:ascii="方正仿宋简体" w:hAnsi="方正仿宋简体" w:eastAsia="方正仿宋简体" w:cs="方正仿宋简体"/>
          <w:sz w:val="32"/>
          <w:szCs w:val="32"/>
          <w:lang w:val="en-US" w:eastAsia="zh-CN"/>
        </w:rPr>
        <w:t>：达川区石桥镇麻油沟村小儿坡页岩矿采矿权。</w:t>
      </w:r>
    </w:p>
    <w:p>
      <w:pPr>
        <w:spacing w:line="578" w:lineRule="exact"/>
        <w:ind w:firstLine="640" w:firstLineChars="200"/>
        <w:rPr>
          <w:rFonts w:ascii="仿宋_GB2312" w:hAnsi="宋体" w:eastAsia="仿宋_GB2312"/>
          <w:sz w:val="32"/>
          <w:szCs w:val="32"/>
        </w:rPr>
      </w:pPr>
      <w:r>
        <w:rPr>
          <w:rFonts w:hint="eastAsia" w:ascii="仿宋_GB2312" w:hAnsi="宋体" w:eastAsia="仿宋_GB2312"/>
          <w:sz w:val="32"/>
          <w:szCs w:val="32"/>
        </w:rPr>
        <w:t>（二）出让矿种：</w:t>
      </w:r>
      <w:r>
        <w:rPr>
          <w:rFonts w:hint="eastAsia" w:ascii="方正仿宋简体" w:hAnsi="方正仿宋简体" w:eastAsia="方正仿宋简体" w:cs="方正仿宋简体"/>
          <w:sz w:val="32"/>
          <w:szCs w:val="32"/>
          <w:lang w:val="en-US" w:eastAsia="zh-CN"/>
        </w:rPr>
        <w:t>页岩</w:t>
      </w:r>
      <w:r>
        <w:rPr>
          <w:rFonts w:hint="eastAsia" w:ascii="仿宋_GB2312" w:hAnsi="宋体" w:eastAsia="仿宋_GB2312"/>
          <w:sz w:val="32"/>
          <w:szCs w:val="32"/>
        </w:rPr>
        <w:t>。</w:t>
      </w:r>
    </w:p>
    <w:p>
      <w:pPr>
        <w:spacing w:line="578" w:lineRule="exact"/>
        <w:ind w:firstLine="640" w:firstLineChars="200"/>
        <w:rPr>
          <w:rFonts w:ascii="仿宋_GB2312" w:hAnsi="宋体" w:eastAsia="仿宋_GB2312"/>
          <w:sz w:val="32"/>
          <w:szCs w:val="32"/>
        </w:rPr>
      </w:pPr>
      <w:r>
        <w:rPr>
          <w:rFonts w:hint="eastAsia" w:ascii="仿宋_GB2312" w:hAnsi="宋体" w:eastAsia="仿宋_GB2312"/>
          <w:sz w:val="32"/>
          <w:szCs w:val="32"/>
        </w:rPr>
        <w:t>（三）地理位置：</w:t>
      </w:r>
      <w:r>
        <w:rPr>
          <w:rFonts w:hint="eastAsia" w:ascii="方正仿宋简体" w:hAnsi="方正仿宋简体" w:eastAsia="方正仿宋简体" w:cs="方正仿宋简体"/>
          <w:sz w:val="32"/>
          <w:szCs w:val="32"/>
          <w:lang w:val="en-US" w:eastAsia="zh-CN"/>
        </w:rPr>
        <w:t>石桥镇麻油沟村小儿坡</w:t>
      </w:r>
      <w:r>
        <w:rPr>
          <w:rFonts w:hint="eastAsia" w:ascii="仿宋_GB2312" w:hAnsi="宋体" w:eastAsia="仿宋_GB2312"/>
          <w:sz w:val="32"/>
          <w:szCs w:val="32"/>
        </w:rPr>
        <w:t>。</w:t>
      </w:r>
    </w:p>
    <w:p>
      <w:pPr>
        <w:spacing w:line="560" w:lineRule="exact"/>
        <w:ind w:left="2" w:firstLine="633" w:firstLineChars="198"/>
        <w:jc w:val="left"/>
        <w:rPr>
          <w:rFonts w:hint="eastAsia" w:ascii="仿宋_GB2312" w:hAnsi="宋体" w:eastAsia="仿宋_GB2312"/>
          <w:sz w:val="32"/>
          <w:szCs w:val="32"/>
        </w:rPr>
      </w:pPr>
      <w:r>
        <w:rPr>
          <w:rFonts w:hint="eastAsia" w:ascii="仿宋_GB2312" w:hAnsi="宋体" w:eastAsia="仿宋_GB2312"/>
          <w:sz w:val="32"/>
          <w:szCs w:val="32"/>
        </w:rPr>
        <w:t>（四）拐点范围坐标：</w:t>
      </w:r>
    </w:p>
    <w:p>
      <w:pPr>
        <w:spacing w:line="560" w:lineRule="exact"/>
        <w:ind w:firstLine="2811" w:firstLineChars="1000"/>
        <w:rPr>
          <w:rFonts w:hint="eastAsia" w:ascii="宋体" w:hAnsi="宋体"/>
          <w:b/>
          <w:color w:val="FF0000"/>
          <w:sz w:val="28"/>
          <w:szCs w:val="28"/>
        </w:rPr>
      </w:pPr>
      <w:r>
        <w:rPr>
          <w:rFonts w:eastAsia="仿宋_GB2312"/>
          <w:b/>
          <w:sz w:val="28"/>
          <w:szCs w:val="28"/>
        </w:rPr>
        <w:t>拟</w:t>
      </w:r>
      <w:r>
        <w:rPr>
          <w:rFonts w:hint="eastAsia" w:eastAsia="仿宋_GB2312"/>
          <w:b/>
          <w:sz w:val="28"/>
          <w:szCs w:val="28"/>
        </w:rPr>
        <w:t>设矿权拐点坐标</w:t>
      </w:r>
    </w:p>
    <w:tbl>
      <w:tblPr>
        <w:tblStyle w:val="1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0"/>
        <w:gridCol w:w="1780"/>
        <w:gridCol w:w="1939"/>
        <w:gridCol w:w="916"/>
        <w:gridCol w:w="1781"/>
        <w:gridCol w:w="19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000" w:type="pct"/>
            <w:gridSpan w:val="6"/>
            <w:tcBorders>
              <w:top w:val="single" w:color="auto" w:sz="8" w:space="0"/>
              <w:left w:val="single" w:color="auto" w:sz="8" w:space="0"/>
              <w:bottom w:val="single" w:color="auto" w:sz="4" w:space="0"/>
              <w:right w:val="single" w:color="auto" w:sz="8" w:space="0"/>
            </w:tcBorders>
            <w:noWrap w:val="0"/>
            <w:vAlign w:val="center"/>
          </w:tcPr>
          <w:p>
            <w:pPr>
              <w:autoSpaceDN w:val="0"/>
              <w:spacing w:line="320" w:lineRule="exact"/>
              <w:jc w:val="center"/>
              <w:textAlignment w:val="center"/>
              <w:rPr>
                <w:sz w:val="24"/>
              </w:rPr>
            </w:pPr>
            <w:r>
              <w:rPr>
                <w:sz w:val="24"/>
              </w:rPr>
              <w:t>CGCS2000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490" w:type="pct"/>
            <w:tcBorders>
              <w:bottom w:val="single" w:color="auto" w:sz="4" w:space="0"/>
              <w:right w:val="single" w:color="auto" w:sz="8" w:space="0"/>
            </w:tcBorders>
            <w:noWrap w:val="0"/>
            <w:vAlign w:val="center"/>
          </w:tcPr>
          <w:p>
            <w:pPr>
              <w:autoSpaceDN w:val="0"/>
              <w:spacing w:line="320" w:lineRule="exact"/>
              <w:jc w:val="center"/>
              <w:textAlignment w:val="center"/>
              <w:rPr>
                <w:b/>
                <w:bCs/>
                <w:sz w:val="24"/>
              </w:rPr>
            </w:pPr>
            <w:r>
              <w:rPr>
                <w:rFonts w:hAnsi="宋体"/>
                <w:b/>
                <w:bCs/>
                <w:sz w:val="24"/>
              </w:rPr>
              <w:t>拐点</w:t>
            </w:r>
          </w:p>
        </w:tc>
        <w:tc>
          <w:tcPr>
            <w:tcW w:w="958" w:type="pct"/>
            <w:tcBorders>
              <w:left w:val="single" w:color="auto" w:sz="8" w:space="0"/>
              <w:bottom w:val="single" w:color="auto" w:sz="4" w:space="0"/>
            </w:tcBorders>
            <w:noWrap w:val="0"/>
            <w:vAlign w:val="center"/>
          </w:tcPr>
          <w:p>
            <w:pPr>
              <w:autoSpaceDN w:val="0"/>
              <w:spacing w:line="320" w:lineRule="exact"/>
              <w:jc w:val="center"/>
              <w:textAlignment w:val="center"/>
              <w:rPr>
                <w:b/>
                <w:bCs/>
                <w:sz w:val="24"/>
              </w:rPr>
            </w:pPr>
            <w:r>
              <w:rPr>
                <w:b/>
                <w:bCs/>
                <w:sz w:val="24"/>
              </w:rPr>
              <w:t>X</w:t>
            </w:r>
            <w:r>
              <w:rPr>
                <w:rFonts w:hAnsi="宋体"/>
                <w:b/>
                <w:bCs/>
                <w:sz w:val="24"/>
              </w:rPr>
              <w:t>坐标</w:t>
            </w:r>
          </w:p>
        </w:tc>
        <w:tc>
          <w:tcPr>
            <w:tcW w:w="1044" w:type="pct"/>
            <w:tcBorders>
              <w:bottom w:val="single" w:color="auto" w:sz="4" w:space="0"/>
            </w:tcBorders>
            <w:noWrap w:val="0"/>
            <w:vAlign w:val="center"/>
          </w:tcPr>
          <w:p>
            <w:pPr>
              <w:autoSpaceDN w:val="0"/>
              <w:spacing w:line="320" w:lineRule="exact"/>
              <w:jc w:val="center"/>
              <w:textAlignment w:val="center"/>
              <w:rPr>
                <w:b/>
                <w:bCs/>
                <w:sz w:val="24"/>
              </w:rPr>
            </w:pPr>
            <w:r>
              <w:rPr>
                <w:b/>
                <w:bCs/>
                <w:sz w:val="24"/>
              </w:rPr>
              <w:t>Y</w:t>
            </w:r>
            <w:r>
              <w:rPr>
                <w:rFonts w:hAnsi="宋体"/>
                <w:b/>
                <w:bCs/>
                <w:sz w:val="24"/>
              </w:rPr>
              <w:t>坐标</w:t>
            </w:r>
          </w:p>
        </w:tc>
        <w:tc>
          <w:tcPr>
            <w:tcW w:w="493" w:type="pct"/>
            <w:tcBorders>
              <w:bottom w:val="single" w:color="auto" w:sz="4" w:space="0"/>
            </w:tcBorders>
            <w:noWrap w:val="0"/>
            <w:vAlign w:val="center"/>
          </w:tcPr>
          <w:p>
            <w:pPr>
              <w:autoSpaceDN w:val="0"/>
              <w:spacing w:line="320" w:lineRule="exact"/>
              <w:jc w:val="center"/>
              <w:textAlignment w:val="center"/>
              <w:rPr>
                <w:b/>
                <w:bCs/>
                <w:sz w:val="24"/>
              </w:rPr>
            </w:pPr>
            <w:r>
              <w:rPr>
                <w:rFonts w:hAnsi="宋体"/>
                <w:b/>
                <w:bCs/>
                <w:sz w:val="24"/>
              </w:rPr>
              <w:t>拐点</w:t>
            </w:r>
          </w:p>
        </w:tc>
        <w:tc>
          <w:tcPr>
            <w:tcW w:w="959" w:type="pct"/>
            <w:tcBorders>
              <w:bottom w:val="single" w:color="auto" w:sz="4" w:space="0"/>
            </w:tcBorders>
            <w:noWrap w:val="0"/>
            <w:vAlign w:val="center"/>
          </w:tcPr>
          <w:p>
            <w:pPr>
              <w:autoSpaceDN w:val="0"/>
              <w:spacing w:line="320" w:lineRule="exact"/>
              <w:jc w:val="center"/>
              <w:textAlignment w:val="center"/>
              <w:rPr>
                <w:b/>
                <w:bCs/>
                <w:sz w:val="24"/>
              </w:rPr>
            </w:pPr>
            <w:r>
              <w:rPr>
                <w:b/>
                <w:bCs/>
                <w:sz w:val="24"/>
              </w:rPr>
              <w:t>X</w:t>
            </w:r>
            <w:r>
              <w:rPr>
                <w:rFonts w:hAnsi="宋体"/>
                <w:b/>
                <w:bCs/>
                <w:sz w:val="24"/>
              </w:rPr>
              <w:t>坐标</w:t>
            </w:r>
          </w:p>
        </w:tc>
        <w:tc>
          <w:tcPr>
            <w:tcW w:w="1054" w:type="pct"/>
            <w:tcBorders>
              <w:bottom w:val="single" w:color="auto" w:sz="4" w:space="0"/>
              <w:right w:val="single" w:color="auto" w:sz="8" w:space="0"/>
            </w:tcBorders>
            <w:noWrap w:val="0"/>
            <w:vAlign w:val="center"/>
          </w:tcPr>
          <w:p>
            <w:pPr>
              <w:autoSpaceDN w:val="0"/>
              <w:spacing w:line="320" w:lineRule="exact"/>
              <w:jc w:val="center"/>
              <w:textAlignment w:val="center"/>
              <w:rPr>
                <w:b/>
                <w:bCs/>
                <w:sz w:val="24"/>
              </w:rPr>
            </w:pPr>
            <w:r>
              <w:rPr>
                <w:b/>
                <w:bCs/>
                <w:sz w:val="24"/>
              </w:rPr>
              <w:t>Y</w:t>
            </w:r>
            <w:r>
              <w:rPr>
                <w:rFonts w:hAnsi="宋体"/>
                <w:b/>
                <w:bCs/>
                <w:sz w:val="24"/>
              </w:rPr>
              <w:t>坐标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90" w:type="pct"/>
            <w:tcBorders>
              <w:right w:val="single" w:color="auto" w:sz="8" w:space="0"/>
            </w:tcBorders>
            <w:noWrap w:val="0"/>
            <w:vAlign w:val="center"/>
          </w:tcPr>
          <w:p>
            <w:pPr>
              <w:autoSpaceDN w:val="0"/>
              <w:spacing w:line="320" w:lineRule="exact"/>
              <w:jc w:val="center"/>
              <w:textAlignment w:val="center"/>
              <w:rPr>
                <w:sz w:val="24"/>
              </w:rPr>
            </w:pPr>
            <w:r>
              <w:rPr>
                <w:sz w:val="24"/>
              </w:rPr>
              <w:t>1</w:t>
            </w:r>
          </w:p>
        </w:tc>
        <w:tc>
          <w:tcPr>
            <w:tcW w:w="958" w:type="pct"/>
            <w:tcBorders>
              <w:left w:val="single" w:color="auto" w:sz="8" w:space="0"/>
            </w:tcBorders>
            <w:noWrap w:val="0"/>
            <w:vAlign w:val="center"/>
          </w:tcPr>
          <w:p>
            <w:pPr>
              <w:widowControl/>
              <w:jc w:val="center"/>
              <w:rPr>
                <w:color w:val="000000"/>
                <w:kern w:val="0"/>
                <w:sz w:val="24"/>
              </w:rPr>
            </w:pPr>
            <w:r>
              <w:rPr>
                <w:color w:val="000000"/>
                <w:kern w:val="0"/>
                <w:sz w:val="24"/>
              </w:rPr>
              <w:t>3461945.92</w:t>
            </w:r>
          </w:p>
        </w:tc>
        <w:tc>
          <w:tcPr>
            <w:tcW w:w="1044" w:type="pct"/>
            <w:noWrap w:val="0"/>
            <w:vAlign w:val="center"/>
          </w:tcPr>
          <w:p>
            <w:pPr>
              <w:widowControl/>
              <w:jc w:val="center"/>
              <w:rPr>
                <w:color w:val="000000"/>
                <w:kern w:val="0"/>
                <w:sz w:val="24"/>
              </w:rPr>
            </w:pPr>
            <w:r>
              <w:rPr>
                <w:color w:val="000000"/>
                <w:kern w:val="0"/>
                <w:sz w:val="24"/>
              </w:rPr>
              <w:t>36419574.34</w:t>
            </w:r>
          </w:p>
        </w:tc>
        <w:tc>
          <w:tcPr>
            <w:tcW w:w="493" w:type="pct"/>
            <w:noWrap w:val="0"/>
            <w:vAlign w:val="center"/>
          </w:tcPr>
          <w:p>
            <w:pPr>
              <w:autoSpaceDN w:val="0"/>
              <w:spacing w:line="320" w:lineRule="exact"/>
              <w:jc w:val="center"/>
              <w:textAlignment w:val="center"/>
              <w:rPr>
                <w:rFonts w:hint="eastAsia"/>
                <w:sz w:val="24"/>
              </w:rPr>
            </w:pPr>
            <w:r>
              <w:rPr>
                <w:rFonts w:hint="eastAsia"/>
                <w:sz w:val="24"/>
              </w:rPr>
              <w:t>7</w:t>
            </w:r>
          </w:p>
        </w:tc>
        <w:tc>
          <w:tcPr>
            <w:tcW w:w="959" w:type="pct"/>
            <w:noWrap w:val="0"/>
            <w:vAlign w:val="center"/>
          </w:tcPr>
          <w:p>
            <w:pPr>
              <w:widowControl/>
              <w:jc w:val="center"/>
              <w:rPr>
                <w:color w:val="000000"/>
                <w:kern w:val="0"/>
                <w:sz w:val="24"/>
              </w:rPr>
            </w:pPr>
            <w:r>
              <w:rPr>
                <w:color w:val="000000"/>
                <w:kern w:val="0"/>
                <w:sz w:val="24"/>
              </w:rPr>
              <w:t>3461720.19</w:t>
            </w:r>
          </w:p>
        </w:tc>
        <w:tc>
          <w:tcPr>
            <w:tcW w:w="1054" w:type="pct"/>
            <w:tcBorders>
              <w:right w:val="single" w:color="auto" w:sz="8" w:space="0"/>
            </w:tcBorders>
            <w:noWrap w:val="0"/>
            <w:vAlign w:val="center"/>
          </w:tcPr>
          <w:p>
            <w:pPr>
              <w:widowControl/>
              <w:jc w:val="center"/>
              <w:rPr>
                <w:color w:val="000000"/>
                <w:kern w:val="0"/>
                <w:sz w:val="24"/>
              </w:rPr>
            </w:pPr>
            <w:r>
              <w:rPr>
                <w:color w:val="000000"/>
                <w:kern w:val="0"/>
                <w:sz w:val="24"/>
              </w:rPr>
              <w:t>36419541.34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490" w:type="pct"/>
            <w:tcBorders>
              <w:right w:val="single" w:color="auto" w:sz="8" w:space="0"/>
            </w:tcBorders>
            <w:noWrap w:val="0"/>
            <w:vAlign w:val="center"/>
          </w:tcPr>
          <w:p>
            <w:pPr>
              <w:autoSpaceDN w:val="0"/>
              <w:spacing w:line="320" w:lineRule="exact"/>
              <w:jc w:val="center"/>
              <w:textAlignment w:val="center"/>
              <w:rPr>
                <w:sz w:val="24"/>
              </w:rPr>
            </w:pPr>
            <w:r>
              <w:rPr>
                <w:sz w:val="24"/>
              </w:rPr>
              <w:t>2</w:t>
            </w:r>
          </w:p>
        </w:tc>
        <w:tc>
          <w:tcPr>
            <w:tcW w:w="958" w:type="pct"/>
            <w:tcBorders>
              <w:left w:val="single" w:color="auto" w:sz="8" w:space="0"/>
            </w:tcBorders>
            <w:noWrap w:val="0"/>
            <w:vAlign w:val="center"/>
          </w:tcPr>
          <w:p>
            <w:pPr>
              <w:widowControl/>
              <w:jc w:val="center"/>
              <w:rPr>
                <w:color w:val="000000"/>
                <w:kern w:val="0"/>
                <w:sz w:val="24"/>
              </w:rPr>
            </w:pPr>
            <w:r>
              <w:rPr>
                <w:color w:val="000000"/>
                <w:kern w:val="0"/>
                <w:sz w:val="24"/>
              </w:rPr>
              <w:t>3461893.41</w:t>
            </w:r>
          </w:p>
        </w:tc>
        <w:tc>
          <w:tcPr>
            <w:tcW w:w="1044" w:type="pct"/>
            <w:noWrap w:val="0"/>
            <w:vAlign w:val="center"/>
          </w:tcPr>
          <w:p>
            <w:pPr>
              <w:widowControl/>
              <w:jc w:val="center"/>
              <w:rPr>
                <w:color w:val="000000"/>
                <w:kern w:val="0"/>
                <w:sz w:val="24"/>
              </w:rPr>
            </w:pPr>
            <w:r>
              <w:rPr>
                <w:color w:val="000000"/>
                <w:kern w:val="0"/>
                <w:sz w:val="24"/>
              </w:rPr>
              <w:t>36419418.05</w:t>
            </w:r>
          </w:p>
        </w:tc>
        <w:tc>
          <w:tcPr>
            <w:tcW w:w="493" w:type="pct"/>
            <w:noWrap w:val="0"/>
            <w:vAlign w:val="center"/>
          </w:tcPr>
          <w:p>
            <w:pPr>
              <w:autoSpaceDN w:val="0"/>
              <w:spacing w:line="320" w:lineRule="exact"/>
              <w:jc w:val="center"/>
              <w:textAlignment w:val="center"/>
              <w:rPr>
                <w:rFonts w:hint="eastAsia"/>
                <w:sz w:val="24"/>
              </w:rPr>
            </w:pPr>
            <w:r>
              <w:rPr>
                <w:rFonts w:hint="eastAsia"/>
                <w:sz w:val="24"/>
              </w:rPr>
              <w:t>8</w:t>
            </w:r>
          </w:p>
        </w:tc>
        <w:tc>
          <w:tcPr>
            <w:tcW w:w="959" w:type="pct"/>
            <w:noWrap w:val="0"/>
            <w:vAlign w:val="center"/>
          </w:tcPr>
          <w:p>
            <w:pPr>
              <w:widowControl/>
              <w:jc w:val="center"/>
              <w:rPr>
                <w:color w:val="000000"/>
                <w:kern w:val="0"/>
                <w:sz w:val="24"/>
              </w:rPr>
            </w:pPr>
            <w:r>
              <w:rPr>
                <w:color w:val="000000"/>
                <w:kern w:val="0"/>
                <w:sz w:val="24"/>
              </w:rPr>
              <w:t>3461532.15</w:t>
            </w:r>
          </w:p>
        </w:tc>
        <w:tc>
          <w:tcPr>
            <w:tcW w:w="1054" w:type="pct"/>
            <w:tcBorders>
              <w:right w:val="single" w:color="auto" w:sz="8" w:space="0"/>
            </w:tcBorders>
            <w:noWrap w:val="0"/>
            <w:vAlign w:val="center"/>
          </w:tcPr>
          <w:p>
            <w:pPr>
              <w:widowControl/>
              <w:jc w:val="center"/>
              <w:rPr>
                <w:color w:val="000000"/>
                <w:kern w:val="0"/>
                <w:sz w:val="24"/>
              </w:rPr>
            </w:pPr>
            <w:r>
              <w:rPr>
                <w:color w:val="000000"/>
                <w:kern w:val="0"/>
                <w:sz w:val="24"/>
              </w:rPr>
              <w:t>36419454.65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490" w:type="pct"/>
            <w:tcBorders>
              <w:right w:val="single" w:color="auto" w:sz="8" w:space="0"/>
            </w:tcBorders>
            <w:noWrap w:val="0"/>
            <w:vAlign w:val="center"/>
          </w:tcPr>
          <w:p>
            <w:pPr>
              <w:autoSpaceDN w:val="0"/>
              <w:spacing w:line="320" w:lineRule="exact"/>
              <w:jc w:val="center"/>
              <w:textAlignment w:val="center"/>
              <w:rPr>
                <w:sz w:val="24"/>
              </w:rPr>
            </w:pPr>
            <w:r>
              <w:rPr>
                <w:sz w:val="24"/>
              </w:rPr>
              <w:t>3</w:t>
            </w:r>
          </w:p>
        </w:tc>
        <w:tc>
          <w:tcPr>
            <w:tcW w:w="958" w:type="pct"/>
            <w:tcBorders>
              <w:left w:val="single" w:color="auto" w:sz="8" w:space="0"/>
            </w:tcBorders>
            <w:noWrap w:val="0"/>
            <w:vAlign w:val="center"/>
          </w:tcPr>
          <w:p>
            <w:pPr>
              <w:widowControl/>
              <w:jc w:val="center"/>
              <w:rPr>
                <w:color w:val="000000"/>
                <w:kern w:val="0"/>
                <w:sz w:val="24"/>
              </w:rPr>
            </w:pPr>
            <w:r>
              <w:rPr>
                <w:color w:val="000000"/>
                <w:kern w:val="0"/>
                <w:sz w:val="24"/>
              </w:rPr>
              <w:t>3461841.84</w:t>
            </w:r>
          </w:p>
        </w:tc>
        <w:tc>
          <w:tcPr>
            <w:tcW w:w="1044" w:type="pct"/>
            <w:noWrap w:val="0"/>
            <w:vAlign w:val="center"/>
          </w:tcPr>
          <w:p>
            <w:pPr>
              <w:widowControl/>
              <w:jc w:val="center"/>
              <w:rPr>
                <w:color w:val="000000"/>
                <w:kern w:val="0"/>
                <w:sz w:val="24"/>
              </w:rPr>
            </w:pPr>
            <w:r>
              <w:rPr>
                <w:color w:val="000000"/>
                <w:kern w:val="0"/>
                <w:sz w:val="24"/>
              </w:rPr>
              <w:t>36419412.72</w:t>
            </w:r>
          </w:p>
        </w:tc>
        <w:tc>
          <w:tcPr>
            <w:tcW w:w="493" w:type="pct"/>
            <w:noWrap w:val="0"/>
            <w:vAlign w:val="center"/>
          </w:tcPr>
          <w:p>
            <w:pPr>
              <w:autoSpaceDN w:val="0"/>
              <w:spacing w:line="320" w:lineRule="exact"/>
              <w:jc w:val="center"/>
              <w:textAlignment w:val="center"/>
              <w:rPr>
                <w:rFonts w:hint="eastAsia"/>
                <w:sz w:val="24"/>
              </w:rPr>
            </w:pPr>
            <w:r>
              <w:rPr>
                <w:rFonts w:hint="eastAsia"/>
                <w:sz w:val="24"/>
              </w:rPr>
              <w:t>9</w:t>
            </w:r>
          </w:p>
        </w:tc>
        <w:tc>
          <w:tcPr>
            <w:tcW w:w="959" w:type="pct"/>
            <w:noWrap w:val="0"/>
            <w:vAlign w:val="center"/>
          </w:tcPr>
          <w:p>
            <w:pPr>
              <w:widowControl/>
              <w:jc w:val="center"/>
              <w:rPr>
                <w:color w:val="000000"/>
                <w:kern w:val="0"/>
                <w:sz w:val="24"/>
              </w:rPr>
            </w:pPr>
            <w:r>
              <w:rPr>
                <w:color w:val="000000"/>
                <w:kern w:val="0"/>
                <w:sz w:val="24"/>
              </w:rPr>
              <w:t>3461643.46</w:t>
            </w:r>
          </w:p>
        </w:tc>
        <w:tc>
          <w:tcPr>
            <w:tcW w:w="1054" w:type="pct"/>
            <w:tcBorders>
              <w:right w:val="single" w:color="auto" w:sz="8" w:space="0"/>
            </w:tcBorders>
            <w:noWrap w:val="0"/>
            <w:vAlign w:val="center"/>
          </w:tcPr>
          <w:p>
            <w:pPr>
              <w:widowControl/>
              <w:jc w:val="center"/>
              <w:rPr>
                <w:color w:val="000000"/>
                <w:kern w:val="0"/>
                <w:sz w:val="24"/>
              </w:rPr>
            </w:pPr>
            <w:r>
              <w:rPr>
                <w:color w:val="000000"/>
                <w:kern w:val="0"/>
                <w:sz w:val="24"/>
              </w:rPr>
              <w:t>36419272.48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90" w:type="pct"/>
            <w:tcBorders>
              <w:right w:val="single" w:color="auto" w:sz="8" w:space="0"/>
            </w:tcBorders>
            <w:noWrap w:val="0"/>
            <w:vAlign w:val="center"/>
          </w:tcPr>
          <w:p>
            <w:pPr>
              <w:autoSpaceDN w:val="0"/>
              <w:spacing w:line="320" w:lineRule="exact"/>
              <w:jc w:val="center"/>
              <w:textAlignment w:val="center"/>
              <w:rPr>
                <w:sz w:val="24"/>
              </w:rPr>
            </w:pPr>
            <w:r>
              <w:rPr>
                <w:sz w:val="24"/>
              </w:rPr>
              <w:t>4</w:t>
            </w:r>
          </w:p>
        </w:tc>
        <w:tc>
          <w:tcPr>
            <w:tcW w:w="958" w:type="pct"/>
            <w:tcBorders>
              <w:left w:val="single" w:color="auto" w:sz="8" w:space="0"/>
            </w:tcBorders>
            <w:noWrap w:val="0"/>
            <w:vAlign w:val="center"/>
          </w:tcPr>
          <w:p>
            <w:pPr>
              <w:widowControl/>
              <w:jc w:val="center"/>
              <w:rPr>
                <w:color w:val="000000"/>
                <w:kern w:val="0"/>
                <w:sz w:val="24"/>
              </w:rPr>
            </w:pPr>
            <w:r>
              <w:rPr>
                <w:color w:val="000000"/>
                <w:kern w:val="0"/>
                <w:sz w:val="24"/>
              </w:rPr>
              <w:t>3461868.35</w:t>
            </w:r>
          </w:p>
        </w:tc>
        <w:tc>
          <w:tcPr>
            <w:tcW w:w="1044" w:type="pct"/>
            <w:noWrap w:val="0"/>
            <w:vAlign w:val="center"/>
          </w:tcPr>
          <w:p>
            <w:pPr>
              <w:widowControl/>
              <w:jc w:val="center"/>
              <w:rPr>
                <w:color w:val="000000"/>
                <w:kern w:val="0"/>
                <w:sz w:val="24"/>
              </w:rPr>
            </w:pPr>
            <w:r>
              <w:rPr>
                <w:color w:val="000000"/>
                <w:kern w:val="0"/>
                <w:sz w:val="24"/>
              </w:rPr>
              <w:t>36419505.29</w:t>
            </w:r>
          </w:p>
        </w:tc>
        <w:tc>
          <w:tcPr>
            <w:tcW w:w="493" w:type="pct"/>
            <w:noWrap w:val="0"/>
            <w:vAlign w:val="center"/>
          </w:tcPr>
          <w:p>
            <w:pPr>
              <w:autoSpaceDN w:val="0"/>
              <w:spacing w:line="320" w:lineRule="exact"/>
              <w:jc w:val="center"/>
              <w:textAlignment w:val="center"/>
              <w:rPr>
                <w:rFonts w:hint="eastAsia"/>
                <w:sz w:val="24"/>
              </w:rPr>
            </w:pPr>
            <w:r>
              <w:rPr>
                <w:rFonts w:hint="eastAsia"/>
                <w:sz w:val="24"/>
              </w:rPr>
              <w:t>10</w:t>
            </w:r>
          </w:p>
        </w:tc>
        <w:tc>
          <w:tcPr>
            <w:tcW w:w="959" w:type="pct"/>
            <w:noWrap w:val="0"/>
            <w:vAlign w:val="center"/>
          </w:tcPr>
          <w:p>
            <w:pPr>
              <w:widowControl/>
              <w:jc w:val="center"/>
              <w:rPr>
                <w:color w:val="000000"/>
                <w:kern w:val="0"/>
                <w:sz w:val="24"/>
              </w:rPr>
            </w:pPr>
            <w:r>
              <w:rPr>
                <w:color w:val="000000"/>
                <w:kern w:val="0"/>
                <w:sz w:val="24"/>
              </w:rPr>
              <w:t>3461794.71</w:t>
            </w:r>
          </w:p>
        </w:tc>
        <w:tc>
          <w:tcPr>
            <w:tcW w:w="1054" w:type="pct"/>
            <w:tcBorders>
              <w:right w:val="single" w:color="auto" w:sz="8" w:space="0"/>
            </w:tcBorders>
            <w:noWrap w:val="0"/>
            <w:vAlign w:val="center"/>
          </w:tcPr>
          <w:p>
            <w:pPr>
              <w:widowControl/>
              <w:jc w:val="center"/>
              <w:rPr>
                <w:color w:val="000000"/>
                <w:kern w:val="0"/>
                <w:sz w:val="24"/>
              </w:rPr>
            </w:pPr>
            <w:r>
              <w:rPr>
                <w:color w:val="000000"/>
                <w:kern w:val="0"/>
                <w:sz w:val="24"/>
              </w:rPr>
              <w:t>36419161.08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90" w:type="pct"/>
            <w:tcBorders>
              <w:right w:val="single" w:color="auto" w:sz="8" w:space="0"/>
            </w:tcBorders>
            <w:noWrap w:val="0"/>
            <w:vAlign w:val="center"/>
          </w:tcPr>
          <w:p>
            <w:pPr>
              <w:autoSpaceDN w:val="0"/>
              <w:spacing w:line="320" w:lineRule="exact"/>
              <w:jc w:val="center"/>
              <w:textAlignment w:val="center"/>
              <w:rPr>
                <w:rFonts w:hint="eastAsia"/>
                <w:sz w:val="24"/>
              </w:rPr>
            </w:pPr>
            <w:r>
              <w:rPr>
                <w:rFonts w:hint="eastAsia"/>
                <w:sz w:val="24"/>
              </w:rPr>
              <w:t>5</w:t>
            </w:r>
          </w:p>
        </w:tc>
        <w:tc>
          <w:tcPr>
            <w:tcW w:w="958" w:type="pct"/>
            <w:tcBorders>
              <w:left w:val="single" w:color="auto" w:sz="8" w:space="0"/>
            </w:tcBorders>
            <w:noWrap w:val="0"/>
            <w:vAlign w:val="center"/>
          </w:tcPr>
          <w:p>
            <w:pPr>
              <w:widowControl/>
              <w:jc w:val="center"/>
              <w:rPr>
                <w:color w:val="000000"/>
                <w:kern w:val="0"/>
                <w:sz w:val="24"/>
              </w:rPr>
            </w:pPr>
            <w:r>
              <w:rPr>
                <w:color w:val="000000"/>
                <w:kern w:val="0"/>
                <w:sz w:val="24"/>
              </w:rPr>
              <w:t>3461833.15</w:t>
            </w:r>
          </w:p>
        </w:tc>
        <w:tc>
          <w:tcPr>
            <w:tcW w:w="1044" w:type="pct"/>
            <w:noWrap w:val="0"/>
            <w:vAlign w:val="center"/>
          </w:tcPr>
          <w:p>
            <w:pPr>
              <w:widowControl/>
              <w:jc w:val="center"/>
              <w:rPr>
                <w:color w:val="000000"/>
                <w:kern w:val="0"/>
                <w:sz w:val="24"/>
              </w:rPr>
            </w:pPr>
            <w:r>
              <w:rPr>
                <w:color w:val="000000"/>
                <w:kern w:val="0"/>
                <w:sz w:val="24"/>
              </w:rPr>
              <w:t>36419630.64</w:t>
            </w:r>
          </w:p>
        </w:tc>
        <w:tc>
          <w:tcPr>
            <w:tcW w:w="493" w:type="pct"/>
            <w:noWrap w:val="0"/>
            <w:vAlign w:val="center"/>
          </w:tcPr>
          <w:p>
            <w:pPr>
              <w:autoSpaceDN w:val="0"/>
              <w:spacing w:line="320" w:lineRule="exact"/>
              <w:jc w:val="center"/>
              <w:textAlignment w:val="center"/>
              <w:rPr>
                <w:rFonts w:hint="eastAsia"/>
                <w:sz w:val="24"/>
              </w:rPr>
            </w:pPr>
            <w:r>
              <w:rPr>
                <w:rFonts w:hint="eastAsia"/>
                <w:sz w:val="24"/>
              </w:rPr>
              <w:t>11</w:t>
            </w:r>
          </w:p>
        </w:tc>
        <w:tc>
          <w:tcPr>
            <w:tcW w:w="959" w:type="pct"/>
            <w:noWrap w:val="0"/>
            <w:vAlign w:val="center"/>
          </w:tcPr>
          <w:p>
            <w:pPr>
              <w:widowControl/>
              <w:jc w:val="center"/>
              <w:rPr>
                <w:color w:val="000000"/>
                <w:kern w:val="0"/>
                <w:sz w:val="24"/>
              </w:rPr>
            </w:pPr>
            <w:r>
              <w:rPr>
                <w:color w:val="000000"/>
                <w:kern w:val="0"/>
                <w:sz w:val="24"/>
              </w:rPr>
              <w:t>3461901.14</w:t>
            </w:r>
          </w:p>
        </w:tc>
        <w:tc>
          <w:tcPr>
            <w:tcW w:w="1054" w:type="pct"/>
            <w:tcBorders>
              <w:right w:val="single" w:color="auto" w:sz="8" w:space="0"/>
            </w:tcBorders>
            <w:noWrap w:val="0"/>
            <w:vAlign w:val="center"/>
          </w:tcPr>
          <w:p>
            <w:pPr>
              <w:widowControl/>
              <w:jc w:val="center"/>
              <w:rPr>
                <w:color w:val="000000"/>
                <w:kern w:val="0"/>
                <w:sz w:val="24"/>
              </w:rPr>
            </w:pPr>
            <w:r>
              <w:rPr>
                <w:color w:val="000000"/>
                <w:kern w:val="0"/>
                <w:sz w:val="24"/>
              </w:rPr>
              <w:t>36419190.56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90" w:type="pct"/>
            <w:tcBorders>
              <w:right w:val="single" w:color="auto" w:sz="8" w:space="0"/>
            </w:tcBorders>
            <w:noWrap w:val="0"/>
            <w:vAlign w:val="center"/>
          </w:tcPr>
          <w:p>
            <w:pPr>
              <w:autoSpaceDN w:val="0"/>
              <w:spacing w:line="320" w:lineRule="exact"/>
              <w:jc w:val="center"/>
              <w:textAlignment w:val="center"/>
              <w:rPr>
                <w:rFonts w:hint="eastAsia"/>
                <w:sz w:val="24"/>
              </w:rPr>
            </w:pPr>
            <w:r>
              <w:rPr>
                <w:rFonts w:hint="eastAsia"/>
                <w:sz w:val="24"/>
              </w:rPr>
              <w:t>6</w:t>
            </w:r>
          </w:p>
        </w:tc>
        <w:tc>
          <w:tcPr>
            <w:tcW w:w="958" w:type="pct"/>
            <w:tcBorders>
              <w:left w:val="single" w:color="auto" w:sz="8" w:space="0"/>
            </w:tcBorders>
            <w:noWrap w:val="0"/>
            <w:vAlign w:val="center"/>
          </w:tcPr>
          <w:p>
            <w:pPr>
              <w:widowControl/>
              <w:jc w:val="center"/>
              <w:rPr>
                <w:color w:val="000000"/>
                <w:kern w:val="0"/>
                <w:sz w:val="24"/>
              </w:rPr>
            </w:pPr>
            <w:r>
              <w:rPr>
                <w:color w:val="000000"/>
                <w:kern w:val="0"/>
                <w:sz w:val="24"/>
              </w:rPr>
              <w:t>3461781.99</w:t>
            </w:r>
          </w:p>
        </w:tc>
        <w:tc>
          <w:tcPr>
            <w:tcW w:w="1044" w:type="pct"/>
            <w:noWrap w:val="0"/>
            <w:vAlign w:val="center"/>
          </w:tcPr>
          <w:p>
            <w:pPr>
              <w:widowControl/>
              <w:jc w:val="center"/>
              <w:rPr>
                <w:color w:val="000000"/>
                <w:kern w:val="0"/>
                <w:sz w:val="24"/>
              </w:rPr>
            </w:pPr>
            <w:r>
              <w:rPr>
                <w:color w:val="000000"/>
                <w:kern w:val="0"/>
                <w:sz w:val="24"/>
              </w:rPr>
              <w:t>36419626.14</w:t>
            </w:r>
          </w:p>
        </w:tc>
        <w:tc>
          <w:tcPr>
            <w:tcW w:w="493" w:type="pct"/>
            <w:noWrap w:val="0"/>
            <w:vAlign w:val="center"/>
          </w:tcPr>
          <w:p>
            <w:pPr>
              <w:autoSpaceDN w:val="0"/>
              <w:spacing w:line="320" w:lineRule="exact"/>
              <w:jc w:val="center"/>
              <w:textAlignment w:val="center"/>
              <w:rPr>
                <w:rFonts w:hint="eastAsia"/>
                <w:sz w:val="24"/>
              </w:rPr>
            </w:pPr>
            <w:r>
              <w:rPr>
                <w:rFonts w:hint="eastAsia"/>
                <w:sz w:val="24"/>
              </w:rPr>
              <w:t>12</w:t>
            </w:r>
          </w:p>
        </w:tc>
        <w:tc>
          <w:tcPr>
            <w:tcW w:w="959" w:type="pct"/>
            <w:noWrap w:val="0"/>
            <w:vAlign w:val="center"/>
          </w:tcPr>
          <w:p>
            <w:pPr>
              <w:widowControl/>
              <w:jc w:val="center"/>
              <w:rPr>
                <w:color w:val="000000"/>
                <w:kern w:val="0"/>
                <w:sz w:val="24"/>
              </w:rPr>
            </w:pPr>
            <w:r>
              <w:rPr>
                <w:color w:val="000000"/>
                <w:kern w:val="0"/>
                <w:sz w:val="24"/>
              </w:rPr>
              <w:t>3462029.21</w:t>
            </w:r>
          </w:p>
        </w:tc>
        <w:tc>
          <w:tcPr>
            <w:tcW w:w="1054" w:type="pct"/>
            <w:tcBorders>
              <w:right w:val="single" w:color="auto" w:sz="8" w:space="0"/>
            </w:tcBorders>
            <w:noWrap w:val="0"/>
            <w:vAlign w:val="center"/>
          </w:tcPr>
          <w:p>
            <w:pPr>
              <w:widowControl/>
              <w:jc w:val="center"/>
              <w:rPr>
                <w:color w:val="000000"/>
                <w:kern w:val="0"/>
                <w:sz w:val="24"/>
              </w:rPr>
            </w:pPr>
            <w:r>
              <w:rPr>
                <w:color w:val="000000"/>
                <w:kern w:val="0"/>
                <w:sz w:val="24"/>
              </w:rPr>
              <w:t>36419434.53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000" w:type="pct"/>
            <w:gridSpan w:val="6"/>
            <w:tcBorders>
              <w:right w:val="single" w:color="auto" w:sz="8" w:space="0"/>
            </w:tcBorders>
            <w:noWrap w:val="0"/>
            <w:vAlign w:val="center"/>
          </w:tcPr>
          <w:p>
            <w:pPr>
              <w:jc w:val="center"/>
            </w:pPr>
            <w:r>
              <w:rPr>
                <w:rFonts w:hint="eastAsia" w:ascii="Times New Roman" w:hAnsi="Times New Roman" w:eastAsia="仿宋_GB2312" w:cs="Times New Roman"/>
                <w:color w:val="000000"/>
                <w:spacing w:val="4"/>
                <w:sz w:val="24"/>
                <w:lang w:val="en-US" w:eastAsia="zh-CN"/>
              </w:rPr>
              <w:t xml:space="preserve"> </w:t>
            </w:r>
            <w:r>
              <w:rPr>
                <w:rFonts w:hint="default" w:ascii="Times New Roman" w:hAnsi="Times New Roman" w:eastAsia="仿宋_GB2312" w:cs="Times New Roman"/>
                <w:color w:val="000000"/>
                <w:spacing w:val="4"/>
                <w:sz w:val="24"/>
              </w:rPr>
              <w:t>矿区面积0.</w:t>
            </w:r>
            <w:r>
              <w:rPr>
                <w:rFonts w:hint="eastAsia" w:ascii="Times New Roman" w:hAnsi="Times New Roman" w:eastAsia="仿宋_GB2312" w:cs="Times New Roman"/>
                <w:color w:val="000000"/>
                <w:spacing w:val="4"/>
                <w:sz w:val="24"/>
              </w:rPr>
              <w:t>1272</w:t>
            </w:r>
            <w:r>
              <w:rPr>
                <w:rFonts w:hint="default" w:ascii="Times New Roman" w:hAnsi="Times New Roman" w:eastAsia="仿宋_GB2312" w:cs="Times New Roman"/>
                <w:color w:val="000000"/>
                <w:spacing w:val="4"/>
                <w:sz w:val="24"/>
              </w:rPr>
              <w:t>km</w:t>
            </w:r>
            <w:r>
              <w:rPr>
                <w:rFonts w:hint="default" w:ascii="Times New Roman" w:hAnsi="Times New Roman" w:eastAsia="仿宋_GB2312" w:cs="Times New Roman"/>
                <w:color w:val="000000"/>
                <w:spacing w:val="4"/>
                <w:sz w:val="24"/>
                <w:vertAlign w:val="superscript"/>
              </w:rPr>
              <w:t>2</w:t>
            </w:r>
            <w:r>
              <w:rPr>
                <w:rFonts w:hint="default" w:ascii="Times New Roman" w:hAnsi="Times New Roman" w:eastAsia="仿宋_GB2312" w:cs="Times New Roman"/>
                <w:color w:val="000000"/>
                <w:spacing w:val="4"/>
                <w:sz w:val="24"/>
              </w:rPr>
              <w:t>，开采标高+</w:t>
            </w:r>
            <w:r>
              <w:rPr>
                <w:rFonts w:hint="eastAsia" w:ascii="Times New Roman" w:hAnsi="Times New Roman" w:eastAsia="仿宋_GB2312" w:cs="Times New Roman"/>
                <w:color w:val="000000"/>
                <w:spacing w:val="4"/>
                <w:sz w:val="24"/>
              </w:rPr>
              <w:t>500</w:t>
            </w:r>
            <w:r>
              <w:rPr>
                <w:rFonts w:hint="default" w:ascii="Times New Roman" w:hAnsi="Times New Roman" w:eastAsia="仿宋_GB2312" w:cs="Times New Roman"/>
                <w:color w:val="000000"/>
                <w:spacing w:val="4"/>
                <w:sz w:val="24"/>
                <w:lang w:val="zh-CN"/>
              </w:rPr>
              <w:t>～</w:t>
            </w:r>
            <w:r>
              <w:rPr>
                <w:rFonts w:hint="eastAsia" w:ascii="Times New Roman" w:hAnsi="Times New Roman" w:eastAsia="仿宋_GB2312" w:cs="Times New Roman"/>
                <w:color w:val="000000"/>
                <w:spacing w:val="4"/>
                <w:sz w:val="24"/>
                <w:lang w:val="zh-CN"/>
              </w:rPr>
              <w:t>+360</w:t>
            </w:r>
            <w:r>
              <w:rPr>
                <w:rFonts w:hint="default" w:ascii="Times New Roman" w:hAnsi="Times New Roman" w:eastAsia="仿宋_GB2312" w:cs="Times New Roman"/>
                <w:color w:val="000000"/>
                <w:spacing w:val="4"/>
                <w:sz w:val="24"/>
                <w:lang w:val="zh-CN"/>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000" w:type="pct"/>
            <w:gridSpan w:val="6"/>
            <w:tcBorders>
              <w:right w:val="single" w:color="auto" w:sz="8" w:space="0"/>
            </w:tcBorders>
            <w:noWrap w:val="0"/>
            <w:vAlign w:val="center"/>
          </w:tcPr>
          <w:p>
            <w:pPr>
              <w:widowControl/>
              <w:jc w:val="center"/>
              <w:rPr>
                <w:color w:val="000000"/>
                <w:kern w:val="0"/>
                <w:sz w:val="24"/>
              </w:rPr>
            </w:pPr>
            <w:r>
              <w:rPr>
                <w:rFonts w:hint="default" w:ascii="Times New Roman" w:hAnsi="Times New Roman" w:eastAsia="仿宋_GB2312" w:cs="Times New Roman"/>
                <w:color w:val="000000"/>
                <w:spacing w:val="4"/>
                <w:sz w:val="24"/>
              </w:rPr>
              <w:t>2000国家大地坐标系，1985国家高程基准。</w:t>
            </w:r>
          </w:p>
        </w:tc>
      </w:tr>
    </w:tbl>
    <w:p>
      <w:pPr>
        <w:spacing w:line="578" w:lineRule="exact"/>
        <w:ind w:firstLine="640" w:firstLineChars="200"/>
        <w:rPr>
          <w:rFonts w:ascii="仿宋_GB2312" w:hAnsi="宋体" w:eastAsia="仿宋_GB2312"/>
          <w:sz w:val="32"/>
          <w:szCs w:val="32"/>
        </w:rPr>
      </w:pPr>
      <w:r>
        <w:rPr>
          <w:rFonts w:hint="eastAsia" w:ascii="仿宋_GB2312" w:hAnsi="宋体" w:eastAsia="仿宋_GB2312"/>
          <w:sz w:val="32"/>
          <w:szCs w:val="32"/>
        </w:rPr>
        <w:t>（五）面积</w:t>
      </w:r>
      <w:r>
        <w:rPr>
          <w:rFonts w:hint="eastAsia" w:ascii="仿宋_GB2312" w:hAnsi="宋体" w:eastAsia="仿宋_GB2312"/>
          <w:sz w:val="32"/>
          <w:szCs w:val="32"/>
          <w:lang w:val="en-US" w:eastAsia="zh-CN"/>
        </w:rPr>
        <w:t>：</w:t>
      </w:r>
      <w:r>
        <w:rPr>
          <w:rFonts w:hint="default" w:ascii="仿宋_GB2312" w:hAnsi="宋体" w:eastAsia="仿宋_GB2312"/>
          <w:sz w:val="32"/>
          <w:szCs w:val="32"/>
          <w:lang w:val="en-US" w:eastAsia="zh-CN"/>
        </w:rPr>
        <w:t>0.</w:t>
      </w:r>
      <w:r>
        <w:rPr>
          <w:rFonts w:hint="eastAsia" w:ascii="仿宋_GB2312" w:hAnsi="宋体" w:eastAsia="仿宋_GB2312"/>
          <w:sz w:val="32"/>
          <w:szCs w:val="32"/>
          <w:lang w:val="en-US" w:eastAsia="zh-CN"/>
        </w:rPr>
        <w:t>1272</w:t>
      </w:r>
      <w:r>
        <w:rPr>
          <w:rFonts w:hint="eastAsia" w:ascii="仿宋_GB2312" w:hAnsi="仿宋_GB2312" w:eastAsia="仿宋_GB2312" w:cs="仿宋_GB2312"/>
          <w:color w:val="000000"/>
          <w:sz w:val="32"/>
          <w:szCs w:val="32"/>
        </w:rPr>
        <w:t>km</w:t>
      </w:r>
      <w:r>
        <w:rPr>
          <w:rFonts w:hint="eastAsia" w:ascii="仿宋_GB2312" w:hAnsi="仿宋_GB2312" w:eastAsia="仿宋_GB2312" w:cs="仿宋_GB2312"/>
          <w:color w:val="000000"/>
          <w:sz w:val="32"/>
          <w:szCs w:val="32"/>
          <w:vertAlign w:val="superscript"/>
        </w:rPr>
        <w:t>2</w:t>
      </w:r>
      <w:r>
        <w:rPr>
          <w:rFonts w:hint="eastAsia" w:ascii="仿宋_GB2312" w:hAnsi="宋体" w:eastAsia="仿宋_GB2312"/>
          <w:sz w:val="32"/>
          <w:szCs w:val="32"/>
        </w:rPr>
        <w:t>；</w:t>
      </w:r>
    </w:p>
    <w:p>
      <w:pPr>
        <w:spacing w:line="578" w:lineRule="exact"/>
        <w:ind w:firstLine="640" w:firstLineChars="200"/>
        <w:rPr>
          <w:rFonts w:hint="default" w:ascii="仿宋_GB2312" w:hAnsi="宋体" w:eastAsia="仿宋_GB2312"/>
          <w:sz w:val="32"/>
          <w:szCs w:val="32"/>
          <w:lang w:val="en-US" w:eastAsia="zh-CN"/>
        </w:rPr>
      </w:pPr>
      <w:r>
        <w:rPr>
          <w:rFonts w:hint="eastAsia" w:ascii="仿宋_GB2312" w:hAnsi="宋体" w:eastAsia="仿宋_GB2312"/>
          <w:sz w:val="32"/>
          <w:szCs w:val="32"/>
        </w:rPr>
        <w:t>（六）资源储量</w:t>
      </w:r>
      <w:r>
        <w:rPr>
          <w:rFonts w:ascii="仿宋_GB2312" w:hAnsi="宋体" w:eastAsia="仿宋_GB2312"/>
          <w:sz w:val="32"/>
          <w:szCs w:val="32"/>
        </w:rPr>
        <w:t>(</w:t>
      </w:r>
      <w:r>
        <w:rPr>
          <w:rFonts w:hint="eastAsia" w:ascii="仿宋_GB2312" w:hAnsi="宋体" w:eastAsia="仿宋_GB2312"/>
          <w:sz w:val="32"/>
          <w:szCs w:val="32"/>
        </w:rPr>
        <w:t>勘查工作程度</w:t>
      </w:r>
      <w:r>
        <w:rPr>
          <w:rFonts w:ascii="仿宋_GB2312" w:hAnsi="宋体" w:eastAsia="仿宋_GB2312"/>
          <w:sz w:val="32"/>
          <w:szCs w:val="32"/>
        </w:rPr>
        <w:t>)</w:t>
      </w:r>
      <w:r>
        <w:rPr>
          <w:rFonts w:hint="eastAsia" w:ascii="仿宋_GB2312" w:hAnsi="宋体" w:eastAsia="仿宋_GB2312"/>
          <w:sz w:val="32"/>
          <w:szCs w:val="32"/>
        </w:rPr>
        <w:t>：</w:t>
      </w:r>
      <w:r>
        <w:rPr>
          <w:rFonts w:hint="eastAsia" w:ascii="仿宋_GB2312" w:hAnsi="宋体" w:eastAsia="仿宋_GB2312"/>
          <w:sz w:val="32"/>
          <w:szCs w:val="32"/>
          <w:lang w:val="en-US" w:eastAsia="zh-CN"/>
        </w:rPr>
        <w:t>详见附件；</w:t>
      </w:r>
    </w:p>
    <w:p>
      <w:pPr>
        <w:spacing w:line="578"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（七）开采标高</w:t>
      </w:r>
      <w:r>
        <w:rPr>
          <w:rFonts w:hint="eastAsia" w:ascii="仿宋_GB2312" w:hAnsi="宋体" w:eastAsia="仿宋_GB2312"/>
          <w:sz w:val="32"/>
          <w:szCs w:val="32"/>
          <w:lang w:val="en-US" w:eastAsia="zh-CN"/>
        </w:rPr>
        <w:t>：</w:t>
      </w:r>
      <w:r>
        <w:rPr>
          <w:rFonts w:hint="default" w:ascii="仿宋_GB2312" w:hAnsi="宋体" w:eastAsia="仿宋_GB2312"/>
          <w:sz w:val="32"/>
          <w:szCs w:val="32"/>
          <w:lang w:val="en-US" w:eastAsia="zh-CN"/>
        </w:rPr>
        <w:t>+</w:t>
      </w:r>
      <w:r>
        <w:rPr>
          <w:rFonts w:hint="eastAsia" w:ascii="仿宋_GB2312" w:hAnsi="宋体" w:eastAsia="仿宋_GB2312"/>
          <w:sz w:val="32"/>
          <w:szCs w:val="32"/>
          <w:lang w:val="en-US" w:eastAsia="zh-CN"/>
        </w:rPr>
        <w:t>500</w:t>
      </w:r>
      <w:r>
        <w:rPr>
          <w:rFonts w:hint="default" w:ascii="仿宋_GB2312" w:hAnsi="宋体" w:eastAsia="仿宋_GB2312"/>
          <w:sz w:val="32"/>
          <w:szCs w:val="32"/>
          <w:lang w:val="zh-CN" w:eastAsia="zh-CN"/>
        </w:rPr>
        <w:t>～</w:t>
      </w:r>
      <w:r>
        <w:rPr>
          <w:rFonts w:hint="eastAsia" w:ascii="仿宋_GB2312" w:hAnsi="宋体" w:eastAsia="仿宋_GB2312"/>
          <w:sz w:val="32"/>
          <w:szCs w:val="32"/>
          <w:lang w:val="zh-CN" w:eastAsia="zh-CN"/>
        </w:rPr>
        <w:t>+360</w:t>
      </w:r>
      <w:r>
        <w:rPr>
          <w:rFonts w:hint="default" w:ascii="仿宋_GB2312" w:hAnsi="宋体" w:eastAsia="仿宋_GB2312"/>
          <w:sz w:val="32"/>
          <w:szCs w:val="32"/>
          <w:lang w:val="zh-CN" w:eastAsia="zh-CN"/>
        </w:rPr>
        <w:t>m</w:t>
      </w:r>
      <w:r>
        <w:rPr>
          <w:rFonts w:hint="eastAsia" w:ascii="仿宋_GB2312" w:hAnsi="宋体" w:eastAsia="仿宋_GB2312"/>
          <w:sz w:val="32"/>
          <w:szCs w:val="32"/>
        </w:rPr>
        <w:t>；</w:t>
      </w:r>
    </w:p>
    <w:p>
      <w:pPr>
        <w:spacing w:line="578"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（八）出让生产规模：</w:t>
      </w:r>
      <w:r>
        <w:rPr>
          <w:rFonts w:hint="eastAsia" w:ascii="仿宋_GB2312" w:hAnsi="宋体" w:eastAsia="仿宋_GB2312"/>
          <w:sz w:val="32"/>
          <w:szCs w:val="32"/>
          <w:lang w:val="en-US" w:eastAsia="zh-CN"/>
        </w:rPr>
        <w:t>50</w:t>
      </w:r>
      <w:r>
        <w:rPr>
          <w:rFonts w:hint="eastAsia" w:ascii="仿宋_GB2312" w:hAnsi="宋体" w:eastAsia="仿宋_GB2312"/>
          <w:sz w:val="32"/>
          <w:szCs w:val="32"/>
        </w:rPr>
        <w:t>万吨/年；</w:t>
      </w:r>
    </w:p>
    <w:p>
      <w:pPr>
        <w:spacing w:line="578"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（九）拟出让年限：</w:t>
      </w:r>
      <w:r>
        <w:rPr>
          <w:rFonts w:hint="eastAsia" w:ascii="仿宋_GB2312" w:hAnsi="宋体" w:eastAsia="仿宋_GB2312"/>
          <w:sz w:val="32"/>
          <w:szCs w:val="32"/>
          <w:lang w:val="en-US" w:eastAsia="zh-CN"/>
        </w:rPr>
        <w:t>20</w:t>
      </w:r>
      <w:r>
        <w:rPr>
          <w:rFonts w:hint="eastAsia" w:ascii="仿宋_GB2312" w:hAnsi="宋体" w:eastAsia="仿宋_GB2312"/>
          <w:sz w:val="32"/>
          <w:szCs w:val="32"/>
        </w:rPr>
        <w:t>年；</w:t>
      </w:r>
    </w:p>
    <w:p>
      <w:pPr>
        <w:spacing w:line="578"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w:t>
      </w:r>
      <w:r>
        <w:rPr>
          <w:rFonts w:hint="eastAsia" w:ascii="仿宋_GB2312" w:hAnsi="宋体" w:eastAsia="仿宋_GB2312"/>
          <w:sz w:val="32"/>
          <w:szCs w:val="32"/>
          <w:lang w:val="en-US" w:eastAsia="zh-CN"/>
        </w:rPr>
        <w:t>十</w:t>
      </w:r>
      <w:r>
        <w:rPr>
          <w:rFonts w:hint="eastAsia" w:ascii="仿宋_GB2312" w:hAnsi="宋体" w:eastAsia="仿宋_GB2312"/>
          <w:sz w:val="32"/>
          <w:szCs w:val="32"/>
        </w:rPr>
        <w:t>）出让人按现状采矿权条件交付；</w:t>
      </w:r>
    </w:p>
    <w:p>
      <w:pPr>
        <w:spacing w:line="578" w:lineRule="exact"/>
        <w:ind w:firstLine="640" w:firstLineChars="200"/>
        <w:rPr>
          <w:rFonts w:ascii="黑体" w:hAnsi="宋体" w:eastAsia="黑体"/>
          <w:sz w:val="32"/>
          <w:szCs w:val="32"/>
        </w:rPr>
      </w:pPr>
      <w:r>
        <w:rPr>
          <w:rFonts w:hint="eastAsia" w:ascii="黑体" w:hAnsi="宋体" w:eastAsia="黑体"/>
          <w:sz w:val="32"/>
          <w:szCs w:val="32"/>
        </w:rPr>
        <w:t>四、竞买资格的要求</w:t>
      </w:r>
    </w:p>
    <w:p>
      <w:pPr>
        <w:spacing w:line="578" w:lineRule="exact"/>
        <w:ind w:firstLine="640" w:firstLineChars="200"/>
        <w:rPr>
          <w:rFonts w:ascii="仿宋_GB2312" w:hAnsi="楷体" w:eastAsia="仿宋_GB2312"/>
          <w:sz w:val="32"/>
          <w:szCs w:val="32"/>
        </w:rPr>
      </w:pPr>
      <w:r>
        <w:rPr>
          <w:rFonts w:ascii="仿宋_GB2312" w:hAnsi="楷体" w:eastAsia="仿宋_GB2312"/>
          <w:sz w:val="32"/>
          <w:szCs w:val="32"/>
        </w:rPr>
        <w:t>(</w:t>
      </w:r>
      <w:r>
        <w:rPr>
          <w:rFonts w:hint="eastAsia" w:ascii="仿宋_GB2312" w:hAnsi="楷体" w:eastAsia="仿宋_GB2312"/>
          <w:sz w:val="32"/>
          <w:szCs w:val="32"/>
        </w:rPr>
        <w:t>一</w:t>
      </w:r>
      <w:r>
        <w:rPr>
          <w:rFonts w:ascii="仿宋_GB2312" w:hAnsi="楷体" w:eastAsia="仿宋_GB2312"/>
          <w:sz w:val="32"/>
          <w:szCs w:val="32"/>
        </w:rPr>
        <w:t xml:space="preserve">) </w:t>
      </w:r>
      <w:r>
        <w:rPr>
          <w:rFonts w:hint="eastAsia" w:ascii="仿宋_GB2312" w:hAnsi="楷体" w:eastAsia="仿宋_GB2312"/>
          <w:sz w:val="32"/>
          <w:szCs w:val="32"/>
        </w:rPr>
        <w:t>竞买资格</w:t>
      </w:r>
    </w:p>
    <w:p>
      <w:pPr>
        <w:keepNext w:val="0"/>
        <w:keepLines w:val="0"/>
        <w:pageBreakBefore w:val="0"/>
        <w:kinsoku/>
        <w:wordWrap/>
        <w:overflowPunct/>
        <w:topLinePunct w:val="0"/>
        <w:bidi w:val="0"/>
        <w:adjustRightInd w:val="0"/>
        <w:snapToGrid w:val="0"/>
        <w:spacing w:line="578" w:lineRule="exact"/>
        <w:ind w:firstLine="640" w:firstLineChars="200"/>
        <w:textAlignment w:val="auto"/>
        <w:rPr>
          <w:rFonts w:hint="default" w:ascii="Times New Roman" w:hAnsi="Times New Roman" w:eastAsia="仿宋_GB2312" w:cs="Times New Roman"/>
          <w:sz w:val="32"/>
          <w:szCs w:val="32"/>
        </w:rPr>
      </w:pPr>
      <w:r>
        <w:rPr>
          <w:rFonts w:ascii="仿宋_GB2312" w:eastAsia="仿宋_GB2312"/>
          <w:sz w:val="32"/>
          <w:szCs w:val="32"/>
        </w:rPr>
        <w:t>1.</w:t>
      </w:r>
      <w:r>
        <w:rPr>
          <w:rFonts w:hint="default" w:ascii="Times New Roman" w:hAnsi="Times New Roman" w:eastAsia="仿宋_GB2312" w:cs="Times New Roman"/>
          <w:sz w:val="32"/>
          <w:szCs w:val="32"/>
        </w:rPr>
        <w:t>在中华人民共和国境内注册的、有效存续的企、事业法人（同一法定代表人注册的多家公司或母子等公司，只能由其中一家公司申请参加竞买同一宗探矿权）；</w:t>
      </w:r>
    </w:p>
    <w:p>
      <w:pPr>
        <w:keepNext w:val="0"/>
        <w:keepLines w:val="0"/>
        <w:pageBreakBefore w:val="0"/>
        <w:kinsoku/>
        <w:wordWrap/>
        <w:overflowPunct/>
        <w:topLinePunct w:val="0"/>
        <w:bidi w:val="0"/>
        <w:adjustRightInd w:val="0"/>
        <w:snapToGrid w:val="0"/>
        <w:spacing w:line="578" w:lineRule="exact"/>
        <w:ind w:firstLine="640" w:firstLineChars="200"/>
        <w:textAlignment w:val="auto"/>
        <w:rPr>
          <w:rFonts w:hint="default" w:ascii="Times New Roman" w:hAnsi="Times New Roman" w:eastAsia="仿宋_GB2312" w:cs="Times New Roman"/>
          <w:sz w:val="32"/>
          <w:szCs w:val="32"/>
        </w:rPr>
      </w:pPr>
      <w:r>
        <w:rPr>
          <w:rFonts w:ascii="仿宋_GB2312" w:eastAsia="仿宋_GB2312"/>
          <w:sz w:val="32"/>
          <w:szCs w:val="32"/>
        </w:rPr>
        <w:t>2.</w:t>
      </w:r>
      <w:r>
        <w:rPr>
          <w:rFonts w:hint="default" w:ascii="Times New Roman" w:hAnsi="Times New Roman" w:eastAsia="仿宋_GB2312" w:cs="Times New Roman"/>
          <w:sz w:val="32"/>
          <w:szCs w:val="32"/>
        </w:rPr>
        <w:t>未被列入全国矿业权人勘查开采信息公示系统中的“严重违法名单”；未被“信用中国”网站列入“失信惩戒对象”、“重点关注名单”、“安全生产领域失信生产经营单位”；未被“国家企业信用信息公示系统”列入“经营异常名录”、“严重违法失信企业名单”。并提供无失信行为承诺书</w:t>
      </w:r>
      <w:r>
        <w:rPr>
          <w:rFonts w:hint="eastAsia" w:eastAsia="仿宋_GB2312" w:cs="Times New Roman"/>
          <w:sz w:val="32"/>
          <w:szCs w:val="32"/>
          <w:lang w:eastAsia="zh-CN"/>
        </w:rPr>
        <w:t>；</w:t>
      </w:r>
      <w:r>
        <w:rPr>
          <w:rFonts w:hint="default" w:ascii="Times New Roman" w:hAnsi="Times New Roman" w:eastAsia="仿宋_GB2312" w:cs="Times New Roman"/>
          <w:sz w:val="32"/>
          <w:szCs w:val="32"/>
        </w:rPr>
        <w:t xml:space="preserve"> </w:t>
      </w:r>
    </w:p>
    <w:p>
      <w:pPr>
        <w:keepNext w:val="0"/>
        <w:keepLines w:val="0"/>
        <w:pageBreakBefore w:val="0"/>
        <w:kinsoku/>
        <w:wordWrap/>
        <w:overflowPunct/>
        <w:topLinePunct w:val="0"/>
        <w:bidi w:val="0"/>
        <w:adjustRightInd w:val="0"/>
        <w:snapToGrid w:val="0"/>
        <w:spacing w:line="578" w:lineRule="exact"/>
        <w:ind w:firstLine="640" w:firstLineChars="200"/>
        <w:textAlignment w:val="auto"/>
        <w:rPr>
          <w:rFonts w:hint="default" w:ascii="Times New Roman" w:hAnsi="Times New Roman" w:eastAsia="仿宋_GB2312" w:cs="Times New Roman"/>
          <w:sz w:val="32"/>
          <w:szCs w:val="32"/>
        </w:rPr>
      </w:pPr>
      <w:r>
        <w:rPr>
          <w:rFonts w:ascii="仿宋_GB2312" w:eastAsia="仿宋_GB2312"/>
          <w:sz w:val="32"/>
          <w:szCs w:val="32"/>
        </w:rPr>
        <w:t>3.</w:t>
      </w:r>
      <w:r>
        <w:rPr>
          <w:rFonts w:hint="default" w:ascii="Times New Roman" w:hAnsi="Times New Roman" w:eastAsia="仿宋_GB2312" w:cs="Times New Roman"/>
          <w:sz w:val="32"/>
          <w:szCs w:val="32"/>
        </w:rPr>
        <w:t>不接受联合体竞买。</w:t>
      </w:r>
    </w:p>
    <w:p>
      <w:pPr>
        <w:pStyle w:val="34"/>
        <w:widowControl w:val="0"/>
        <w:spacing w:line="578" w:lineRule="exact"/>
        <w:ind w:left="0" w:firstLine="640" w:firstLineChars="200"/>
        <w:rPr>
          <w:rFonts w:ascii="仿宋_GB2312" w:hAnsi="楷体" w:eastAsia="仿宋_GB2312"/>
          <w:sz w:val="32"/>
          <w:szCs w:val="32"/>
        </w:rPr>
      </w:pPr>
      <w:r>
        <w:rPr>
          <w:rFonts w:hint="eastAsia" w:ascii="仿宋_GB2312" w:hAnsi="楷体" w:eastAsia="仿宋_GB2312"/>
          <w:sz w:val="32"/>
          <w:szCs w:val="32"/>
        </w:rPr>
        <w:t>（二）要求</w:t>
      </w:r>
    </w:p>
    <w:p>
      <w:pPr>
        <w:pStyle w:val="34"/>
        <w:widowControl w:val="0"/>
        <w:spacing w:line="578" w:lineRule="exact"/>
        <w:ind w:left="0" w:firstLine="640" w:firstLineChars="200"/>
        <w:rPr>
          <w:rFonts w:eastAsia="仿宋_GB2312"/>
          <w:b/>
          <w:sz w:val="32"/>
          <w:szCs w:val="32"/>
          <w:u w:val="single"/>
        </w:rPr>
      </w:pPr>
      <w:r>
        <w:rPr>
          <w:rFonts w:hint="eastAsia" w:ascii="仿宋_GB2312" w:hAnsi="仿宋_GB2312" w:eastAsia="仿宋_GB2312"/>
          <w:sz w:val="32"/>
          <w:szCs w:val="32"/>
        </w:rPr>
        <w:t>竞买</w:t>
      </w:r>
      <w:r>
        <w:rPr>
          <w:rFonts w:hint="eastAsia" w:ascii="仿宋_GB2312" w:eastAsia="仿宋_GB2312"/>
          <w:sz w:val="32"/>
          <w:szCs w:val="32"/>
        </w:rPr>
        <w:t>申请人按照采矿权拍卖出让公告的日期及方式索取拍卖出让文件。申请人应认真审阅、全面准确地理解拍卖出让文件</w:t>
      </w:r>
      <w:r>
        <w:rPr>
          <w:rFonts w:hint="eastAsia" w:eastAsia="仿宋_GB2312"/>
          <w:sz w:val="32"/>
          <w:szCs w:val="32"/>
        </w:rPr>
        <w:t>内容，对本次拍卖出让采矿权的文件有疑问的，可向出让人、拍卖人咨询（咨询电话：出让人电话</w:t>
      </w:r>
      <w:r>
        <w:rPr>
          <w:rFonts w:eastAsia="仿宋_GB2312"/>
          <w:sz w:val="32"/>
          <w:szCs w:val="32"/>
          <w:u w:val="single"/>
        </w:rPr>
        <w:t>0818-3109058</w:t>
      </w:r>
      <w:r>
        <w:rPr>
          <w:rFonts w:hint="eastAsia" w:eastAsia="仿宋_GB2312"/>
          <w:sz w:val="32"/>
          <w:szCs w:val="32"/>
        </w:rPr>
        <w:t>、拍卖人电话</w:t>
      </w:r>
      <w:r>
        <w:rPr>
          <w:rFonts w:eastAsia="仿宋_GB2312"/>
          <w:sz w:val="32"/>
          <w:szCs w:val="32"/>
          <w:u w:val="single"/>
        </w:rPr>
        <w:t>0818-</w:t>
      </w:r>
      <w:r>
        <w:rPr>
          <w:rFonts w:hint="eastAsia" w:eastAsia="仿宋_GB2312"/>
          <w:sz w:val="32"/>
          <w:szCs w:val="32"/>
          <w:u w:val="single"/>
          <w:lang w:val="en-US" w:eastAsia="zh-CN"/>
        </w:rPr>
        <w:t>3330177</w:t>
      </w:r>
      <w:r>
        <w:rPr>
          <w:rFonts w:hint="eastAsia" w:eastAsia="仿宋_GB2312"/>
          <w:sz w:val="32"/>
          <w:szCs w:val="32"/>
        </w:rPr>
        <w:t>）。</w:t>
      </w:r>
    </w:p>
    <w:p>
      <w:pPr>
        <w:pStyle w:val="34"/>
        <w:widowControl w:val="0"/>
        <w:spacing w:line="578" w:lineRule="exact"/>
        <w:ind w:left="0" w:firstLine="640" w:firstLineChars="200"/>
        <w:rPr>
          <w:rFonts w:ascii="黑体" w:hAnsi="黑体" w:eastAsia="黑体"/>
          <w:sz w:val="32"/>
          <w:szCs w:val="32"/>
        </w:rPr>
      </w:pPr>
      <w:r>
        <w:rPr>
          <w:rFonts w:hint="eastAsia" w:ascii="黑体" w:hAnsi="黑体" w:eastAsia="黑体"/>
          <w:sz w:val="32"/>
          <w:szCs w:val="32"/>
          <w:lang w:val="en-US" w:eastAsia="zh-CN"/>
        </w:rPr>
        <w:t>五</w:t>
      </w:r>
      <w:r>
        <w:rPr>
          <w:rFonts w:hint="eastAsia" w:ascii="黑体" w:hAnsi="黑体" w:eastAsia="黑体"/>
          <w:sz w:val="32"/>
          <w:szCs w:val="32"/>
        </w:rPr>
        <w:t>、申请和资格审查</w:t>
      </w:r>
    </w:p>
    <w:p>
      <w:pPr>
        <w:snapToGrid w:val="0"/>
        <w:spacing w:line="578" w:lineRule="exact"/>
        <w:ind w:firstLine="640" w:firstLineChars="200"/>
        <w:rPr>
          <w:rFonts w:ascii="仿宋_GB2312" w:hAnsi="楷体" w:eastAsia="仿宋_GB2312"/>
          <w:sz w:val="32"/>
          <w:szCs w:val="32"/>
        </w:rPr>
      </w:pPr>
      <w:r>
        <w:rPr>
          <w:rFonts w:hint="eastAsia" w:ascii="仿宋_GB2312" w:hAnsi="楷体" w:eastAsia="仿宋_GB2312"/>
          <w:sz w:val="32"/>
          <w:szCs w:val="32"/>
        </w:rPr>
        <w:t>（一）拍卖文件取得</w:t>
      </w:r>
    </w:p>
    <w:p>
      <w:pPr>
        <w:snapToGrid w:val="0"/>
        <w:spacing w:line="578" w:lineRule="exact"/>
        <w:ind w:firstLine="640" w:firstLineChars="200"/>
        <w:rPr>
          <w:rFonts w:ascii="仿宋_GB2312" w:hAnsi="仿宋_GB2312" w:eastAsia="仿宋_GB2312"/>
          <w:kern w:val="0"/>
          <w:sz w:val="32"/>
          <w:szCs w:val="32"/>
        </w:rPr>
      </w:pPr>
      <w:r>
        <w:rPr>
          <w:rFonts w:hint="eastAsia" w:ascii="仿宋_GB2312" w:hAnsi="仿宋_GB2312" w:eastAsia="仿宋_GB2312"/>
          <w:kern w:val="0"/>
          <w:sz w:val="32"/>
          <w:szCs w:val="32"/>
        </w:rPr>
        <w:t>竞买申请人可于</w:t>
      </w:r>
      <w:r>
        <w:rPr>
          <w:rFonts w:ascii="仿宋_GB2312" w:eastAsia="仿宋_GB2312"/>
          <w:kern w:val="0"/>
          <w:sz w:val="32"/>
          <w:szCs w:val="32"/>
        </w:rPr>
        <w:t>2021</w:t>
      </w:r>
      <w:r>
        <w:rPr>
          <w:rFonts w:hint="eastAsia" w:ascii="仿宋_GB2312" w:hAnsi="仿宋_GB2312" w:eastAsia="仿宋_GB2312"/>
          <w:color w:val="FF0000"/>
          <w:kern w:val="0"/>
          <w:sz w:val="32"/>
          <w:szCs w:val="32"/>
          <w:u w:val="single"/>
        </w:rPr>
        <w:t>年</w:t>
      </w:r>
      <w:r>
        <w:rPr>
          <w:rFonts w:hint="eastAsia" w:ascii="仿宋_GB2312" w:eastAsia="仿宋_GB2312"/>
          <w:color w:val="FF0000"/>
          <w:kern w:val="0"/>
          <w:sz w:val="32"/>
          <w:szCs w:val="32"/>
          <w:u w:val="single"/>
          <w:lang w:val="en-US" w:eastAsia="zh-CN"/>
        </w:rPr>
        <w:t>5</w:t>
      </w:r>
      <w:r>
        <w:rPr>
          <w:rFonts w:hint="eastAsia" w:ascii="仿宋_GB2312" w:hAnsi="仿宋_GB2312" w:eastAsia="仿宋_GB2312"/>
          <w:color w:val="FF0000"/>
          <w:kern w:val="0"/>
          <w:sz w:val="32"/>
          <w:szCs w:val="32"/>
          <w:u w:val="single"/>
        </w:rPr>
        <w:t>月</w:t>
      </w:r>
      <w:r>
        <w:rPr>
          <w:rFonts w:hint="eastAsia" w:ascii="仿宋_GB2312" w:eastAsia="仿宋_GB2312"/>
          <w:color w:val="FF0000"/>
          <w:kern w:val="0"/>
          <w:sz w:val="32"/>
          <w:szCs w:val="32"/>
          <w:u w:val="single"/>
          <w:lang w:val="en-US" w:eastAsia="zh-CN"/>
        </w:rPr>
        <w:t>26</w:t>
      </w:r>
      <w:r>
        <w:rPr>
          <w:rFonts w:hint="eastAsia" w:ascii="仿宋_GB2312" w:hAnsi="仿宋_GB2312" w:eastAsia="仿宋_GB2312"/>
          <w:color w:val="FF0000"/>
          <w:kern w:val="0"/>
          <w:sz w:val="32"/>
          <w:szCs w:val="32"/>
          <w:u w:val="single"/>
        </w:rPr>
        <w:t>日</w:t>
      </w:r>
      <w:r>
        <w:rPr>
          <w:rFonts w:hint="eastAsia" w:ascii="仿宋_GB2312" w:hAnsi="仿宋_GB2312" w:eastAsia="仿宋_GB2312"/>
          <w:color w:val="FF0000"/>
          <w:kern w:val="0"/>
          <w:sz w:val="32"/>
          <w:szCs w:val="32"/>
        </w:rPr>
        <w:t>至</w:t>
      </w:r>
      <w:r>
        <w:rPr>
          <w:rFonts w:ascii="仿宋_GB2312" w:eastAsia="仿宋_GB2312"/>
          <w:color w:val="FF0000"/>
          <w:kern w:val="0"/>
          <w:sz w:val="32"/>
          <w:szCs w:val="32"/>
        </w:rPr>
        <w:t>2021</w:t>
      </w:r>
      <w:r>
        <w:rPr>
          <w:rFonts w:hint="eastAsia" w:ascii="仿宋_GB2312" w:hAnsi="仿宋_GB2312" w:eastAsia="仿宋_GB2312"/>
          <w:color w:val="FF0000"/>
          <w:kern w:val="0"/>
          <w:sz w:val="32"/>
          <w:szCs w:val="32"/>
          <w:u w:val="single"/>
        </w:rPr>
        <w:t>年</w:t>
      </w:r>
      <w:r>
        <w:rPr>
          <w:rFonts w:hint="eastAsia" w:ascii="仿宋_GB2312" w:eastAsia="仿宋_GB2312"/>
          <w:color w:val="FF0000"/>
          <w:kern w:val="0"/>
          <w:sz w:val="32"/>
          <w:szCs w:val="32"/>
          <w:u w:val="single"/>
          <w:lang w:val="en-US" w:eastAsia="zh-CN"/>
        </w:rPr>
        <w:t>6</w:t>
      </w:r>
      <w:r>
        <w:rPr>
          <w:rFonts w:hint="eastAsia" w:ascii="仿宋_GB2312" w:hAnsi="仿宋_GB2312" w:eastAsia="仿宋_GB2312"/>
          <w:color w:val="FF0000"/>
          <w:kern w:val="0"/>
          <w:sz w:val="32"/>
          <w:szCs w:val="32"/>
          <w:u w:val="single"/>
        </w:rPr>
        <w:t>月</w:t>
      </w:r>
      <w:r>
        <w:rPr>
          <w:rFonts w:hint="eastAsia" w:ascii="仿宋_GB2312" w:eastAsia="仿宋_GB2312"/>
          <w:color w:val="FF0000"/>
          <w:kern w:val="0"/>
          <w:sz w:val="32"/>
          <w:szCs w:val="32"/>
          <w:u w:val="single"/>
          <w:lang w:val="en-US" w:eastAsia="zh-CN"/>
        </w:rPr>
        <w:t>23</w:t>
      </w:r>
      <w:r>
        <w:rPr>
          <w:rFonts w:hint="eastAsia" w:ascii="仿宋_GB2312" w:hAnsi="仿宋_GB2312" w:eastAsia="仿宋_GB2312"/>
          <w:color w:val="FF0000"/>
          <w:kern w:val="0"/>
          <w:sz w:val="32"/>
          <w:szCs w:val="32"/>
          <w:u w:val="single"/>
        </w:rPr>
        <w:t>日</w:t>
      </w:r>
      <w:r>
        <w:rPr>
          <w:rFonts w:hint="eastAsia" w:ascii="仿宋_GB2312" w:hAnsi="仿宋_GB2312" w:eastAsia="仿宋_GB2312"/>
          <w:kern w:val="0"/>
          <w:sz w:val="32"/>
          <w:szCs w:val="32"/>
        </w:rPr>
        <w:t>，</w:t>
      </w:r>
      <w:r>
        <w:rPr>
          <w:rFonts w:hint="eastAsia" w:ascii="仿宋_GB2312" w:hAnsi="仿宋_GB2312" w:eastAsia="仿宋_GB2312"/>
          <w:sz w:val="32"/>
          <w:szCs w:val="32"/>
        </w:rPr>
        <w:t>登录达州市公共资源交易服务网（</w:t>
      </w:r>
      <w:r>
        <w:fldChar w:fldCharType="begin"/>
      </w:r>
      <w:r>
        <w:instrText xml:space="preserve"> HYPERLINK "http://www.dzggzy.cn" </w:instrText>
      </w:r>
      <w:r>
        <w:fldChar w:fldCharType="separate"/>
      </w:r>
      <w:r>
        <w:rPr>
          <w:rStyle w:val="23"/>
          <w:rFonts w:ascii="仿宋_GB2312" w:eastAsia="仿宋_GB2312"/>
          <w:sz w:val="32"/>
          <w:szCs w:val="32"/>
          <w:shd w:val="clear" w:color="auto" w:fill="FFFFFF"/>
        </w:rPr>
        <w:t>http://www.dzggzy.cn</w:t>
      </w:r>
      <w:r>
        <w:rPr>
          <w:rStyle w:val="23"/>
          <w:rFonts w:ascii="仿宋_GB2312" w:eastAsia="仿宋_GB2312"/>
          <w:sz w:val="32"/>
          <w:szCs w:val="32"/>
          <w:shd w:val="clear" w:color="auto" w:fill="FFFFFF"/>
        </w:rPr>
        <w:fldChar w:fldCharType="end"/>
      </w:r>
      <w:r>
        <w:rPr>
          <w:rFonts w:hint="eastAsia" w:ascii="仿宋_GB2312" w:hAnsi="仿宋_GB2312" w:eastAsia="仿宋_GB2312"/>
          <w:sz w:val="32"/>
          <w:szCs w:val="32"/>
        </w:rPr>
        <w:t>）</w:t>
      </w:r>
      <w:r>
        <w:rPr>
          <w:rFonts w:hint="eastAsia" w:ascii="仿宋_GB2312" w:hAnsi="仿宋_GB2312" w:eastAsia="仿宋_GB2312"/>
          <w:kern w:val="0"/>
          <w:sz w:val="32"/>
          <w:szCs w:val="32"/>
        </w:rPr>
        <w:t>获取拍卖出让文件。拍卖出让文件包括：</w:t>
      </w:r>
    </w:p>
    <w:p>
      <w:pPr>
        <w:pStyle w:val="34"/>
        <w:widowControl w:val="0"/>
        <w:spacing w:line="578" w:lineRule="exact"/>
        <w:ind w:left="0" w:firstLine="640" w:firstLineChars="200"/>
        <w:rPr>
          <w:rFonts w:ascii="仿宋_GB2312" w:eastAsia="仿宋_GB2312"/>
          <w:sz w:val="32"/>
          <w:szCs w:val="32"/>
        </w:rPr>
      </w:pPr>
      <w:r>
        <w:rPr>
          <w:rFonts w:ascii="仿宋_GB2312" w:eastAsia="仿宋_GB2312"/>
          <w:sz w:val="32"/>
          <w:szCs w:val="32"/>
        </w:rPr>
        <w:t>1.</w:t>
      </w:r>
      <w:r>
        <w:rPr>
          <w:rFonts w:hint="eastAsia" w:ascii="仿宋_GB2312" w:eastAsia="仿宋_GB2312"/>
          <w:sz w:val="32"/>
          <w:szCs w:val="32"/>
        </w:rPr>
        <w:t>拍卖出让公告；</w:t>
      </w:r>
    </w:p>
    <w:p>
      <w:pPr>
        <w:pStyle w:val="34"/>
        <w:widowControl w:val="0"/>
        <w:spacing w:line="578" w:lineRule="exact"/>
        <w:ind w:left="0" w:firstLine="640" w:firstLineChars="200"/>
        <w:rPr>
          <w:rFonts w:ascii="仿宋_GB2312" w:eastAsia="仿宋_GB2312"/>
          <w:sz w:val="32"/>
          <w:szCs w:val="32"/>
        </w:rPr>
      </w:pPr>
      <w:r>
        <w:rPr>
          <w:rFonts w:ascii="仿宋_GB2312" w:eastAsia="仿宋_GB2312"/>
          <w:sz w:val="32"/>
          <w:szCs w:val="32"/>
        </w:rPr>
        <w:t>2.</w:t>
      </w:r>
      <w:r>
        <w:rPr>
          <w:rFonts w:hint="eastAsia" w:ascii="仿宋_GB2312" w:eastAsia="仿宋_GB2312"/>
          <w:sz w:val="32"/>
          <w:szCs w:val="32"/>
        </w:rPr>
        <w:t>拍卖出让须知；</w:t>
      </w:r>
    </w:p>
    <w:p>
      <w:pPr>
        <w:pStyle w:val="34"/>
        <w:widowControl w:val="0"/>
        <w:spacing w:line="578" w:lineRule="exact"/>
        <w:ind w:left="0" w:firstLine="640" w:firstLineChars="200"/>
        <w:rPr>
          <w:rFonts w:ascii="仿宋_GB2312" w:eastAsia="仿宋_GB2312"/>
          <w:sz w:val="32"/>
          <w:szCs w:val="32"/>
        </w:rPr>
      </w:pPr>
      <w:r>
        <w:rPr>
          <w:rFonts w:ascii="仿宋_GB2312" w:eastAsia="仿宋_GB2312"/>
          <w:sz w:val="32"/>
          <w:szCs w:val="32"/>
        </w:rPr>
        <w:t>3.</w:t>
      </w:r>
      <w:r>
        <w:rPr>
          <w:rFonts w:hint="eastAsia" w:ascii="仿宋_GB2312" w:eastAsia="仿宋_GB2312"/>
          <w:sz w:val="32"/>
          <w:szCs w:val="32"/>
        </w:rPr>
        <w:t>竞买申请书；</w:t>
      </w:r>
    </w:p>
    <w:p>
      <w:pPr>
        <w:pStyle w:val="34"/>
        <w:widowControl w:val="0"/>
        <w:spacing w:line="578" w:lineRule="exact"/>
        <w:ind w:left="0" w:firstLine="640" w:firstLineChars="200"/>
        <w:rPr>
          <w:rFonts w:ascii="仿宋_GB2312" w:eastAsia="仿宋_GB2312"/>
          <w:sz w:val="32"/>
          <w:szCs w:val="32"/>
        </w:rPr>
      </w:pPr>
      <w:r>
        <w:rPr>
          <w:rFonts w:ascii="仿宋_GB2312" w:eastAsia="仿宋_GB2312"/>
          <w:sz w:val="32"/>
          <w:szCs w:val="32"/>
        </w:rPr>
        <w:t>4.</w:t>
      </w:r>
      <w:r>
        <w:rPr>
          <w:rFonts w:hint="eastAsia" w:ascii="仿宋_GB2312" w:eastAsia="仿宋_GB2312"/>
          <w:sz w:val="32"/>
          <w:szCs w:val="32"/>
        </w:rPr>
        <w:t>法人证明；</w:t>
      </w:r>
    </w:p>
    <w:p>
      <w:pPr>
        <w:pStyle w:val="34"/>
        <w:widowControl w:val="0"/>
        <w:spacing w:line="578" w:lineRule="exact"/>
        <w:ind w:left="0" w:firstLine="640" w:firstLineChars="200"/>
        <w:rPr>
          <w:rFonts w:eastAsia="仿宋_GB2312"/>
          <w:sz w:val="32"/>
          <w:szCs w:val="32"/>
        </w:rPr>
      </w:pPr>
      <w:r>
        <w:rPr>
          <w:rFonts w:eastAsia="仿宋_GB2312"/>
          <w:sz w:val="32"/>
          <w:szCs w:val="32"/>
        </w:rPr>
        <w:t>5.</w:t>
      </w:r>
      <w:r>
        <w:rPr>
          <w:rFonts w:hint="eastAsia" w:eastAsia="仿宋_GB2312"/>
          <w:sz w:val="32"/>
          <w:szCs w:val="32"/>
        </w:rPr>
        <w:t>委托书；</w:t>
      </w:r>
    </w:p>
    <w:p>
      <w:pPr>
        <w:pStyle w:val="34"/>
        <w:widowControl w:val="0"/>
        <w:spacing w:line="578" w:lineRule="exact"/>
        <w:ind w:left="0" w:firstLine="640" w:firstLineChars="200"/>
        <w:rPr>
          <w:rFonts w:eastAsia="仿宋_GB2312"/>
          <w:sz w:val="32"/>
          <w:szCs w:val="32"/>
        </w:rPr>
      </w:pPr>
      <w:r>
        <w:rPr>
          <w:rFonts w:eastAsia="仿宋_GB2312"/>
          <w:sz w:val="32"/>
          <w:szCs w:val="32"/>
        </w:rPr>
        <w:t>6.</w:t>
      </w:r>
      <w:r>
        <w:rPr>
          <w:rFonts w:hint="eastAsia" w:eastAsia="仿宋_GB2312"/>
          <w:sz w:val="32"/>
          <w:szCs w:val="32"/>
        </w:rPr>
        <w:t>竞买资格通知书；</w:t>
      </w:r>
    </w:p>
    <w:p>
      <w:pPr>
        <w:pStyle w:val="34"/>
        <w:widowControl w:val="0"/>
        <w:spacing w:line="578" w:lineRule="exact"/>
        <w:ind w:left="0" w:firstLine="640" w:firstLineChars="200"/>
        <w:rPr>
          <w:rFonts w:eastAsia="仿宋_GB2312"/>
          <w:sz w:val="32"/>
          <w:szCs w:val="32"/>
        </w:rPr>
      </w:pPr>
      <w:r>
        <w:rPr>
          <w:rFonts w:eastAsia="仿宋_GB2312"/>
          <w:sz w:val="32"/>
          <w:szCs w:val="32"/>
        </w:rPr>
        <w:t>7.</w:t>
      </w:r>
      <w:r>
        <w:rPr>
          <w:rFonts w:hint="eastAsia" w:eastAsia="仿宋_GB2312"/>
          <w:sz w:val="32"/>
          <w:szCs w:val="32"/>
        </w:rPr>
        <w:t>成交确认书；</w:t>
      </w:r>
    </w:p>
    <w:p>
      <w:pPr>
        <w:pStyle w:val="34"/>
        <w:widowControl w:val="0"/>
        <w:spacing w:line="578" w:lineRule="exact"/>
        <w:ind w:left="0" w:firstLine="640" w:firstLineChars="200"/>
        <w:rPr>
          <w:rFonts w:eastAsia="仿宋_GB2312"/>
          <w:sz w:val="32"/>
          <w:szCs w:val="32"/>
        </w:rPr>
      </w:pPr>
      <w:r>
        <w:rPr>
          <w:rFonts w:eastAsia="仿宋_GB2312"/>
          <w:sz w:val="32"/>
          <w:szCs w:val="32"/>
        </w:rPr>
        <w:t>8.</w:t>
      </w:r>
      <w:r>
        <w:rPr>
          <w:rFonts w:hint="eastAsia" w:eastAsia="仿宋_GB2312"/>
          <w:sz w:val="32"/>
          <w:szCs w:val="32"/>
        </w:rPr>
        <w:t>其他相关文件；</w:t>
      </w:r>
    </w:p>
    <w:p>
      <w:pPr>
        <w:spacing w:line="578" w:lineRule="exact"/>
        <w:ind w:firstLine="480" w:firstLineChars="150"/>
        <w:rPr>
          <w:rFonts w:ascii="楷体" w:hAnsi="楷体" w:eastAsia="楷体"/>
          <w:sz w:val="32"/>
          <w:szCs w:val="32"/>
        </w:rPr>
      </w:pPr>
      <w:r>
        <w:rPr>
          <w:rFonts w:hint="eastAsia" w:ascii="楷体" w:hAnsi="楷体" w:eastAsia="楷体"/>
          <w:sz w:val="32"/>
          <w:szCs w:val="32"/>
        </w:rPr>
        <w:t>（二）提交申请文件</w:t>
      </w:r>
    </w:p>
    <w:p>
      <w:pPr>
        <w:spacing w:line="578" w:lineRule="exact"/>
        <w:ind w:firstLine="640" w:firstLineChars="200"/>
        <w:rPr>
          <w:rFonts w:eastAsia="仿宋_GB2312"/>
          <w:sz w:val="32"/>
          <w:szCs w:val="32"/>
        </w:rPr>
      </w:pPr>
      <w:r>
        <w:rPr>
          <w:rFonts w:hint="eastAsia" w:hAnsi="仿宋_GB2312" w:eastAsia="仿宋_GB2312"/>
          <w:sz w:val="32"/>
          <w:szCs w:val="32"/>
        </w:rPr>
        <w:t>竞买申</w:t>
      </w:r>
      <w:r>
        <w:rPr>
          <w:rFonts w:hint="eastAsia" w:hAnsi="仿宋_GB2312" w:eastAsia="仿宋_GB2312"/>
          <w:color w:val="000000"/>
          <w:sz w:val="32"/>
          <w:szCs w:val="32"/>
        </w:rPr>
        <w:t>请人应于</w:t>
      </w:r>
      <w:r>
        <w:rPr>
          <w:rFonts w:ascii="仿宋_GB2312" w:eastAsia="仿宋_GB2312"/>
          <w:kern w:val="0"/>
          <w:sz w:val="32"/>
          <w:szCs w:val="32"/>
        </w:rPr>
        <w:t>2021</w:t>
      </w:r>
      <w:r>
        <w:rPr>
          <w:rFonts w:hint="eastAsia" w:ascii="仿宋_GB2312" w:hAnsi="仿宋_GB2312" w:eastAsia="仿宋_GB2312"/>
          <w:color w:val="FF0000"/>
          <w:kern w:val="0"/>
          <w:sz w:val="32"/>
          <w:szCs w:val="32"/>
          <w:u w:val="single"/>
        </w:rPr>
        <w:t>年</w:t>
      </w:r>
      <w:r>
        <w:rPr>
          <w:rFonts w:hint="eastAsia" w:ascii="仿宋_GB2312" w:eastAsia="仿宋_GB2312"/>
          <w:color w:val="FF0000"/>
          <w:kern w:val="0"/>
          <w:sz w:val="32"/>
          <w:szCs w:val="32"/>
          <w:u w:val="single"/>
          <w:lang w:val="en-US" w:eastAsia="zh-CN"/>
        </w:rPr>
        <w:t>5</w:t>
      </w:r>
      <w:r>
        <w:rPr>
          <w:rFonts w:hint="eastAsia" w:ascii="仿宋_GB2312" w:hAnsi="仿宋_GB2312" w:eastAsia="仿宋_GB2312"/>
          <w:color w:val="FF0000"/>
          <w:kern w:val="0"/>
          <w:sz w:val="32"/>
          <w:szCs w:val="32"/>
          <w:u w:val="single"/>
        </w:rPr>
        <w:t>月</w:t>
      </w:r>
      <w:r>
        <w:rPr>
          <w:rFonts w:hint="eastAsia" w:ascii="仿宋_GB2312" w:eastAsia="仿宋_GB2312"/>
          <w:color w:val="FF0000"/>
          <w:kern w:val="0"/>
          <w:sz w:val="32"/>
          <w:szCs w:val="32"/>
          <w:u w:val="single"/>
          <w:lang w:val="en-US" w:eastAsia="zh-CN"/>
        </w:rPr>
        <w:t>26</w:t>
      </w:r>
      <w:r>
        <w:rPr>
          <w:rFonts w:hint="eastAsia" w:ascii="仿宋_GB2312" w:hAnsi="仿宋_GB2312" w:eastAsia="仿宋_GB2312"/>
          <w:color w:val="FF0000"/>
          <w:kern w:val="0"/>
          <w:sz w:val="32"/>
          <w:szCs w:val="32"/>
          <w:u w:val="single"/>
        </w:rPr>
        <w:t>日</w:t>
      </w:r>
      <w:r>
        <w:rPr>
          <w:rFonts w:hint="eastAsia" w:ascii="仿宋_GB2312" w:hAnsi="仿宋_GB2312" w:eastAsia="仿宋_GB2312"/>
          <w:color w:val="FF0000"/>
          <w:kern w:val="0"/>
          <w:sz w:val="32"/>
          <w:szCs w:val="32"/>
        </w:rPr>
        <w:t>至</w:t>
      </w:r>
      <w:r>
        <w:rPr>
          <w:rFonts w:ascii="仿宋_GB2312" w:eastAsia="仿宋_GB2312"/>
          <w:color w:val="FF0000"/>
          <w:kern w:val="0"/>
          <w:sz w:val="32"/>
          <w:szCs w:val="32"/>
        </w:rPr>
        <w:t>2021</w:t>
      </w:r>
      <w:r>
        <w:rPr>
          <w:rFonts w:hint="eastAsia" w:ascii="仿宋_GB2312" w:hAnsi="仿宋_GB2312" w:eastAsia="仿宋_GB2312"/>
          <w:color w:val="FF0000"/>
          <w:kern w:val="0"/>
          <w:sz w:val="32"/>
          <w:szCs w:val="32"/>
          <w:u w:val="single"/>
        </w:rPr>
        <w:t>年</w:t>
      </w:r>
      <w:r>
        <w:rPr>
          <w:rFonts w:hint="eastAsia" w:ascii="仿宋_GB2312" w:eastAsia="仿宋_GB2312"/>
          <w:color w:val="FF0000"/>
          <w:kern w:val="0"/>
          <w:sz w:val="32"/>
          <w:szCs w:val="32"/>
          <w:u w:val="single"/>
          <w:lang w:val="en-US" w:eastAsia="zh-CN"/>
        </w:rPr>
        <w:t>6</w:t>
      </w:r>
      <w:r>
        <w:rPr>
          <w:rFonts w:hint="eastAsia" w:ascii="仿宋_GB2312" w:hAnsi="仿宋_GB2312" w:eastAsia="仿宋_GB2312"/>
          <w:color w:val="FF0000"/>
          <w:kern w:val="0"/>
          <w:sz w:val="32"/>
          <w:szCs w:val="32"/>
          <w:u w:val="single"/>
        </w:rPr>
        <w:t>月</w:t>
      </w:r>
      <w:r>
        <w:rPr>
          <w:rFonts w:hint="eastAsia" w:ascii="仿宋_GB2312" w:eastAsia="仿宋_GB2312"/>
          <w:color w:val="FF0000"/>
          <w:kern w:val="0"/>
          <w:sz w:val="32"/>
          <w:szCs w:val="32"/>
          <w:u w:val="single"/>
          <w:lang w:val="en-US" w:eastAsia="zh-CN"/>
        </w:rPr>
        <w:t>23</w:t>
      </w:r>
      <w:r>
        <w:rPr>
          <w:rFonts w:hint="eastAsia" w:ascii="仿宋_GB2312" w:hAnsi="仿宋_GB2312" w:eastAsia="仿宋_GB2312"/>
          <w:color w:val="FF0000"/>
          <w:kern w:val="0"/>
          <w:sz w:val="32"/>
          <w:szCs w:val="32"/>
          <w:u w:val="single"/>
        </w:rPr>
        <w:t>日</w:t>
      </w:r>
      <w:r>
        <w:rPr>
          <w:rFonts w:eastAsia="仿宋_GB2312"/>
          <w:color w:val="FF0000"/>
          <w:sz w:val="32"/>
          <w:szCs w:val="32"/>
          <w:u w:val="single"/>
        </w:rPr>
        <w:t>17:00</w:t>
      </w:r>
      <w:r>
        <w:rPr>
          <w:rFonts w:hint="eastAsia" w:hAnsi="仿宋_GB2312" w:eastAsia="仿宋_GB2312"/>
          <w:color w:val="FF0000"/>
          <w:sz w:val="32"/>
          <w:szCs w:val="32"/>
          <w:u w:val="single"/>
        </w:rPr>
        <w:t>时</w:t>
      </w:r>
      <w:r>
        <w:rPr>
          <w:rFonts w:hint="eastAsia" w:hAnsi="仿宋_GB2312" w:eastAsia="仿宋_GB2312"/>
          <w:color w:val="000000"/>
          <w:sz w:val="32"/>
          <w:szCs w:val="32"/>
          <w:u w:val="single"/>
        </w:rPr>
        <w:t>止</w:t>
      </w:r>
      <w:r>
        <w:rPr>
          <w:rFonts w:hint="eastAsia" w:hAnsi="仿宋_GB2312" w:eastAsia="仿宋_GB2312"/>
          <w:color w:val="000000"/>
          <w:sz w:val="32"/>
          <w:szCs w:val="32"/>
        </w:rPr>
        <w:t>，</w:t>
      </w:r>
      <w:r>
        <w:rPr>
          <w:rStyle w:val="23"/>
          <w:rFonts w:hint="eastAsia" w:hAnsi="仿宋_GB2312" w:eastAsia="仿宋_GB2312"/>
          <w:color w:val="000000"/>
          <w:sz w:val="32"/>
          <w:szCs w:val="32"/>
          <w:shd w:val="clear" w:color="auto" w:fill="FFFFFF"/>
        </w:rPr>
        <w:t>登录达州市公共资源交易服务网（</w:t>
      </w:r>
      <w:r>
        <w:fldChar w:fldCharType="begin"/>
      </w:r>
      <w:r>
        <w:instrText xml:space="preserve"> HYPERLINK "http://www.dzggzy.cn" </w:instrText>
      </w:r>
      <w:r>
        <w:fldChar w:fldCharType="separate"/>
      </w:r>
      <w:r>
        <w:rPr>
          <w:rStyle w:val="23"/>
          <w:rFonts w:eastAsia="仿宋_GB2312"/>
          <w:sz w:val="32"/>
          <w:szCs w:val="32"/>
          <w:shd w:val="clear" w:color="auto" w:fill="FFFFFF"/>
        </w:rPr>
        <w:t>http://www.dzggzy.cn</w:t>
      </w:r>
      <w:r>
        <w:rPr>
          <w:rStyle w:val="23"/>
          <w:rFonts w:eastAsia="仿宋_GB2312"/>
          <w:sz w:val="32"/>
          <w:szCs w:val="32"/>
          <w:shd w:val="clear" w:color="auto" w:fill="FFFFFF"/>
        </w:rPr>
        <w:fldChar w:fldCharType="end"/>
      </w:r>
      <w:r>
        <w:rPr>
          <w:rStyle w:val="23"/>
          <w:rFonts w:hint="eastAsia" w:hAnsi="仿宋_GB2312" w:eastAsia="仿宋_GB2312"/>
          <w:color w:val="000000"/>
          <w:sz w:val="32"/>
          <w:szCs w:val="32"/>
          <w:shd w:val="clear" w:color="auto" w:fill="FFFFFF"/>
        </w:rPr>
        <w:t>）通过系统上传申请文件扫描件并提交申请。</w:t>
      </w:r>
      <w:r>
        <w:rPr>
          <w:rFonts w:hint="eastAsia" w:hAnsi="仿宋_GB2312" w:eastAsia="仿宋_GB2312"/>
          <w:color w:val="000000"/>
          <w:sz w:val="32"/>
          <w:szCs w:val="32"/>
        </w:rPr>
        <w:t>申请文件包</w:t>
      </w:r>
      <w:r>
        <w:rPr>
          <w:rFonts w:hint="eastAsia" w:hAnsi="仿宋_GB2312" w:eastAsia="仿宋_GB2312"/>
          <w:sz w:val="32"/>
          <w:szCs w:val="32"/>
        </w:rPr>
        <w:t>括：</w:t>
      </w:r>
    </w:p>
    <w:p>
      <w:pPr>
        <w:spacing w:line="578" w:lineRule="exact"/>
        <w:ind w:firstLine="640" w:firstLineChars="200"/>
        <w:rPr>
          <w:rFonts w:eastAsia="仿宋_GB2312"/>
          <w:sz w:val="32"/>
          <w:szCs w:val="32"/>
        </w:rPr>
      </w:pPr>
      <w:r>
        <w:rPr>
          <w:rFonts w:eastAsia="仿宋_GB2312"/>
          <w:sz w:val="32"/>
          <w:szCs w:val="32"/>
        </w:rPr>
        <w:t>1</w:t>
      </w:r>
      <w:r>
        <w:rPr>
          <w:rFonts w:hAnsi="仿宋_GB2312" w:eastAsia="仿宋_GB2312"/>
          <w:sz w:val="32"/>
          <w:szCs w:val="32"/>
        </w:rPr>
        <w:t>.</w:t>
      </w:r>
      <w:r>
        <w:rPr>
          <w:rFonts w:hint="eastAsia" w:hAnsi="仿宋_GB2312" w:eastAsia="仿宋_GB2312"/>
          <w:sz w:val="32"/>
          <w:szCs w:val="32"/>
        </w:rPr>
        <w:t>法人申请的，应提交下列文件：</w:t>
      </w:r>
    </w:p>
    <w:p>
      <w:pPr>
        <w:spacing w:line="578" w:lineRule="exact"/>
        <w:ind w:firstLine="480" w:firstLineChars="150"/>
        <w:rPr>
          <w:rFonts w:ascii="仿宋_GB2312" w:eastAsia="仿宋_GB2312"/>
          <w:sz w:val="32"/>
          <w:szCs w:val="32"/>
        </w:rPr>
      </w:pPr>
      <w:r>
        <w:rPr>
          <w:rFonts w:hint="eastAsia" w:ascii="仿宋_GB2312" w:hAnsi="仿宋_GB2312" w:eastAsia="仿宋_GB2312"/>
          <w:sz w:val="32"/>
          <w:szCs w:val="32"/>
        </w:rPr>
        <w:t>（</w:t>
      </w:r>
      <w:r>
        <w:rPr>
          <w:rFonts w:ascii="仿宋_GB2312" w:eastAsia="仿宋_GB2312"/>
          <w:sz w:val="32"/>
          <w:szCs w:val="32"/>
        </w:rPr>
        <w:t>1</w:t>
      </w:r>
      <w:r>
        <w:rPr>
          <w:rFonts w:hint="eastAsia" w:ascii="仿宋_GB2312" w:hAnsi="仿宋_GB2312" w:eastAsia="仿宋_GB2312"/>
          <w:sz w:val="32"/>
          <w:szCs w:val="32"/>
        </w:rPr>
        <w:t>）商业金融机构的资信证明；</w:t>
      </w:r>
    </w:p>
    <w:p>
      <w:pPr>
        <w:spacing w:line="578" w:lineRule="exact"/>
        <w:ind w:firstLine="480" w:firstLineChars="150"/>
        <w:rPr>
          <w:rFonts w:ascii="仿宋_GB2312" w:eastAsia="仿宋_GB2312"/>
          <w:sz w:val="32"/>
          <w:szCs w:val="32"/>
        </w:rPr>
      </w:pPr>
      <w:r>
        <w:rPr>
          <w:rFonts w:hint="eastAsia" w:ascii="仿宋_GB2312" w:hAnsi="仿宋_GB2312" w:eastAsia="仿宋_GB2312"/>
          <w:sz w:val="32"/>
          <w:szCs w:val="32"/>
        </w:rPr>
        <w:t>（</w:t>
      </w:r>
      <w:r>
        <w:rPr>
          <w:rFonts w:ascii="仿宋_GB2312" w:eastAsia="仿宋_GB2312"/>
          <w:sz w:val="32"/>
          <w:szCs w:val="32"/>
        </w:rPr>
        <w:t>2</w:t>
      </w:r>
      <w:r>
        <w:rPr>
          <w:rFonts w:hint="eastAsia" w:ascii="仿宋_GB2312" w:hAnsi="仿宋_GB2312" w:eastAsia="仿宋_GB2312"/>
          <w:sz w:val="32"/>
          <w:szCs w:val="32"/>
        </w:rPr>
        <w:t>）竞买申请书；</w:t>
      </w:r>
    </w:p>
    <w:p>
      <w:pPr>
        <w:spacing w:line="578" w:lineRule="exact"/>
        <w:ind w:firstLine="480" w:firstLineChars="150"/>
        <w:rPr>
          <w:rFonts w:ascii="仿宋_GB2312" w:eastAsia="仿宋_GB2312"/>
          <w:sz w:val="32"/>
          <w:szCs w:val="32"/>
        </w:rPr>
      </w:pPr>
      <w:r>
        <w:rPr>
          <w:rFonts w:hint="eastAsia" w:ascii="仿宋_GB2312" w:hAnsi="仿宋_GB2312" w:eastAsia="仿宋_GB2312"/>
          <w:sz w:val="32"/>
          <w:szCs w:val="32"/>
        </w:rPr>
        <w:t>（</w:t>
      </w:r>
      <w:r>
        <w:rPr>
          <w:rFonts w:ascii="仿宋_GB2312" w:eastAsia="仿宋_GB2312"/>
          <w:sz w:val="32"/>
          <w:szCs w:val="32"/>
        </w:rPr>
        <w:t>3</w:t>
      </w:r>
      <w:r>
        <w:rPr>
          <w:rFonts w:hint="eastAsia" w:ascii="仿宋_GB2312" w:hAnsi="仿宋_GB2312" w:eastAsia="仿宋_GB2312"/>
          <w:sz w:val="32"/>
          <w:szCs w:val="32"/>
        </w:rPr>
        <w:t>）法人单位有效证明文件；</w:t>
      </w:r>
    </w:p>
    <w:p>
      <w:pPr>
        <w:spacing w:line="578" w:lineRule="exact"/>
        <w:ind w:firstLine="480" w:firstLineChars="150"/>
        <w:rPr>
          <w:rFonts w:ascii="仿宋_GB2312" w:eastAsia="仿宋_GB2312"/>
          <w:sz w:val="32"/>
          <w:szCs w:val="32"/>
        </w:rPr>
      </w:pPr>
      <w:r>
        <w:rPr>
          <w:rFonts w:hint="eastAsia" w:ascii="仿宋_GB2312" w:hAnsi="仿宋_GB2312" w:eastAsia="仿宋_GB2312"/>
          <w:sz w:val="32"/>
          <w:szCs w:val="32"/>
        </w:rPr>
        <w:t>（</w:t>
      </w:r>
      <w:r>
        <w:rPr>
          <w:rFonts w:ascii="仿宋_GB2312" w:eastAsia="仿宋_GB2312"/>
          <w:sz w:val="32"/>
          <w:szCs w:val="32"/>
        </w:rPr>
        <w:t>4</w:t>
      </w:r>
      <w:r>
        <w:rPr>
          <w:rFonts w:hint="eastAsia" w:ascii="仿宋_GB2312" w:hAnsi="仿宋_GB2312" w:eastAsia="仿宋_GB2312"/>
          <w:sz w:val="32"/>
          <w:szCs w:val="32"/>
        </w:rPr>
        <w:t>）法定代表人的有效身份证明文件；</w:t>
      </w:r>
    </w:p>
    <w:p>
      <w:pPr>
        <w:spacing w:line="578" w:lineRule="exact"/>
        <w:ind w:firstLine="480" w:firstLineChars="150"/>
        <w:rPr>
          <w:rFonts w:ascii="仿宋_GB2312" w:eastAsia="仿宋_GB2312"/>
          <w:sz w:val="32"/>
          <w:szCs w:val="32"/>
        </w:rPr>
      </w:pPr>
      <w:r>
        <w:rPr>
          <w:rFonts w:hint="eastAsia" w:ascii="仿宋_GB2312" w:hAnsi="仿宋_GB2312" w:eastAsia="仿宋_GB2312"/>
          <w:sz w:val="32"/>
          <w:szCs w:val="32"/>
        </w:rPr>
        <w:t>（</w:t>
      </w:r>
      <w:r>
        <w:rPr>
          <w:rFonts w:ascii="仿宋_GB2312" w:eastAsia="仿宋_GB2312"/>
          <w:sz w:val="32"/>
          <w:szCs w:val="32"/>
        </w:rPr>
        <w:t>5</w:t>
      </w:r>
      <w:r>
        <w:rPr>
          <w:rFonts w:hint="eastAsia" w:ascii="仿宋_GB2312" w:hAnsi="仿宋_GB2312" w:eastAsia="仿宋_GB2312"/>
          <w:sz w:val="32"/>
          <w:szCs w:val="32"/>
        </w:rPr>
        <w:t>）申请人委托他人代为申请的，应提交授权委托书及委托代理人的有效身份证明文件；</w:t>
      </w:r>
    </w:p>
    <w:p>
      <w:pPr>
        <w:pStyle w:val="34"/>
        <w:widowControl w:val="0"/>
        <w:spacing w:line="578" w:lineRule="exact"/>
        <w:ind w:firstLine="480" w:firstLineChars="150"/>
        <w:rPr>
          <w:rFonts w:ascii="仿宋_GB2312" w:eastAsia="仿宋_GB2312"/>
          <w:sz w:val="32"/>
          <w:szCs w:val="32"/>
        </w:rPr>
      </w:pPr>
      <w:r>
        <w:rPr>
          <w:rFonts w:hint="eastAsia" w:ascii="仿宋_GB2312" w:eastAsia="仿宋_GB2312"/>
          <w:sz w:val="32"/>
          <w:szCs w:val="32"/>
        </w:rPr>
        <w:t>（</w:t>
      </w:r>
      <w:r>
        <w:rPr>
          <w:rFonts w:ascii="仿宋_GB2312" w:eastAsia="仿宋_GB2312"/>
          <w:sz w:val="32"/>
          <w:szCs w:val="32"/>
        </w:rPr>
        <w:t>6</w:t>
      </w:r>
      <w:r>
        <w:rPr>
          <w:rFonts w:hint="eastAsia" w:ascii="仿宋_GB2312" w:eastAsia="仿宋_GB2312"/>
          <w:sz w:val="32"/>
          <w:szCs w:val="32"/>
        </w:rPr>
        <w:t>）</w:t>
      </w:r>
      <w:r>
        <w:rPr>
          <w:rFonts w:hint="eastAsia" w:ascii="仿宋_GB2312" w:hAnsi="宋体" w:eastAsia="仿宋_GB2312" w:cs="宋体"/>
          <w:color w:val="000000"/>
          <w:sz w:val="32"/>
          <w:szCs w:val="32"/>
        </w:rPr>
        <w:t>开户许可证或基本存款账户信息</w:t>
      </w:r>
      <w:r>
        <w:rPr>
          <w:rFonts w:hint="eastAsia" w:ascii="仿宋_GB2312" w:eastAsia="仿宋_GB2312"/>
          <w:sz w:val="32"/>
          <w:szCs w:val="32"/>
        </w:rPr>
        <w:t>；</w:t>
      </w:r>
    </w:p>
    <w:p>
      <w:pPr>
        <w:pStyle w:val="34"/>
        <w:widowControl w:val="0"/>
        <w:spacing w:line="578" w:lineRule="exact"/>
        <w:ind w:firstLine="480" w:firstLineChars="150"/>
        <w:rPr>
          <w:rFonts w:hint="eastAsia" w:eastAsia="仿宋_GB2312"/>
          <w:sz w:val="32"/>
          <w:szCs w:val="32"/>
          <w:lang w:val="en-US" w:eastAsia="zh-CN"/>
        </w:rPr>
      </w:pPr>
      <w:r>
        <w:rPr>
          <w:rFonts w:hint="eastAsia" w:eastAsia="仿宋_GB2312"/>
          <w:sz w:val="32"/>
          <w:szCs w:val="32"/>
        </w:rPr>
        <w:t>（</w:t>
      </w:r>
      <w:r>
        <w:rPr>
          <w:rFonts w:eastAsia="仿宋_GB2312"/>
          <w:sz w:val="32"/>
          <w:szCs w:val="32"/>
        </w:rPr>
        <w:t>7</w:t>
      </w:r>
      <w:r>
        <w:rPr>
          <w:rFonts w:hint="eastAsia" w:eastAsia="仿宋_GB2312"/>
          <w:sz w:val="32"/>
          <w:szCs w:val="32"/>
        </w:rPr>
        <w:t>）</w:t>
      </w:r>
      <w:r>
        <w:rPr>
          <w:rFonts w:hint="eastAsia" w:eastAsia="仿宋_GB2312"/>
          <w:sz w:val="32"/>
          <w:szCs w:val="32"/>
          <w:lang w:val="en-US" w:eastAsia="zh-CN"/>
        </w:rPr>
        <w:t>担保函；</w:t>
      </w:r>
    </w:p>
    <w:p>
      <w:pPr>
        <w:pStyle w:val="34"/>
        <w:widowControl w:val="0"/>
        <w:spacing w:line="578" w:lineRule="exact"/>
        <w:ind w:firstLine="480" w:firstLineChars="150"/>
        <w:rPr>
          <w:rFonts w:eastAsia="仿宋_GB2312"/>
          <w:sz w:val="32"/>
          <w:szCs w:val="32"/>
        </w:rPr>
      </w:pPr>
      <w:r>
        <w:rPr>
          <w:rFonts w:hint="eastAsia" w:eastAsia="仿宋_GB2312"/>
          <w:sz w:val="32"/>
          <w:szCs w:val="32"/>
        </w:rPr>
        <w:t>（</w:t>
      </w:r>
      <w:r>
        <w:rPr>
          <w:rFonts w:hint="eastAsia" w:eastAsia="仿宋_GB2312"/>
          <w:sz w:val="32"/>
          <w:szCs w:val="32"/>
          <w:lang w:val="en-US" w:eastAsia="zh-CN"/>
        </w:rPr>
        <w:t>8</w:t>
      </w:r>
      <w:r>
        <w:rPr>
          <w:rFonts w:hint="eastAsia" w:eastAsia="仿宋_GB2312"/>
          <w:sz w:val="32"/>
          <w:szCs w:val="32"/>
        </w:rPr>
        <w:t>）拍卖文件规定需要提交的其它文件。</w:t>
      </w:r>
    </w:p>
    <w:p>
      <w:pPr>
        <w:spacing w:line="578" w:lineRule="exact"/>
        <w:ind w:firstLine="480" w:firstLineChars="150"/>
        <w:rPr>
          <w:rFonts w:eastAsia="仿宋_GB2312"/>
          <w:sz w:val="32"/>
          <w:szCs w:val="32"/>
        </w:rPr>
      </w:pPr>
      <w:r>
        <w:rPr>
          <w:rFonts w:eastAsia="仿宋_GB2312"/>
          <w:sz w:val="32"/>
          <w:szCs w:val="32"/>
        </w:rPr>
        <w:t xml:space="preserve"> 2</w:t>
      </w:r>
      <w:r>
        <w:rPr>
          <w:rFonts w:hAnsi="仿宋_GB2312" w:eastAsia="仿宋_GB2312"/>
          <w:sz w:val="32"/>
          <w:szCs w:val="32"/>
        </w:rPr>
        <w:t>.</w:t>
      </w:r>
      <w:r>
        <w:rPr>
          <w:rFonts w:hint="eastAsia" w:hAnsi="仿宋_GB2312" w:eastAsia="仿宋_GB2312"/>
          <w:sz w:val="32"/>
          <w:szCs w:val="32"/>
        </w:rPr>
        <w:t>其他组织申请的，应提交下列文件：</w:t>
      </w:r>
    </w:p>
    <w:p>
      <w:pPr>
        <w:spacing w:line="578" w:lineRule="exact"/>
        <w:ind w:firstLine="480" w:firstLineChars="150"/>
        <w:rPr>
          <w:rFonts w:ascii="仿宋_GB2312" w:eastAsia="仿宋_GB2312"/>
          <w:sz w:val="32"/>
          <w:szCs w:val="32"/>
        </w:rPr>
      </w:pPr>
      <w:r>
        <w:rPr>
          <w:rFonts w:hint="eastAsia" w:ascii="仿宋_GB2312" w:hAnsi="仿宋_GB2312" w:eastAsia="仿宋_GB2312"/>
          <w:sz w:val="32"/>
          <w:szCs w:val="32"/>
        </w:rPr>
        <w:t>（</w:t>
      </w:r>
      <w:r>
        <w:rPr>
          <w:rFonts w:ascii="仿宋_GB2312" w:eastAsia="仿宋_GB2312"/>
          <w:sz w:val="32"/>
          <w:szCs w:val="32"/>
        </w:rPr>
        <w:t>1</w:t>
      </w:r>
      <w:r>
        <w:rPr>
          <w:rFonts w:hint="eastAsia" w:ascii="仿宋_GB2312" w:hAnsi="仿宋_GB2312" w:eastAsia="仿宋_GB2312"/>
          <w:sz w:val="32"/>
          <w:szCs w:val="32"/>
        </w:rPr>
        <w:t>）商业金融机构的资信证明；</w:t>
      </w:r>
    </w:p>
    <w:p>
      <w:pPr>
        <w:spacing w:line="578" w:lineRule="exact"/>
        <w:ind w:firstLine="480" w:firstLineChars="150"/>
        <w:rPr>
          <w:rFonts w:ascii="仿宋_GB2312" w:eastAsia="仿宋_GB2312"/>
          <w:sz w:val="32"/>
          <w:szCs w:val="32"/>
        </w:rPr>
      </w:pPr>
      <w:r>
        <w:rPr>
          <w:rFonts w:hint="eastAsia" w:ascii="仿宋_GB2312" w:hAnsi="仿宋_GB2312" w:eastAsia="仿宋_GB2312"/>
          <w:sz w:val="32"/>
          <w:szCs w:val="32"/>
        </w:rPr>
        <w:t>（</w:t>
      </w:r>
      <w:r>
        <w:rPr>
          <w:rFonts w:ascii="仿宋_GB2312" w:eastAsia="仿宋_GB2312"/>
          <w:sz w:val="32"/>
          <w:szCs w:val="32"/>
        </w:rPr>
        <w:t>2</w:t>
      </w:r>
      <w:r>
        <w:rPr>
          <w:rFonts w:hint="eastAsia" w:ascii="仿宋_GB2312" w:hAnsi="仿宋_GB2312" w:eastAsia="仿宋_GB2312"/>
          <w:sz w:val="32"/>
          <w:szCs w:val="32"/>
        </w:rPr>
        <w:t>）竞买申请书；</w:t>
      </w:r>
    </w:p>
    <w:p>
      <w:pPr>
        <w:spacing w:line="578" w:lineRule="exact"/>
        <w:ind w:firstLine="480" w:firstLineChars="150"/>
        <w:rPr>
          <w:rFonts w:ascii="仿宋_GB2312" w:eastAsia="仿宋_GB2312"/>
          <w:sz w:val="32"/>
          <w:szCs w:val="32"/>
        </w:rPr>
      </w:pPr>
      <w:r>
        <w:rPr>
          <w:rFonts w:hint="eastAsia" w:ascii="仿宋_GB2312" w:hAnsi="仿宋_GB2312" w:eastAsia="仿宋_GB2312"/>
          <w:sz w:val="32"/>
          <w:szCs w:val="32"/>
        </w:rPr>
        <w:t>（</w:t>
      </w:r>
      <w:r>
        <w:rPr>
          <w:rFonts w:ascii="仿宋_GB2312" w:eastAsia="仿宋_GB2312"/>
          <w:sz w:val="32"/>
          <w:szCs w:val="32"/>
        </w:rPr>
        <w:t>3</w:t>
      </w:r>
      <w:r>
        <w:rPr>
          <w:rFonts w:hint="eastAsia" w:ascii="仿宋_GB2312" w:hAnsi="仿宋_GB2312" w:eastAsia="仿宋_GB2312"/>
          <w:sz w:val="32"/>
          <w:szCs w:val="32"/>
        </w:rPr>
        <w:t>）表明该组织合法存在的文件或有效证明；</w:t>
      </w:r>
    </w:p>
    <w:p>
      <w:pPr>
        <w:spacing w:line="578" w:lineRule="exact"/>
        <w:ind w:firstLine="480" w:firstLineChars="150"/>
        <w:rPr>
          <w:rFonts w:ascii="仿宋_GB2312" w:eastAsia="仿宋_GB2312"/>
          <w:sz w:val="32"/>
          <w:szCs w:val="32"/>
        </w:rPr>
      </w:pPr>
      <w:r>
        <w:rPr>
          <w:rFonts w:hint="eastAsia" w:ascii="仿宋_GB2312" w:hAnsi="仿宋_GB2312" w:eastAsia="仿宋_GB2312"/>
          <w:sz w:val="32"/>
          <w:szCs w:val="32"/>
        </w:rPr>
        <w:t>（</w:t>
      </w:r>
      <w:r>
        <w:rPr>
          <w:rFonts w:ascii="仿宋_GB2312" w:eastAsia="仿宋_GB2312"/>
          <w:sz w:val="32"/>
          <w:szCs w:val="32"/>
        </w:rPr>
        <w:t>4</w:t>
      </w:r>
      <w:r>
        <w:rPr>
          <w:rFonts w:hint="eastAsia" w:ascii="仿宋_GB2312" w:hAnsi="仿宋_GB2312" w:eastAsia="仿宋_GB2312"/>
          <w:sz w:val="32"/>
          <w:szCs w:val="32"/>
        </w:rPr>
        <w:t>）表明该组织负责人身份的有效证明文件；</w:t>
      </w:r>
    </w:p>
    <w:p>
      <w:pPr>
        <w:spacing w:line="578" w:lineRule="exact"/>
        <w:ind w:firstLine="480" w:firstLineChars="150"/>
        <w:rPr>
          <w:rFonts w:ascii="仿宋_GB2312" w:eastAsia="仿宋_GB2312"/>
          <w:sz w:val="32"/>
          <w:szCs w:val="32"/>
        </w:rPr>
      </w:pPr>
      <w:r>
        <w:rPr>
          <w:rFonts w:hint="eastAsia" w:ascii="仿宋_GB2312" w:hAnsi="仿宋_GB2312" w:eastAsia="仿宋_GB2312"/>
          <w:sz w:val="32"/>
          <w:szCs w:val="32"/>
        </w:rPr>
        <w:t>（</w:t>
      </w:r>
      <w:r>
        <w:rPr>
          <w:rFonts w:ascii="仿宋_GB2312" w:eastAsia="仿宋_GB2312"/>
          <w:sz w:val="32"/>
          <w:szCs w:val="32"/>
        </w:rPr>
        <w:t>5</w:t>
      </w:r>
      <w:r>
        <w:rPr>
          <w:rFonts w:hint="eastAsia" w:ascii="仿宋_GB2312" w:hAnsi="仿宋_GB2312" w:eastAsia="仿宋_GB2312"/>
          <w:sz w:val="32"/>
          <w:szCs w:val="32"/>
        </w:rPr>
        <w:t>）申请人委托他人代为申请的，应提交授权委托书及委托代理人的身份证明文件；</w:t>
      </w:r>
    </w:p>
    <w:p>
      <w:pPr>
        <w:pStyle w:val="34"/>
        <w:widowControl w:val="0"/>
        <w:spacing w:line="578" w:lineRule="exact"/>
        <w:ind w:left="0" w:firstLine="480" w:firstLineChars="150"/>
        <w:rPr>
          <w:rFonts w:ascii="仿宋_GB2312" w:eastAsia="仿宋_GB2312"/>
          <w:sz w:val="32"/>
          <w:szCs w:val="32"/>
        </w:rPr>
      </w:pPr>
      <w:r>
        <w:rPr>
          <w:rFonts w:hint="eastAsia" w:ascii="仿宋_GB2312" w:eastAsia="仿宋_GB2312"/>
          <w:sz w:val="32"/>
          <w:szCs w:val="32"/>
        </w:rPr>
        <w:t>（</w:t>
      </w:r>
      <w:r>
        <w:rPr>
          <w:rFonts w:ascii="仿宋_GB2312" w:eastAsia="仿宋_GB2312"/>
          <w:sz w:val="32"/>
          <w:szCs w:val="32"/>
        </w:rPr>
        <w:t>6</w:t>
      </w:r>
      <w:r>
        <w:rPr>
          <w:rFonts w:hint="eastAsia" w:ascii="仿宋_GB2312" w:eastAsia="仿宋_GB2312"/>
          <w:sz w:val="32"/>
          <w:szCs w:val="32"/>
        </w:rPr>
        <w:t>）</w:t>
      </w:r>
      <w:r>
        <w:rPr>
          <w:rFonts w:hint="eastAsia" w:ascii="仿宋_GB2312" w:hAnsi="宋体" w:eastAsia="仿宋_GB2312" w:cs="宋体"/>
          <w:color w:val="000000"/>
          <w:sz w:val="32"/>
          <w:szCs w:val="32"/>
        </w:rPr>
        <w:t>开户许可证或基本存款账户信息</w:t>
      </w:r>
      <w:r>
        <w:rPr>
          <w:rFonts w:hint="eastAsia" w:ascii="仿宋_GB2312" w:eastAsia="仿宋_GB2312"/>
          <w:sz w:val="32"/>
          <w:szCs w:val="32"/>
        </w:rPr>
        <w:t>；</w:t>
      </w:r>
    </w:p>
    <w:p>
      <w:pPr>
        <w:pStyle w:val="34"/>
        <w:widowControl w:val="0"/>
        <w:spacing w:line="578" w:lineRule="exact"/>
        <w:ind w:firstLine="480" w:firstLineChars="150"/>
        <w:rPr>
          <w:rFonts w:hint="eastAsia" w:eastAsia="仿宋_GB2312"/>
          <w:sz w:val="32"/>
          <w:szCs w:val="32"/>
          <w:lang w:val="en-US" w:eastAsia="zh-CN"/>
        </w:rPr>
      </w:pPr>
      <w:r>
        <w:rPr>
          <w:rFonts w:hint="eastAsia" w:eastAsia="仿宋_GB2312"/>
          <w:sz w:val="32"/>
          <w:szCs w:val="32"/>
        </w:rPr>
        <w:t>（</w:t>
      </w:r>
      <w:r>
        <w:rPr>
          <w:rFonts w:eastAsia="仿宋_GB2312"/>
          <w:sz w:val="32"/>
          <w:szCs w:val="32"/>
        </w:rPr>
        <w:t>7</w:t>
      </w:r>
      <w:r>
        <w:rPr>
          <w:rFonts w:hint="eastAsia" w:eastAsia="仿宋_GB2312"/>
          <w:sz w:val="32"/>
          <w:szCs w:val="32"/>
        </w:rPr>
        <w:t>）</w:t>
      </w:r>
      <w:r>
        <w:rPr>
          <w:rFonts w:hint="eastAsia" w:eastAsia="仿宋_GB2312"/>
          <w:sz w:val="32"/>
          <w:szCs w:val="32"/>
          <w:lang w:val="en-US" w:eastAsia="zh-CN"/>
        </w:rPr>
        <w:t>担保函；</w:t>
      </w:r>
    </w:p>
    <w:p>
      <w:pPr>
        <w:pStyle w:val="34"/>
        <w:widowControl w:val="0"/>
        <w:spacing w:line="578" w:lineRule="exact"/>
        <w:ind w:firstLine="480" w:firstLineChars="150"/>
        <w:rPr>
          <w:rFonts w:eastAsia="仿宋_GB2312"/>
          <w:sz w:val="32"/>
          <w:szCs w:val="32"/>
        </w:rPr>
      </w:pPr>
      <w:r>
        <w:rPr>
          <w:rFonts w:hint="eastAsia" w:eastAsia="仿宋_GB2312"/>
          <w:sz w:val="32"/>
          <w:szCs w:val="32"/>
        </w:rPr>
        <w:t>（</w:t>
      </w:r>
      <w:r>
        <w:rPr>
          <w:rFonts w:hint="eastAsia" w:eastAsia="仿宋_GB2312"/>
          <w:sz w:val="32"/>
          <w:szCs w:val="32"/>
          <w:lang w:val="en-US" w:eastAsia="zh-CN"/>
        </w:rPr>
        <w:t>8</w:t>
      </w:r>
      <w:r>
        <w:rPr>
          <w:rFonts w:hint="eastAsia" w:eastAsia="仿宋_GB2312"/>
          <w:sz w:val="32"/>
          <w:szCs w:val="32"/>
        </w:rPr>
        <w:t>）拍卖文件规定需要提交的其它文件。</w:t>
      </w:r>
    </w:p>
    <w:p>
      <w:pPr>
        <w:spacing w:line="578" w:lineRule="exact"/>
        <w:ind w:firstLine="480" w:firstLineChars="150"/>
        <w:rPr>
          <w:rFonts w:ascii="楷体" w:hAnsi="楷体" w:eastAsia="楷体"/>
          <w:sz w:val="32"/>
          <w:szCs w:val="32"/>
        </w:rPr>
      </w:pPr>
      <w:r>
        <w:rPr>
          <w:rFonts w:hint="eastAsia" w:ascii="楷体" w:hAnsi="楷体" w:eastAsia="楷体"/>
          <w:sz w:val="32"/>
          <w:szCs w:val="32"/>
        </w:rPr>
        <w:t>（三）资格审查</w:t>
      </w:r>
    </w:p>
    <w:p>
      <w:pPr>
        <w:spacing w:line="578" w:lineRule="exact"/>
        <w:ind w:left="160" w:leftChars="76" w:firstLine="480" w:firstLineChars="150"/>
        <w:rPr>
          <w:rFonts w:eastAsia="仿宋_GB2312"/>
          <w:color w:val="000000"/>
          <w:sz w:val="32"/>
          <w:szCs w:val="32"/>
        </w:rPr>
      </w:pPr>
      <w:r>
        <w:rPr>
          <w:rFonts w:hint="eastAsia" w:eastAsia="仿宋_GB2312"/>
          <w:color w:val="000000"/>
          <w:sz w:val="32"/>
          <w:szCs w:val="32"/>
        </w:rPr>
        <w:t>已提交申请的竞买申请人须在</w:t>
      </w:r>
      <w:r>
        <w:rPr>
          <w:rFonts w:hint="eastAsia" w:eastAsia="仿宋_GB2312"/>
          <w:b/>
          <w:color w:val="000000"/>
          <w:sz w:val="32"/>
          <w:szCs w:val="32"/>
        </w:rPr>
        <w:t>资格审查当日（</w:t>
      </w:r>
      <w:r>
        <w:rPr>
          <w:rFonts w:eastAsia="仿宋_GB2312"/>
          <w:b/>
          <w:color w:val="FF0000"/>
          <w:sz w:val="32"/>
          <w:szCs w:val="32"/>
          <w:u w:val="single"/>
        </w:rPr>
        <w:t>2021</w:t>
      </w:r>
      <w:r>
        <w:rPr>
          <w:rFonts w:hint="eastAsia" w:eastAsia="仿宋_GB2312"/>
          <w:b/>
          <w:color w:val="FF0000"/>
          <w:sz w:val="32"/>
          <w:szCs w:val="32"/>
          <w:u w:val="single"/>
        </w:rPr>
        <w:t>年</w:t>
      </w:r>
      <w:r>
        <w:rPr>
          <w:rFonts w:hint="eastAsia" w:eastAsia="仿宋_GB2312"/>
          <w:b/>
          <w:color w:val="FF0000"/>
          <w:sz w:val="32"/>
          <w:szCs w:val="32"/>
          <w:u w:val="single"/>
          <w:lang w:val="en-US" w:eastAsia="zh-CN"/>
        </w:rPr>
        <w:t>6</w:t>
      </w:r>
      <w:r>
        <w:rPr>
          <w:rFonts w:hint="eastAsia" w:eastAsia="仿宋_GB2312"/>
          <w:b/>
          <w:color w:val="FF0000"/>
          <w:sz w:val="32"/>
          <w:szCs w:val="32"/>
          <w:u w:val="single"/>
        </w:rPr>
        <w:t>月</w:t>
      </w:r>
      <w:r>
        <w:rPr>
          <w:rFonts w:hint="eastAsia" w:eastAsia="仿宋_GB2312"/>
          <w:b/>
          <w:color w:val="FF0000"/>
          <w:sz w:val="32"/>
          <w:szCs w:val="32"/>
          <w:u w:val="single"/>
          <w:lang w:val="en-US" w:eastAsia="zh-CN"/>
        </w:rPr>
        <w:t>24</w:t>
      </w:r>
      <w:r>
        <w:rPr>
          <w:rFonts w:hint="eastAsia" w:eastAsia="仿宋_GB2312"/>
          <w:b/>
          <w:color w:val="FF0000"/>
          <w:sz w:val="32"/>
          <w:szCs w:val="32"/>
          <w:u w:val="single"/>
        </w:rPr>
        <w:t>日</w:t>
      </w:r>
      <w:r>
        <w:rPr>
          <w:rFonts w:hint="eastAsia" w:eastAsia="仿宋_GB2312"/>
          <w:b/>
          <w:color w:val="FF0000"/>
          <w:sz w:val="32"/>
          <w:szCs w:val="32"/>
        </w:rPr>
        <w:t>）</w:t>
      </w:r>
      <w:r>
        <w:rPr>
          <w:rFonts w:eastAsia="仿宋_GB2312"/>
          <w:b/>
          <w:color w:val="FF0000"/>
          <w:sz w:val="32"/>
          <w:szCs w:val="32"/>
          <w:u w:val="single"/>
        </w:rPr>
        <w:t xml:space="preserve"> 8:30</w:t>
      </w:r>
      <w:r>
        <w:rPr>
          <w:rFonts w:hint="eastAsia" w:eastAsia="仿宋_GB2312"/>
          <w:color w:val="000000"/>
          <w:sz w:val="32"/>
          <w:szCs w:val="32"/>
        </w:rPr>
        <w:t>之前将竞买申请文件原件提交至达州市公共资源交易服务中心</w:t>
      </w:r>
      <w:r>
        <w:rPr>
          <w:rStyle w:val="23"/>
          <w:rFonts w:hint="eastAsia" w:eastAsia="仿宋_GB2312"/>
          <w:b/>
          <w:color w:val="FF0000"/>
          <w:sz w:val="32"/>
          <w:szCs w:val="32"/>
          <w:u w:val="single"/>
        </w:rPr>
        <w:t>4B-17</w:t>
      </w:r>
      <w:r>
        <w:rPr>
          <w:rFonts w:hint="eastAsia" w:eastAsia="仿宋_GB2312"/>
          <w:color w:val="000000"/>
          <w:sz w:val="32"/>
          <w:szCs w:val="32"/>
        </w:rPr>
        <w:t>室，未按时提交原件的视为自行放弃竞买资格。</w:t>
      </w:r>
    </w:p>
    <w:p>
      <w:pPr>
        <w:spacing w:line="578" w:lineRule="exact"/>
        <w:ind w:firstLine="640" w:firstLineChars="200"/>
        <w:rPr>
          <w:rFonts w:eastAsia="仿宋_GB2312"/>
          <w:sz w:val="32"/>
          <w:szCs w:val="32"/>
        </w:rPr>
      </w:pPr>
      <w:r>
        <w:rPr>
          <w:rFonts w:hint="eastAsia" w:hAnsi="仿宋_GB2312" w:eastAsia="仿宋_GB2312"/>
          <w:color w:val="000000"/>
          <w:sz w:val="32"/>
          <w:szCs w:val="32"/>
        </w:rPr>
        <w:t>达州市公共资源交易服务中心负责组织</w:t>
      </w:r>
      <w:r>
        <w:rPr>
          <w:rFonts w:hint="eastAsia" w:eastAsia="仿宋_GB2312"/>
          <w:color w:val="000000"/>
          <w:sz w:val="32"/>
          <w:szCs w:val="32"/>
        </w:rPr>
        <w:t>相关方进行资格审查</w:t>
      </w:r>
      <w:r>
        <w:rPr>
          <w:rFonts w:hint="eastAsia" w:hAnsi="仿宋_GB2312" w:eastAsia="仿宋_GB2312"/>
          <w:color w:val="000000"/>
          <w:sz w:val="32"/>
          <w:szCs w:val="32"/>
        </w:rPr>
        <w:t>。按规定</w:t>
      </w:r>
      <w:r>
        <w:rPr>
          <w:rFonts w:hint="eastAsia" w:eastAsia="仿宋_GB2312"/>
          <w:color w:val="000000"/>
          <w:sz w:val="32"/>
          <w:szCs w:val="32"/>
        </w:rPr>
        <w:t>时间提交申请且通过</w:t>
      </w:r>
      <w:r>
        <w:rPr>
          <w:rFonts w:hint="eastAsia" w:eastAsia="仿宋_GB2312"/>
          <w:sz w:val="32"/>
          <w:szCs w:val="32"/>
        </w:rPr>
        <w:t>资格审查的</w:t>
      </w:r>
      <w:r>
        <w:rPr>
          <w:rFonts w:hint="eastAsia" w:hAnsi="仿宋_GB2312" w:eastAsia="仿宋_GB2312"/>
          <w:sz w:val="32"/>
          <w:szCs w:val="32"/>
        </w:rPr>
        <w:t>，方能取得竞买资格。</w:t>
      </w:r>
    </w:p>
    <w:p>
      <w:pPr>
        <w:spacing w:line="578" w:lineRule="exact"/>
        <w:ind w:firstLine="640" w:firstLineChars="200"/>
        <w:rPr>
          <w:rFonts w:eastAsia="仿宋_GB2312"/>
          <w:sz w:val="32"/>
          <w:szCs w:val="32"/>
        </w:rPr>
      </w:pPr>
      <w:r>
        <w:rPr>
          <w:rFonts w:hint="eastAsia" w:hAnsi="仿宋_GB2312" w:eastAsia="仿宋_GB2312"/>
          <w:sz w:val="32"/>
          <w:szCs w:val="32"/>
        </w:rPr>
        <w:t>经审查，有下列情形之一的，其申请无效：</w:t>
      </w:r>
    </w:p>
    <w:p>
      <w:pPr>
        <w:pStyle w:val="34"/>
        <w:widowControl w:val="0"/>
        <w:spacing w:line="578" w:lineRule="exact"/>
        <w:ind w:left="0"/>
        <w:rPr>
          <w:rFonts w:eastAsia="仿宋_GB2312"/>
          <w:sz w:val="32"/>
          <w:szCs w:val="32"/>
        </w:rPr>
      </w:pPr>
      <w:r>
        <w:rPr>
          <w:rFonts w:eastAsia="仿宋_GB2312"/>
          <w:sz w:val="32"/>
          <w:szCs w:val="32"/>
        </w:rPr>
        <w:t xml:space="preserve">    1.</w:t>
      </w:r>
      <w:r>
        <w:rPr>
          <w:rFonts w:hint="eastAsia" w:hAnsi="仿宋_GB2312" w:eastAsia="仿宋_GB2312"/>
          <w:sz w:val="32"/>
          <w:szCs w:val="32"/>
        </w:rPr>
        <w:t>申请人不具备竞买资格的；</w:t>
      </w:r>
    </w:p>
    <w:p>
      <w:pPr>
        <w:pStyle w:val="34"/>
        <w:widowControl w:val="0"/>
        <w:spacing w:line="578" w:lineRule="exact"/>
        <w:ind w:left="0"/>
        <w:rPr>
          <w:rFonts w:eastAsia="仿宋_GB2312"/>
          <w:sz w:val="32"/>
          <w:szCs w:val="32"/>
        </w:rPr>
      </w:pPr>
      <w:r>
        <w:rPr>
          <w:rFonts w:eastAsia="仿宋_GB2312"/>
          <w:sz w:val="32"/>
          <w:szCs w:val="32"/>
        </w:rPr>
        <w:t xml:space="preserve">    2.</w:t>
      </w:r>
      <w:r>
        <w:rPr>
          <w:rFonts w:hint="eastAsia" w:eastAsia="仿宋_GB2312"/>
          <w:sz w:val="32"/>
          <w:szCs w:val="32"/>
        </w:rPr>
        <w:t>申请文件不齐全或不符合法律法规和出让文件规定的；</w:t>
      </w:r>
    </w:p>
    <w:p>
      <w:pPr>
        <w:pStyle w:val="34"/>
        <w:widowControl w:val="0"/>
        <w:spacing w:line="578" w:lineRule="exact"/>
        <w:ind w:left="0" w:firstLine="570"/>
        <w:rPr>
          <w:rFonts w:eastAsia="仿宋_GB2312"/>
          <w:sz w:val="32"/>
          <w:szCs w:val="32"/>
        </w:rPr>
      </w:pPr>
      <w:r>
        <w:rPr>
          <w:rFonts w:eastAsia="仿宋_GB2312"/>
          <w:sz w:val="32"/>
          <w:szCs w:val="32"/>
        </w:rPr>
        <w:t>3.</w:t>
      </w:r>
      <w:r>
        <w:rPr>
          <w:rFonts w:hint="eastAsia" w:eastAsia="仿宋_GB2312"/>
          <w:sz w:val="32"/>
          <w:szCs w:val="32"/>
        </w:rPr>
        <w:t>委托他人代理，委托文件不齐全或不符合规定的；</w:t>
      </w:r>
    </w:p>
    <w:p>
      <w:pPr>
        <w:pStyle w:val="34"/>
        <w:widowControl w:val="0"/>
        <w:spacing w:line="578" w:lineRule="exact"/>
        <w:ind w:left="0" w:firstLine="585"/>
        <w:rPr>
          <w:rFonts w:eastAsia="仿宋_GB2312"/>
          <w:kern w:val="2"/>
          <w:sz w:val="32"/>
          <w:szCs w:val="32"/>
        </w:rPr>
      </w:pPr>
      <w:r>
        <w:rPr>
          <w:rFonts w:eastAsia="仿宋_GB2312"/>
          <w:sz w:val="32"/>
          <w:szCs w:val="32"/>
        </w:rPr>
        <w:t>4.</w:t>
      </w:r>
      <w:r>
        <w:rPr>
          <w:rFonts w:hint="eastAsia" w:eastAsia="仿宋_GB2312"/>
          <w:kern w:val="2"/>
          <w:sz w:val="32"/>
          <w:szCs w:val="32"/>
        </w:rPr>
        <w:t>法律法规规定的其他情形。</w:t>
      </w:r>
    </w:p>
    <w:p>
      <w:pPr>
        <w:spacing w:line="578" w:lineRule="exact"/>
        <w:ind w:firstLine="480" w:firstLineChars="150"/>
        <w:rPr>
          <w:rFonts w:ascii="仿宋_GB2312" w:hAnsi="楷体" w:eastAsia="仿宋_GB2312"/>
          <w:sz w:val="32"/>
          <w:szCs w:val="32"/>
        </w:rPr>
      </w:pPr>
      <w:r>
        <w:rPr>
          <w:rFonts w:hint="eastAsia" w:ascii="仿宋_GB2312" w:hAnsi="楷体" w:eastAsia="仿宋_GB2312"/>
          <w:sz w:val="32"/>
          <w:szCs w:val="32"/>
        </w:rPr>
        <w:t>（四）确认竞买人资格</w:t>
      </w:r>
    </w:p>
    <w:p>
      <w:pPr>
        <w:snapToGrid w:val="0"/>
        <w:spacing w:line="578" w:lineRule="exact"/>
        <w:ind w:firstLine="555"/>
        <w:rPr>
          <w:rFonts w:ascii="仿宋_GB2312" w:eastAsia="仿宋_GB2312"/>
          <w:sz w:val="32"/>
          <w:szCs w:val="32"/>
        </w:rPr>
      </w:pPr>
      <w:r>
        <w:rPr>
          <w:rFonts w:hint="eastAsia" w:ascii="仿宋_GB2312" w:eastAsia="仿宋_GB2312"/>
          <w:sz w:val="32"/>
          <w:szCs w:val="32"/>
        </w:rPr>
        <w:t>取得竞买资格</w:t>
      </w:r>
      <w:r>
        <w:rPr>
          <w:rFonts w:hint="eastAsia" w:ascii="仿宋_GB2312" w:eastAsia="仿宋_GB2312"/>
          <w:color w:val="000000"/>
          <w:sz w:val="32"/>
          <w:szCs w:val="32"/>
        </w:rPr>
        <w:t>的竞买申请人，须在</w:t>
      </w:r>
      <w:r>
        <w:rPr>
          <w:rFonts w:ascii="仿宋_GB2312" w:eastAsia="仿宋_GB2312"/>
          <w:b/>
          <w:color w:val="FF0000"/>
          <w:sz w:val="32"/>
          <w:szCs w:val="32"/>
          <w:u w:val="single"/>
        </w:rPr>
        <w:t>2021</w:t>
      </w:r>
      <w:r>
        <w:rPr>
          <w:rFonts w:hint="eastAsia" w:ascii="仿宋_GB2312" w:eastAsia="仿宋_GB2312"/>
          <w:b/>
          <w:color w:val="FF0000"/>
          <w:sz w:val="32"/>
          <w:szCs w:val="32"/>
          <w:u w:val="single"/>
        </w:rPr>
        <w:t>年</w:t>
      </w:r>
      <w:r>
        <w:rPr>
          <w:rFonts w:hint="eastAsia" w:ascii="仿宋_GB2312" w:eastAsia="仿宋_GB2312"/>
          <w:b/>
          <w:color w:val="FF0000"/>
          <w:sz w:val="32"/>
          <w:szCs w:val="32"/>
          <w:u w:val="single"/>
          <w:lang w:val="en-US" w:eastAsia="zh-CN"/>
        </w:rPr>
        <w:t>6</w:t>
      </w:r>
      <w:r>
        <w:rPr>
          <w:rFonts w:hint="eastAsia" w:ascii="仿宋_GB2312" w:eastAsia="仿宋_GB2312"/>
          <w:b/>
          <w:color w:val="FF0000"/>
          <w:sz w:val="32"/>
          <w:szCs w:val="32"/>
          <w:u w:val="single"/>
        </w:rPr>
        <w:t>月</w:t>
      </w:r>
      <w:r>
        <w:rPr>
          <w:rFonts w:hint="eastAsia" w:ascii="仿宋_GB2312" w:eastAsia="仿宋_GB2312"/>
          <w:b/>
          <w:color w:val="FF0000"/>
          <w:sz w:val="32"/>
          <w:szCs w:val="32"/>
          <w:u w:val="single"/>
          <w:lang w:val="en-US" w:eastAsia="zh-CN"/>
        </w:rPr>
        <w:t>24</w:t>
      </w:r>
      <w:r>
        <w:rPr>
          <w:rFonts w:hint="eastAsia" w:ascii="仿宋_GB2312" w:eastAsia="仿宋_GB2312"/>
          <w:b/>
          <w:color w:val="FF0000"/>
          <w:sz w:val="32"/>
          <w:szCs w:val="32"/>
          <w:u w:val="single"/>
        </w:rPr>
        <w:t>日10:30</w:t>
      </w:r>
      <w:r>
        <w:rPr>
          <w:rFonts w:hint="eastAsia" w:ascii="仿宋_GB2312" w:eastAsia="仿宋_GB2312"/>
          <w:color w:val="000000"/>
          <w:sz w:val="32"/>
          <w:szCs w:val="32"/>
        </w:rPr>
        <w:t>时前自行通过达州市公共资源交易服务</w:t>
      </w:r>
      <w:r>
        <w:rPr>
          <w:rStyle w:val="23"/>
          <w:rFonts w:hint="eastAsia" w:ascii="仿宋_GB2312" w:eastAsia="仿宋_GB2312"/>
          <w:color w:val="000000"/>
          <w:sz w:val="32"/>
          <w:szCs w:val="32"/>
          <w:shd w:val="clear" w:color="auto" w:fill="FFFFFF"/>
        </w:rPr>
        <w:t>网（</w:t>
      </w:r>
      <w:r>
        <w:fldChar w:fldCharType="begin"/>
      </w:r>
      <w:r>
        <w:instrText xml:space="preserve"> HYPERLINK "http://www.dzggzy.cn" </w:instrText>
      </w:r>
      <w:r>
        <w:fldChar w:fldCharType="separate"/>
      </w:r>
      <w:r>
        <w:rPr>
          <w:rStyle w:val="23"/>
          <w:rFonts w:ascii="仿宋_GB2312" w:eastAsia="仿宋_GB2312"/>
          <w:sz w:val="32"/>
          <w:szCs w:val="32"/>
          <w:shd w:val="clear" w:color="auto" w:fill="FFFFFF"/>
        </w:rPr>
        <w:t>http://www.dzggzy.cn</w:t>
      </w:r>
      <w:r>
        <w:rPr>
          <w:rStyle w:val="23"/>
          <w:rFonts w:ascii="仿宋_GB2312" w:eastAsia="仿宋_GB2312"/>
          <w:sz w:val="32"/>
          <w:szCs w:val="32"/>
          <w:shd w:val="clear" w:color="auto" w:fill="FFFFFF"/>
        </w:rPr>
        <w:fldChar w:fldCharType="end"/>
      </w:r>
      <w:r>
        <w:rPr>
          <w:rStyle w:val="23"/>
          <w:rFonts w:hint="eastAsia" w:ascii="仿宋_GB2312" w:eastAsia="仿宋_GB2312"/>
          <w:color w:val="000000"/>
          <w:sz w:val="32"/>
          <w:szCs w:val="32"/>
          <w:shd w:val="clear" w:color="auto" w:fill="FFFFFF"/>
        </w:rPr>
        <w:t>）</w:t>
      </w:r>
      <w:r>
        <w:rPr>
          <w:rFonts w:hint="eastAsia" w:ascii="仿宋_GB2312" w:eastAsia="仿宋_GB2312"/>
          <w:color w:val="000000"/>
          <w:sz w:val="32"/>
          <w:szCs w:val="32"/>
        </w:rPr>
        <w:t>打印竞买</w:t>
      </w:r>
      <w:r>
        <w:rPr>
          <w:rFonts w:hint="eastAsia" w:ascii="仿宋_GB2312" w:eastAsia="仿宋_GB2312"/>
          <w:sz w:val="32"/>
          <w:szCs w:val="32"/>
        </w:rPr>
        <w:t>资格确认书并带到拍卖现场</w:t>
      </w:r>
      <w:r>
        <w:rPr>
          <w:rFonts w:hint="eastAsia" w:ascii="仿宋_GB2312" w:eastAsia="仿宋_GB2312"/>
          <w:color w:val="000000"/>
          <w:sz w:val="32"/>
          <w:szCs w:val="32"/>
        </w:rPr>
        <w:t>（打印时间可能因资格审查而延迟）</w:t>
      </w:r>
      <w:r>
        <w:rPr>
          <w:rFonts w:hint="eastAsia" w:ascii="仿宋_GB2312" w:eastAsia="仿宋_GB2312"/>
          <w:sz w:val="32"/>
          <w:szCs w:val="32"/>
        </w:rPr>
        <w:t>。</w:t>
      </w:r>
    </w:p>
    <w:p>
      <w:pPr>
        <w:spacing w:line="578" w:lineRule="exact"/>
        <w:rPr>
          <w:rFonts w:ascii="仿宋_GB2312" w:hAnsi="楷体" w:eastAsia="仿宋_GB2312"/>
          <w:sz w:val="32"/>
          <w:szCs w:val="32"/>
        </w:rPr>
      </w:pPr>
      <w:r>
        <w:rPr>
          <w:rFonts w:ascii="仿宋_GB2312" w:hAnsi="楷体" w:eastAsia="仿宋_GB2312"/>
          <w:sz w:val="32"/>
          <w:szCs w:val="32"/>
        </w:rPr>
        <w:t xml:space="preserve">   </w:t>
      </w:r>
      <w:r>
        <w:rPr>
          <w:rFonts w:hint="eastAsia" w:ascii="仿宋_GB2312" w:hAnsi="楷体" w:eastAsia="仿宋_GB2312"/>
          <w:sz w:val="32"/>
          <w:szCs w:val="32"/>
        </w:rPr>
        <w:t>（五）答疑及现场踏勘</w:t>
      </w:r>
    </w:p>
    <w:p>
      <w:pPr>
        <w:pStyle w:val="34"/>
        <w:widowControl w:val="0"/>
        <w:spacing w:line="578" w:lineRule="exact"/>
        <w:ind w:left="0" w:firstLine="640" w:firstLineChars="200"/>
        <w:rPr>
          <w:rFonts w:ascii="仿宋_GB2312" w:eastAsia="仿宋_GB2312"/>
          <w:color w:val="000000"/>
          <w:kern w:val="2"/>
          <w:sz w:val="32"/>
          <w:szCs w:val="32"/>
        </w:rPr>
      </w:pPr>
      <w:r>
        <w:rPr>
          <w:rFonts w:hint="eastAsia" w:ascii="仿宋_GB2312" w:eastAsia="仿宋_GB2312"/>
          <w:color w:val="000000"/>
          <w:kern w:val="2"/>
          <w:sz w:val="32"/>
          <w:szCs w:val="32"/>
        </w:rPr>
        <w:t>竞买申请人取得拍卖出让文件后，应全面仔细阅读其内容并现场踏勘所需竞买的矿业权。</w:t>
      </w:r>
    </w:p>
    <w:p>
      <w:pPr>
        <w:pStyle w:val="34"/>
        <w:widowControl w:val="0"/>
        <w:spacing w:line="578" w:lineRule="exact"/>
        <w:ind w:left="0" w:firstLine="640" w:firstLineChars="200"/>
        <w:rPr>
          <w:rFonts w:ascii="仿宋_GB2312" w:eastAsia="仿宋_GB2312"/>
          <w:color w:val="000000"/>
          <w:kern w:val="2"/>
          <w:sz w:val="32"/>
          <w:szCs w:val="32"/>
        </w:rPr>
      </w:pPr>
      <w:r>
        <w:rPr>
          <w:rFonts w:hint="eastAsia" w:ascii="仿宋_GB2312" w:eastAsia="仿宋_GB2312"/>
          <w:color w:val="000000"/>
          <w:kern w:val="2"/>
          <w:sz w:val="32"/>
          <w:szCs w:val="32"/>
        </w:rPr>
        <w:t>竞买申请人对拍卖出让文件有疑问的，须在提交竞买申请书之前以书面方式向拍卖人咨询，提交竞买申请书后不予受理。申请人对拟竞买的矿业权进行现场踏勘可自行前往；也可在提交竞买申请书之前以书面方式向出让人申请组织现场踏勘，提交竞买申请书后不予受理</w:t>
      </w:r>
      <w:r>
        <w:rPr>
          <w:rFonts w:hint="eastAsia" w:ascii="仿宋_GB2312" w:eastAsia="仿宋_GB2312"/>
          <w:kern w:val="2"/>
          <w:sz w:val="32"/>
          <w:szCs w:val="32"/>
        </w:rPr>
        <w:t>。</w:t>
      </w:r>
    </w:p>
    <w:p>
      <w:pPr>
        <w:pStyle w:val="34"/>
        <w:widowControl w:val="0"/>
        <w:spacing w:line="578" w:lineRule="exact"/>
        <w:ind w:left="0" w:firstLine="640" w:firstLineChars="200"/>
        <w:rPr>
          <w:rFonts w:ascii="黑体" w:hAnsi="黑体" w:eastAsia="黑体"/>
          <w:color w:val="000000"/>
          <w:sz w:val="32"/>
          <w:szCs w:val="32"/>
        </w:rPr>
      </w:pPr>
      <w:r>
        <w:rPr>
          <w:rFonts w:hint="eastAsia" w:ascii="黑体" w:hAnsi="黑体" w:eastAsia="黑体"/>
          <w:sz w:val="32"/>
          <w:szCs w:val="32"/>
          <w:lang w:val="en-US" w:eastAsia="zh-CN"/>
        </w:rPr>
        <w:t>六</w:t>
      </w:r>
      <w:r>
        <w:rPr>
          <w:rFonts w:hint="eastAsia" w:ascii="黑体" w:hAnsi="黑体" w:eastAsia="黑体"/>
          <w:sz w:val="32"/>
          <w:szCs w:val="32"/>
        </w:rPr>
        <w:t>、本次拍卖</w:t>
      </w:r>
      <w:r>
        <w:rPr>
          <w:rFonts w:hint="eastAsia" w:ascii="黑体" w:hAnsi="黑体" w:eastAsia="黑体"/>
          <w:color w:val="000000"/>
          <w:sz w:val="32"/>
          <w:szCs w:val="32"/>
        </w:rPr>
        <w:t>出让活动有关时间、地点</w:t>
      </w:r>
    </w:p>
    <w:p>
      <w:pPr>
        <w:spacing w:line="578" w:lineRule="exact"/>
        <w:ind w:firstLine="640" w:firstLineChars="200"/>
        <w:rPr>
          <w:rFonts w:eastAsia="仿宋_GB2312"/>
          <w:sz w:val="32"/>
          <w:szCs w:val="32"/>
        </w:rPr>
      </w:pPr>
      <w:r>
        <w:rPr>
          <w:rFonts w:hint="eastAsia" w:eastAsia="仿宋_GB2312"/>
          <w:sz w:val="32"/>
          <w:szCs w:val="32"/>
        </w:rPr>
        <w:t>本次拍卖会地点为：四川省达州市马踏洞新区龙马大道与鱼泉路交叉口处新政务服务大楼达州市公共资源交易服务中心开标</w:t>
      </w:r>
      <w:r>
        <w:rPr>
          <w:rFonts w:eastAsia="仿宋_GB2312"/>
          <w:color w:val="FF0000"/>
          <w:sz w:val="32"/>
          <w:szCs w:val="32"/>
          <w:u w:val="single"/>
        </w:rPr>
        <w:t xml:space="preserve"> </w:t>
      </w:r>
      <w:r>
        <w:rPr>
          <w:rFonts w:hint="eastAsia" w:eastAsia="仿宋_GB2312"/>
          <w:color w:val="FF0000"/>
          <w:sz w:val="32"/>
          <w:szCs w:val="32"/>
          <w:u w:val="single"/>
        </w:rPr>
        <w:t>二</w:t>
      </w:r>
      <w:r>
        <w:rPr>
          <w:rFonts w:eastAsia="仿宋_GB2312"/>
          <w:color w:val="FF0000"/>
          <w:sz w:val="32"/>
          <w:szCs w:val="32"/>
          <w:u w:val="single"/>
        </w:rPr>
        <w:t xml:space="preserve"> </w:t>
      </w:r>
      <w:r>
        <w:rPr>
          <w:rFonts w:hint="eastAsia" w:eastAsia="仿宋_GB2312"/>
          <w:sz w:val="32"/>
          <w:szCs w:val="32"/>
        </w:rPr>
        <w:t>厅举行。</w:t>
      </w:r>
    </w:p>
    <w:p>
      <w:pPr>
        <w:spacing w:line="578" w:lineRule="exact"/>
        <w:ind w:firstLine="640" w:firstLineChars="200"/>
        <w:rPr>
          <w:rFonts w:eastAsia="仿宋_GB2312"/>
          <w:sz w:val="32"/>
          <w:szCs w:val="32"/>
        </w:rPr>
      </w:pPr>
      <w:r>
        <w:rPr>
          <w:rFonts w:hint="eastAsia" w:eastAsia="仿宋_GB2312"/>
          <w:sz w:val="32"/>
          <w:szCs w:val="32"/>
        </w:rPr>
        <w:t>本次拍卖会时间为：</w:t>
      </w:r>
      <w:r>
        <w:rPr>
          <w:rFonts w:eastAsia="仿宋_GB2312"/>
          <w:color w:val="FF0000"/>
          <w:sz w:val="32"/>
          <w:szCs w:val="32"/>
          <w:u w:val="single"/>
        </w:rPr>
        <w:t>2021</w:t>
      </w:r>
      <w:r>
        <w:rPr>
          <w:rFonts w:hint="eastAsia" w:eastAsia="仿宋_GB2312"/>
          <w:color w:val="FF0000"/>
          <w:sz w:val="32"/>
          <w:szCs w:val="32"/>
          <w:u w:val="single"/>
        </w:rPr>
        <w:t>年</w:t>
      </w:r>
      <w:r>
        <w:rPr>
          <w:rFonts w:hint="eastAsia" w:eastAsia="仿宋_GB2312"/>
          <w:color w:val="FF0000"/>
          <w:sz w:val="32"/>
          <w:szCs w:val="32"/>
          <w:u w:val="single"/>
          <w:lang w:val="en-US" w:eastAsia="zh-CN"/>
        </w:rPr>
        <w:t>6</w:t>
      </w:r>
      <w:r>
        <w:rPr>
          <w:rFonts w:hint="eastAsia" w:eastAsia="仿宋_GB2312"/>
          <w:color w:val="FF0000"/>
          <w:sz w:val="32"/>
          <w:szCs w:val="32"/>
          <w:u w:val="single"/>
        </w:rPr>
        <w:t>月</w:t>
      </w:r>
      <w:r>
        <w:rPr>
          <w:rFonts w:hint="eastAsia" w:eastAsia="仿宋_GB2312"/>
          <w:color w:val="FF0000"/>
          <w:sz w:val="32"/>
          <w:szCs w:val="32"/>
          <w:u w:val="single"/>
          <w:lang w:val="en-US" w:eastAsia="zh-CN"/>
        </w:rPr>
        <w:t>24</w:t>
      </w:r>
      <w:r>
        <w:rPr>
          <w:rFonts w:hint="eastAsia" w:eastAsia="仿宋_GB2312"/>
          <w:color w:val="FF0000"/>
          <w:sz w:val="32"/>
          <w:szCs w:val="32"/>
          <w:u w:val="single"/>
        </w:rPr>
        <w:t>日</w:t>
      </w:r>
      <w:r>
        <w:rPr>
          <w:rFonts w:hint="eastAsia" w:eastAsia="仿宋_GB2312"/>
          <w:b/>
          <w:color w:val="FF0000"/>
          <w:sz w:val="32"/>
          <w:szCs w:val="32"/>
          <w:u w:val="single"/>
        </w:rPr>
        <w:t>10:30</w:t>
      </w:r>
      <w:r>
        <w:rPr>
          <w:rFonts w:eastAsia="仿宋_GB2312"/>
          <w:b/>
          <w:color w:val="FF0000"/>
          <w:sz w:val="32"/>
          <w:szCs w:val="32"/>
          <w:u w:val="single"/>
        </w:rPr>
        <w:t xml:space="preserve"> </w:t>
      </w:r>
      <w:r>
        <w:rPr>
          <w:rFonts w:hint="eastAsia" w:eastAsia="仿宋_GB2312"/>
          <w:color w:val="FF0000"/>
          <w:sz w:val="32"/>
          <w:szCs w:val="32"/>
        </w:rPr>
        <w:t>时</w:t>
      </w:r>
      <w:r>
        <w:rPr>
          <w:rFonts w:hint="eastAsia" w:eastAsia="仿宋_GB2312"/>
          <w:sz w:val="32"/>
          <w:szCs w:val="32"/>
        </w:rPr>
        <w:t>。（拍卖会时间可能因资格审查而延迟）</w:t>
      </w:r>
    </w:p>
    <w:p>
      <w:pPr>
        <w:spacing w:line="578" w:lineRule="exact"/>
        <w:ind w:firstLine="640" w:firstLineChars="200"/>
        <w:rPr>
          <w:rFonts w:ascii="黑体" w:hAnsi="黑体" w:eastAsia="黑体"/>
          <w:sz w:val="32"/>
          <w:szCs w:val="32"/>
        </w:rPr>
      </w:pPr>
      <w:r>
        <w:rPr>
          <w:rFonts w:hint="eastAsia" w:ascii="黑体" w:hAnsi="黑体" w:eastAsia="黑体"/>
          <w:sz w:val="32"/>
          <w:szCs w:val="32"/>
          <w:lang w:val="en-US" w:eastAsia="zh-CN"/>
        </w:rPr>
        <w:t>七</w:t>
      </w:r>
      <w:r>
        <w:rPr>
          <w:rFonts w:hint="eastAsia" w:ascii="黑体" w:hAnsi="黑体" w:eastAsia="黑体"/>
          <w:sz w:val="32"/>
          <w:szCs w:val="32"/>
        </w:rPr>
        <w:t>、本次拍卖起始价、增价幅度</w:t>
      </w:r>
    </w:p>
    <w:p>
      <w:pPr>
        <w:spacing w:line="578" w:lineRule="exact"/>
        <w:ind w:firstLine="640" w:firstLineChars="200"/>
        <w:rPr>
          <w:rFonts w:eastAsia="仿宋_GB2312"/>
          <w:sz w:val="32"/>
          <w:szCs w:val="32"/>
          <w:u w:val="single"/>
        </w:rPr>
      </w:pPr>
      <w:r>
        <w:rPr>
          <w:rFonts w:hint="eastAsia" w:hAnsi="仿宋_GB2312" w:eastAsia="仿宋_GB2312"/>
          <w:color w:val="000000"/>
          <w:sz w:val="32"/>
          <w:szCs w:val="32"/>
        </w:rPr>
        <w:t>本次</w:t>
      </w:r>
      <w:r>
        <w:rPr>
          <w:rFonts w:hint="eastAsia" w:hAnsi="仿宋_GB2312" w:eastAsia="仿宋_GB2312"/>
          <w:sz w:val="32"/>
          <w:szCs w:val="32"/>
        </w:rPr>
        <w:t>拍卖起始价为人</w:t>
      </w:r>
      <w:r>
        <w:rPr>
          <w:rFonts w:hint="eastAsia" w:hAnsi="仿宋_GB2312" w:eastAsia="仿宋_GB2312"/>
          <w:color w:val="000000"/>
          <w:sz w:val="32"/>
          <w:szCs w:val="32"/>
        </w:rPr>
        <w:t>民币</w:t>
      </w:r>
      <w:r>
        <w:rPr>
          <w:rFonts w:hint="eastAsia" w:eastAsia="仿宋_GB2312"/>
          <w:color w:val="000000"/>
          <w:sz w:val="32"/>
          <w:szCs w:val="32"/>
          <w:u w:val="single"/>
          <w:lang w:val="en-US" w:eastAsia="zh-CN"/>
        </w:rPr>
        <w:t>725</w:t>
      </w:r>
      <w:r>
        <w:rPr>
          <w:rFonts w:hint="eastAsia" w:hAnsi="仿宋_GB2312" w:eastAsia="仿宋_GB2312"/>
          <w:color w:val="000000"/>
          <w:sz w:val="32"/>
          <w:szCs w:val="32"/>
          <w:u w:val="single"/>
        </w:rPr>
        <w:t>万</w:t>
      </w:r>
      <w:r>
        <w:rPr>
          <w:rFonts w:hint="eastAsia" w:hAnsi="仿宋_GB2312" w:eastAsia="仿宋_GB2312"/>
          <w:color w:val="000000"/>
          <w:sz w:val="32"/>
          <w:szCs w:val="32"/>
        </w:rPr>
        <w:t>元，增价幅度为人民币</w:t>
      </w:r>
      <w:r>
        <w:rPr>
          <w:rFonts w:hint="eastAsia" w:eastAsia="仿宋_GB2312"/>
          <w:sz w:val="32"/>
          <w:szCs w:val="32"/>
          <w:u w:val="single"/>
          <w:lang w:val="en-US" w:eastAsia="zh-CN"/>
        </w:rPr>
        <w:t>10</w:t>
      </w:r>
      <w:r>
        <w:rPr>
          <w:rFonts w:hint="eastAsia" w:hAnsi="仿宋_GB2312" w:eastAsia="仿宋_GB2312"/>
          <w:sz w:val="32"/>
          <w:szCs w:val="32"/>
          <w:u w:val="single"/>
        </w:rPr>
        <w:t>万</w:t>
      </w:r>
      <w:r>
        <w:rPr>
          <w:rFonts w:hint="eastAsia" w:hAnsi="仿宋_GB2312" w:eastAsia="仿宋_GB2312"/>
          <w:sz w:val="32"/>
          <w:szCs w:val="32"/>
        </w:rPr>
        <w:t>元或</w:t>
      </w:r>
      <w:r>
        <w:rPr>
          <w:rFonts w:hint="eastAsia" w:eastAsia="仿宋_GB2312"/>
          <w:sz w:val="32"/>
          <w:szCs w:val="32"/>
          <w:u w:val="single"/>
          <w:lang w:val="en-US" w:eastAsia="zh-CN"/>
        </w:rPr>
        <w:t>10</w:t>
      </w:r>
      <w:r>
        <w:rPr>
          <w:rFonts w:hint="eastAsia" w:hAnsi="仿宋_GB2312" w:eastAsia="仿宋_GB2312"/>
          <w:sz w:val="32"/>
          <w:szCs w:val="32"/>
          <w:u w:val="single"/>
        </w:rPr>
        <w:t>万</w:t>
      </w:r>
      <w:r>
        <w:rPr>
          <w:rFonts w:hint="eastAsia" w:hAnsi="仿宋_GB2312" w:eastAsia="仿宋_GB2312"/>
          <w:sz w:val="32"/>
          <w:szCs w:val="32"/>
        </w:rPr>
        <w:t>元的整倍数。</w:t>
      </w:r>
    </w:p>
    <w:p>
      <w:pPr>
        <w:spacing w:line="578" w:lineRule="exact"/>
        <w:ind w:firstLine="640" w:firstLineChars="200"/>
        <w:rPr>
          <w:rFonts w:ascii="黑体" w:hAnsi="黑体" w:eastAsia="黑体"/>
          <w:sz w:val="32"/>
          <w:szCs w:val="32"/>
        </w:rPr>
      </w:pPr>
      <w:r>
        <w:rPr>
          <w:rFonts w:hint="eastAsia" w:ascii="黑体" w:hAnsi="黑体" w:eastAsia="黑体"/>
          <w:sz w:val="32"/>
          <w:szCs w:val="32"/>
          <w:lang w:val="en-US" w:eastAsia="zh-CN"/>
        </w:rPr>
        <w:t>八</w:t>
      </w:r>
      <w:r>
        <w:rPr>
          <w:rFonts w:hint="eastAsia" w:ascii="黑体" w:hAnsi="黑体" w:eastAsia="黑体"/>
          <w:sz w:val="32"/>
          <w:szCs w:val="32"/>
        </w:rPr>
        <w:t>、本次拍卖程序</w:t>
      </w:r>
    </w:p>
    <w:p>
      <w:pPr>
        <w:spacing w:line="578" w:lineRule="exact"/>
        <w:ind w:firstLine="640" w:firstLineChars="200"/>
        <w:rPr>
          <w:rFonts w:ascii="仿宋_GB2312" w:hAnsi="楷体" w:eastAsia="仿宋_GB2312"/>
          <w:sz w:val="32"/>
          <w:szCs w:val="32"/>
        </w:rPr>
      </w:pPr>
      <w:r>
        <w:rPr>
          <w:rFonts w:hint="eastAsia" w:ascii="仿宋_GB2312" w:hAnsi="楷体" w:eastAsia="仿宋_GB2312"/>
          <w:sz w:val="32"/>
          <w:szCs w:val="32"/>
        </w:rPr>
        <w:t>（一）拍卖会程序</w:t>
      </w:r>
    </w:p>
    <w:p>
      <w:pPr>
        <w:spacing w:line="578" w:lineRule="exact"/>
        <w:rPr>
          <w:rFonts w:eastAsia="仿宋_GB2312"/>
          <w:sz w:val="32"/>
          <w:szCs w:val="32"/>
        </w:rPr>
      </w:pPr>
      <w:r>
        <w:rPr>
          <w:rFonts w:eastAsia="仿宋_GB2312"/>
          <w:sz w:val="32"/>
          <w:szCs w:val="32"/>
        </w:rPr>
        <w:t xml:space="preserve">    1. </w:t>
      </w:r>
      <w:r>
        <w:rPr>
          <w:rFonts w:hint="eastAsia" w:eastAsia="仿宋_GB2312"/>
          <w:sz w:val="32"/>
          <w:szCs w:val="32"/>
        </w:rPr>
        <w:t>拍卖主持人宣布拍卖会开始；</w:t>
      </w:r>
    </w:p>
    <w:p>
      <w:pPr>
        <w:pStyle w:val="34"/>
        <w:widowControl w:val="0"/>
        <w:spacing w:line="578" w:lineRule="exact"/>
        <w:ind w:left="0"/>
        <w:rPr>
          <w:rFonts w:eastAsia="仿宋_GB2312"/>
          <w:kern w:val="2"/>
          <w:sz w:val="32"/>
          <w:szCs w:val="32"/>
        </w:rPr>
      </w:pPr>
      <w:r>
        <w:rPr>
          <w:rFonts w:eastAsia="仿宋_GB2312"/>
          <w:sz w:val="32"/>
          <w:szCs w:val="32"/>
        </w:rPr>
        <w:t xml:space="preserve">    2. </w:t>
      </w:r>
      <w:r>
        <w:rPr>
          <w:rFonts w:hint="eastAsia" w:eastAsia="仿宋_GB2312"/>
          <w:kern w:val="2"/>
          <w:sz w:val="32"/>
          <w:szCs w:val="32"/>
        </w:rPr>
        <w:t>拍卖主持人邀请公证员及记录员就位，</w:t>
      </w:r>
      <w:r>
        <w:rPr>
          <w:rFonts w:hint="eastAsia" w:eastAsia="仿宋_GB2312"/>
          <w:color w:val="000000"/>
          <w:kern w:val="2"/>
          <w:sz w:val="32"/>
          <w:szCs w:val="32"/>
        </w:rPr>
        <w:t>并介绍相关人员</w:t>
      </w:r>
      <w:r>
        <w:rPr>
          <w:rFonts w:hint="eastAsia" w:eastAsia="仿宋_GB2312"/>
          <w:kern w:val="2"/>
          <w:sz w:val="32"/>
          <w:szCs w:val="32"/>
        </w:rPr>
        <w:t>；</w:t>
      </w:r>
    </w:p>
    <w:p>
      <w:pPr>
        <w:spacing w:line="578" w:lineRule="exact"/>
        <w:rPr>
          <w:rFonts w:eastAsia="仿宋_GB2312"/>
          <w:sz w:val="32"/>
          <w:szCs w:val="32"/>
        </w:rPr>
      </w:pPr>
      <w:r>
        <w:rPr>
          <w:rFonts w:eastAsia="仿宋_GB2312"/>
          <w:sz w:val="32"/>
          <w:szCs w:val="32"/>
        </w:rPr>
        <w:t xml:space="preserve">    3. </w:t>
      </w:r>
      <w:r>
        <w:rPr>
          <w:rFonts w:hint="eastAsia" w:eastAsia="仿宋_GB2312"/>
          <w:sz w:val="32"/>
          <w:szCs w:val="32"/>
        </w:rPr>
        <w:t>拍卖主持人清点竞买人到场情况；</w:t>
      </w:r>
    </w:p>
    <w:p>
      <w:pPr>
        <w:spacing w:line="578" w:lineRule="exact"/>
        <w:rPr>
          <w:rFonts w:eastAsia="仿宋_GB2312"/>
          <w:sz w:val="32"/>
          <w:szCs w:val="32"/>
        </w:rPr>
      </w:pPr>
      <w:r>
        <w:rPr>
          <w:rFonts w:eastAsia="仿宋_GB2312"/>
          <w:sz w:val="32"/>
          <w:szCs w:val="32"/>
        </w:rPr>
        <w:t xml:space="preserve">    4. </w:t>
      </w:r>
      <w:r>
        <w:rPr>
          <w:rFonts w:hint="eastAsia" w:eastAsia="仿宋_GB2312"/>
          <w:sz w:val="32"/>
          <w:szCs w:val="32"/>
        </w:rPr>
        <w:t>公证员核实竞买人身份</w:t>
      </w:r>
      <w:r>
        <w:rPr>
          <w:rFonts w:hint="eastAsia" w:eastAsia="仿宋_GB2312"/>
          <w:color w:val="000000"/>
          <w:sz w:val="32"/>
          <w:szCs w:val="32"/>
        </w:rPr>
        <w:t>和举牌人身份</w:t>
      </w:r>
      <w:r>
        <w:rPr>
          <w:rFonts w:hint="eastAsia" w:eastAsia="仿宋_GB2312"/>
          <w:sz w:val="32"/>
          <w:szCs w:val="32"/>
        </w:rPr>
        <w:t>；</w:t>
      </w:r>
    </w:p>
    <w:p>
      <w:pPr>
        <w:spacing w:line="578" w:lineRule="exact"/>
        <w:rPr>
          <w:rFonts w:eastAsia="仿宋_GB2312"/>
          <w:b/>
          <w:sz w:val="32"/>
          <w:szCs w:val="32"/>
        </w:rPr>
      </w:pPr>
      <w:r>
        <w:rPr>
          <w:rFonts w:eastAsia="仿宋_GB2312"/>
          <w:b/>
          <w:color w:val="FF0000"/>
          <w:sz w:val="32"/>
          <w:szCs w:val="32"/>
        </w:rPr>
        <w:t xml:space="preserve">    </w:t>
      </w:r>
      <w:r>
        <w:rPr>
          <w:rFonts w:eastAsia="仿宋_GB2312"/>
          <w:b/>
          <w:sz w:val="32"/>
          <w:szCs w:val="32"/>
        </w:rPr>
        <w:t>5.</w:t>
      </w:r>
      <w:r>
        <w:rPr>
          <w:rFonts w:hint="eastAsia" w:eastAsia="仿宋_GB2312"/>
          <w:b/>
          <w:sz w:val="32"/>
          <w:szCs w:val="32"/>
        </w:rPr>
        <w:t>拍卖出让矿业权的，每宗标的的竞买人不得少于</w:t>
      </w:r>
      <w:r>
        <w:rPr>
          <w:rFonts w:eastAsia="仿宋_GB2312"/>
          <w:b/>
          <w:sz w:val="32"/>
          <w:szCs w:val="32"/>
        </w:rPr>
        <w:t>3</w:t>
      </w:r>
      <w:r>
        <w:rPr>
          <w:rFonts w:hint="eastAsia" w:eastAsia="仿宋_GB2312"/>
          <w:b/>
          <w:sz w:val="32"/>
          <w:szCs w:val="32"/>
        </w:rPr>
        <w:t>人。少于</w:t>
      </w:r>
      <w:r>
        <w:rPr>
          <w:rFonts w:eastAsia="仿宋_GB2312"/>
          <w:b/>
          <w:sz w:val="32"/>
          <w:szCs w:val="32"/>
        </w:rPr>
        <w:t>3</w:t>
      </w:r>
      <w:r>
        <w:rPr>
          <w:rFonts w:hint="eastAsia" w:eastAsia="仿宋_GB2312"/>
          <w:b/>
          <w:sz w:val="32"/>
          <w:szCs w:val="32"/>
        </w:rPr>
        <w:t>人的，按照规定转入挂牌出让方式。</w:t>
      </w:r>
    </w:p>
    <w:p>
      <w:pPr>
        <w:spacing w:line="578" w:lineRule="exact"/>
        <w:rPr>
          <w:rFonts w:eastAsia="仿宋_GB2312"/>
          <w:sz w:val="32"/>
          <w:szCs w:val="32"/>
        </w:rPr>
      </w:pPr>
      <w:r>
        <w:rPr>
          <w:rFonts w:eastAsia="仿宋_GB2312"/>
          <w:sz w:val="32"/>
          <w:szCs w:val="32"/>
        </w:rPr>
        <w:t xml:space="preserve">    6.</w:t>
      </w:r>
      <w:r>
        <w:rPr>
          <w:rFonts w:hint="eastAsia" w:eastAsia="仿宋_GB2312"/>
          <w:sz w:val="32"/>
          <w:szCs w:val="32"/>
        </w:rPr>
        <w:t>拍卖主持人介绍拍卖</w:t>
      </w:r>
      <w:r>
        <w:rPr>
          <w:rFonts w:hint="eastAsia" w:eastAsia="仿宋_GB2312"/>
          <w:sz w:val="32"/>
          <w:szCs w:val="32"/>
          <w:u w:val="single"/>
        </w:rPr>
        <w:t>采矿权</w:t>
      </w:r>
      <w:r>
        <w:rPr>
          <w:rFonts w:hint="eastAsia" w:eastAsia="仿宋_GB2312"/>
          <w:sz w:val="32"/>
          <w:szCs w:val="32"/>
        </w:rPr>
        <w:t>的位置、面积、矿种、出让年限等基本情况。</w:t>
      </w:r>
    </w:p>
    <w:p>
      <w:pPr>
        <w:spacing w:line="578" w:lineRule="exact"/>
        <w:ind w:firstLine="640" w:firstLineChars="200"/>
        <w:rPr>
          <w:rFonts w:eastAsia="仿宋_GB2312"/>
          <w:color w:val="000000"/>
          <w:sz w:val="32"/>
          <w:szCs w:val="32"/>
        </w:rPr>
      </w:pPr>
      <w:r>
        <w:rPr>
          <w:rFonts w:eastAsia="仿宋_GB2312"/>
          <w:sz w:val="32"/>
          <w:szCs w:val="32"/>
        </w:rPr>
        <w:t>7.</w:t>
      </w:r>
      <w:r>
        <w:rPr>
          <w:rFonts w:hint="eastAsia" w:eastAsia="仿宋_GB2312"/>
          <w:sz w:val="32"/>
          <w:szCs w:val="32"/>
        </w:rPr>
        <w:t>拍卖主持人宣布拍卖会相关规定：</w:t>
      </w:r>
      <w:r>
        <w:rPr>
          <w:rFonts w:eastAsia="仿宋_GB2312"/>
          <w:sz w:val="32"/>
          <w:szCs w:val="32"/>
        </w:rPr>
        <w:t>1.</w:t>
      </w:r>
      <w:r>
        <w:rPr>
          <w:rFonts w:hint="eastAsia" w:eastAsia="仿宋_GB2312"/>
          <w:sz w:val="32"/>
          <w:szCs w:val="32"/>
        </w:rPr>
        <w:t>拍卖</w:t>
      </w:r>
      <w:r>
        <w:rPr>
          <w:rFonts w:hint="eastAsia" w:eastAsia="仿宋_GB2312"/>
          <w:sz w:val="32"/>
          <w:szCs w:val="32"/>
          <w:u w:val="single"/>
        </w:rPr>
        <w:t>采矿权</w:t>
      </w:r>
      <w:r>
        <w:rPr>
          <w:rFonts w:hint="eastAsia" w:eastAsia="仿宋_GB2312"/>
          <w:sz w:val="32"/>
          <w:szCs w:val="32"/>
        </w:rPr>
        <w:t>的起拍价、增价规则和增价幅度，并明确提示是否设有底价；</w:t>
      </w:r>
      <w:r>
        <w:rPr>
          <w:rFonts w:eastAsia="仿宋_GB2312"/>
          <w:sz w:val="32"/>
          <w:szCs w:val="32"/>
        </w:rPr>
        <w:t>2.</w:t>
      </w:r>
      <w:r>
        <w:rPr>
          <w:rFonts w:hint="eastAsia" w:eastAsia="仿宋_GB2312"/>
          <w:sz w:val="32"/>
          <w:szCs w:val="32"/>
        </w:rPr>
        <w:t>在拍卖过程中，拍卖主持人可根据现场情况调整增价幅度；</w:t>
      </w:r>
      <w:r>
        <w:rPr>
          <w:rFonts w:eastAsia="仿宋_GB2312"/>
          <w:sz w:val="32"/>
          <w:szCs w:val="32"/>
        </w:rPr>
        <w:t>3.</w:t>
      </w:r>
      <w:r>
        <w:rPr>
          <w:rFonts w:hint="eastAsia" w:eastAsia="仿宋_GB2312"/>
          <w:sz w:val="32"/>
          <w:szCs w:val="32"/>
        </w:rPr>
        <w:t>竞买人必须参与一次或一次以上的报价，否则视为违规违约；</w:t>
      </w:r>
      <w:r>
        <w:rPr>
          <w:rFonts w:eastAsia="仿宋_GB2312"/>
          <w:sz w:val="32"/>
          <w:szCs w:val="32"/>
        </w:rPr>
        <w:t>4.</w:t>
      </w:r>
      <w:r>
        <w:rPr>
          <w:rFonts w:hint="eastAsia" w:eastAsia="仿宋_GB2312"/>
          <w:sz w:val="32"/>
          <w:szCs w:val="32"/>
        </w:rPr>
        <w:t>竞价时由受托人举牌报价，</w:t>
      </w:r>
      <w:r>
        <w:rPr>
          <w:rFonts w:hint="eastAsia" w:eastAsia="仿宋_GB2312"/>
          <w:color w:val="000000"/>
          <w:sz w:val="32"/>
          <w:szCs w:val="32"/>
        </w:rPr>
        <w:t>拍卖过程中不得变更举牌人；</w:t>
      </w:r>
    </w:p>
    <w:p>
      <w:pPr>
        <w:spacing w:line="578" w:lineRule="exact"/>
        <w:ind w:firstLine="640" w:firstLineChars="200"/>
        <w:rPr>
          <w:rFonts w:eastAsia="仿宋_GB2312"/>
          <w:sz w:val="32"/>
          <w:szCs w:val="32"/>
        </w:rPr>
      </w:pPr>
      <w:r>
        <w:rPr>
          <w:rFonts w:eastAsia="仿宋_GB2312"/>
          <w:sz w:val="32"/>
          <w:szCs w:val="32"/>
        </w:rPr>
        <w:t>8.</w:t>
      </w:r>
      <w:r>
        <w:rPr>
          <w:rFonts w:hint="eastAsia" w:eastAsia="仿宋_GB2312"/>
          <w:sz w:val="32"/>
          <w:szCs w:val="32"/>
        </w:rPr>
        <w:t>拍卖主持人逐一询问竞买人是否听清、是否明白；</w:t>
      </w:r>
    </w:p>
    <w:p>
      <w:pPr>
        <w:spacing w:line="578" w:lineRule="exact"/>
        <w:ind w:firstLine="640" w:firstLineChars="200"/>
        <w:rPr>
          <w:rFonts w:eastAsia="仿宋_GB2312"/>
          <w:sz w:val="32"/>
          <w:szCs w:val="32"/>
        </w:rPr>
      </w:pPr>
      <w:r>
        <w:rPr>
          <w:rFonts w:eastAsia="仿宋_GB2312"/>
          <w:sz w:val="32"/>
          <w:szCs w:val="32"/>
        </w:rPr>
        <w:t>9.</w:t>
      </w:r>
      <w:r>
        <w:rPr>
          <w:rFonts w:hint="eastAsia" w:eastAsia="仿宋_GB2312"/>
          <w:sz w:val="32"/>
          <w:szCs w:val="32"/>
        </w:rPr>
        <w:t>拍卖主持人报出起叫价，宣布竞价开始；</w:t>
      </w:r>
    </w:p>
    <w:p>
      <w:pPr>
        <w:spacing w:line="578" w:lineRule="exact"/>
        <w:rPr>
          <w:rFonts w:eastAsia="仿宋_GB2312"/>
          <w:sz w:val="32"/>
          <w:szCs w:val="32"/>
        </w:rPr>
      </w:pPr>
      <w:r>
        <w:rPr>
          <w:rFonts w:eastAsia="仿宋_GB2312"/>
          <w:sz w:val="32"/>
          <w:szCs w:val="32"/>
        </w:rPr>
        <w:t xml:space="preserve">    10.</w:t>
      </w:r>
      <w:r>
        <w:rPr>
          <w:rFonts w:hint="eastAsia" w:eastAsia="仿宋_GB2312"/>
          <w:sz w:val="32"/>
          <w:szCs w:val="32"/>
        </w:rPr>
        <w:t>竞买人举牌应价或者报价，首轮竞价完毕后应宣布首轮竞价结束现转为自由竞价；</w:t>
      </w:r>
    </w:p>
    <w:p>
      <w:pPr>
        <w:spacing w:line="578" w:lineRule="exact"/>
        <w:rPr>
          <w:rFonts w:eastAsia="仿宋_GB2312"/>
          <w:sz w:val="32"/>
          <w:szCs w:val="32"/>
        </w:rPr>
      </w:pPr>
      <w:r>
        <w:rPr>
          <w:rFonts w:eastAsia="仿宋_GB2312"/>
          <w:sz w:val="32"/>
          <w:szCs w:val="32"/>
        </w:rPr>
        <w:t xml:space="preserve">    11.</w:t>
      </w:r>
      <w:r>
        <w:rPr>
          <w:rFonts w:hint="eastAsia" w:eastAsia="仿宋_GB2312"/>
          <w:sz w:val="32"/>
          <w:szCs w:val="32"/>
        </w:rPr>
        <w:t>拍卖主持人确认该竞买人应价或者报价后继续竞价；</w:t>
      </w:r>
    </w:p>
    <w:p>
      <w:pPr>
        <w:spacing w:line="578" w:lineRule="exact"/>
        <w:rPr>
          <w:rFonts w:eastAsia="仿宋_GB2312"/>
          <w:sz w:val="32"/>
          <w:szCs w:val="32"/>
        </w:rPr>
      </w:pPr>
      <w:r>
        <w:rPr>
          <w:rFonts w:eastAsia="仿宋_GB2312"/>
          <w:sz w:val="32"/>
          <w:szCs w:val="32"/>
        </w:rPr>
        <w:t xml:space="preserve">    12.</w:t>
      </w:r>
      <w:r>
        <w:rPr>
          <w:rFonts w:hint="eastAsia" w:eastAsia="仿宋_GB2312"/>
          <w:sz w:val="32"/>
          <w:szCs w:val="32"/>
        </w:rPr>
        <w:t>拍卖主持人连续三次宣布同一应价或报价而没有人再应价或报价，拍卖主持人宣布竞价结束；</w:t>
      </w:r>
    </w:p>
    <w:p>
      <w:pPr>
        <w:spacing w:line="578" w:lineRule="exact"/>
        <w:rPr>
          <w:rFonts w:eastAsia="仿宋_GB2312"/>
          <w:sz w:val="32"/>
          <w:szCs w:val="32"/>
        </w:rPr>
      </w:pPr>
      <w:r>
        <w:rPr>
          <w:rFonts w:eastAsia="仿宋_GB2312"/>
          <w:sz w:val="32"/>
          <w:szCs w:val="32"/>
        </w:rPr>
        <w:t xml:space="preserve">    13. </w:t>
      </w:r>
      <w:r>
        <w:rPr>
          <w:rFonts w:hint="eastAsia" w:eastAsia="仿宋_GB2312"/>
          <w:sz w:val="32"/>
          <w:szCs w:val="32"/>
        </w:rPr>
        <w:t>如设有政府底价的，拍卖主持人当众打开政府底价，最后报价的价格不低于政府底价的，拍卖主持人落槌表示拍卖成交，并宣布最高报价者为竞得人，成交结果对竞得人和出让人均具有法律效力。最高应价或报价低于政府底价的，拍卖主持人宣布本次拍卖会终止；</w:t>
      </w:r>
    </w:p>
    <w:p>
      <w:pPr>
        <w:spacing w:line="578" w:lineRule="exact"/>
        <w:rPr>
          <w:rFonts w:eastAsia="仿宋_GB2312"/>
          <w:sz w:val="32"/>
          <w:szCs w:val="32"/>
        </w:rPr>
      </w:pPr>
      <w:r>
        <w:rPr>
          <w:rFonts w:eastAsia="仿宋_GB2312"/>
          <w:sz w:val="32"/>
          <w:szCs w:val="32"/>
        </w:rPr>
        <w:t xml:space="preserve">    14.</w:t>
      </w:r>
      <w:r>
        <w:rPr>
          <w:rFonts w:hint="eastAsia" w:eastAsia="仿宋_GB2312"/>
          <w:sz w:val="32"/>
          <w:szCs w:val="32"/>
        </w:rPr>
        <w:t>公证员现场致公证词；</w:t>
      </w:r>
    </w:p>
    <w:p>
      <w:pPr>
        <w:spacing w:line="578" w:lineRule="exact"/>
        <w:rPr>
          <w:rFonts w:eastAsia="仿宋_GB2312"/>
          <w:sz w:val="32"/>
          <w:szCs w:val="32"/>
        </w:rPr>
      </w:pPr>
      <w:r>
        <w:rPr>
          <w:rFonts w:eastAsia="仿宋_GB2312"/>
          <w:sz w:val="32"/>
          <w:szCs w:val="32"/>
        </w:rPr>
        <w:t xml:space="preserve">    15.</w:t>
      </w:r>
      <w:r>
        <w:rPr>
          <w:rFonts w:hint="eastAsia" w:eastAsia="仿宋_GB2312"/>
          <w:sz w:val="32"/>
          <w:szCs w:val="32"/>
        </w:rPr>
        <w:t>拍卖主持人主持拍卖人与出竞得人在当场签订《成交确认书》。</w:t>
      </w:r>
    </w:p>
    <w:p>
      <w:pPr>
        <w:spacing w:line="578" w:lineRule="exact"/>
        <w:ind w:firstLine="640" w:firstLineChars="200"/>
        <w:rPr>
          <w:rFonts w:eastAsia="仿宋_GB2312"/>
          <w:sz w:val="32"/>
          <w:szCs w:val="32"/>
        </w:rPr>
      </w:pPr>
      <w:r>
        <w:rPr>
          <w:rFonts w:hint="eastAsia" w:eastAsia="仿宋_GB2312"/>
          <w:sz w:val="32"/>
          <w:szCs w:val="32"/>
        </w:rPr>
        <w:t>（二）竞得人不按规定当场签订《成交确认书》的，须承担缔约过失的法律责任。竞得人拒绝签订《成交确认书》不能对抗拍卖成交结果的法律效力。</w:t>
      </w:r>
    </w:p>
    <w:p>
      <w:pPr>
        <w:spacing w:line="578" w:lineRule="exact"/>
        <w:ind w:firstLine="640" w:firstLineChars="200"/>
        <w:rPr>
          <w:rFonts w:eastAsia="仿宋_GB2312"/>
          <w:sz w:val="32"/>
          <w:szCs w:val="32"/>
        </w:rPr>
      </w:pPr>
      <w:r>
        <w:rPr>
          <w:rFonts w:hint="eastAsia" w:eastAsia="仿宋_GB2312"/>
          <w:sz w:val="32"/>
          <w:szCs w:val="32"/>
        </w:rPr>
        <w:t>（三）出让人与竞得人依据《成交确认书》的约定签订《</w:t>
      </w:r>
      <w:r>
        <w:rPr>
          <w:rFonts w:hint="eastAsia" w:eastAsia="仿宋_GB2312"/>
          <w:sz w:val="32"/>
          <w:szCs w:val="32"/>
          <w:u w:val="single"/>
        </w:rPr>
        <w:t>采矿</w:t>
      </w:r>
      <w:r>
        <w:rPr>
          <w:rFonts w:hint="eastAsia" w:eastAsia="仿宋_GB2312"/>
          <w:sz w:val="32"/>
          <w:szCs w:val="32"/>
        </w:rPr>
        <w:t>权出让合同》。</w:t>
      </w:r>
    </w:p>
    <w:p>
      <w:pPr>
        <w:spacing w:line="578" w:lineRule="exact"/>
        <w:ind w:firstLine="640" w:firstLineChars="200"/>
        <w:rPr>
          <w:rFonts w:eastAsia="仿宋_GB2312"/>
          <w:sz w:val="32"/>
          <w:szCs w:val="32"/>
        </w:rPr>
      </w:pPr>
      <w:r>
        <w:rPr>
          <w:rFonts w:hint="eastAsia" w:eastAsia="仿宋_GB2312"/>
          <w:sz w:val="32"/>
          <w:szCs w:val="32"/>
        </w:rPr>
        <w:t>（四）出让结果公布：达州市公共资源交易服务中心将在此次拍卖会结束后</w:t>
      </w:r>
      <w:r>
        <w:rPr>
          <w:rFonts w:eastAsia="仿宋_GB2312"/>
          <w:sz w:val="32"/>
          <w:szCs w:val="32"/>
        </w:rPr>
        <w:t>10</w:t>
      </w:r>
      <w:r>
        <w:rPr>
          <w:rFonts w:hint="eastAsia" w:eastAsia="仿宋_GB2312"/>
          <w:sz w:val="32"/>
          <w:szCs w:val="32"/>
        </w:rPr>
        <w:t>个工作日内，达州市自然资源和规划局门户网站（</w:t>
      </w:r>
      <w:r>
        <w:rPr>
          <w:rFonts w:eastAsia="仿宋_GB2312"/>
          <w:sz w:val="32"/>
          <w:szCs w:val="32"/>
        </w:rPr>
        <w:t>http://www.dzsgt.gov.cn</w:t>
      </w:r>
      <w:r>
        <w:rPr>
          <w:rFonts w:hint="eastAsia" w:eastAsia="仿宋_GB2312"/>
          <w:sz w:val="32"/>
          <w:szCs w:val="32"/>
        </w:rPr>
        <w:t>）、达州市公共资源交易服务网（</w:t>
      </w:r>
      <w:r>
        <w:rPr>
          <w:rFonts w:eastAsia="仿宋_GB2312"/>
          <w:sz w:val="32"/>
          <w:szCs w:val="32"/>
        </w:rPr>
        <w:t>http://www.dzggzy.cn</w:t>
      </w:r>
      <w:r>
        <w:rPr>
          <w:rFonts w:hint="eastAsia" w:eastAsia="仿宋_GB2312"/>
          <w:sz w:val="32"/>
          <w:szCs w:val="32"/>
        </w:rPr>
        <w:t>）公布此次拍卖出让结果。</w:t>
      </w:r>
    </w:p>
    <w:p>
      <w:pPr>
        <w:spacing w:line="578" w:lineRule="exact"/>
        <w:ind w:firstLine="640" w:firstLineChars="200"/>
        <w:rPr>
          <w:rFonts w:ascii="黑体" w:hAnsi="楷体" w:eastAsia="黑体"/>
          <w:sz w:val="32"/>
          <w:szCs w:val="32"/>
        </w:rPr>
      </w:pPr>
      <w:r>
        <w:rPr>
          <w:rFonts w:hint="eastAsia" w:ascii="黑体" w:hAnsi="楷体" w:eastAsia="黑体"/>
          <w:sz w:val="32"/>
          <w:szCs w:val="32"/>
          <w:lang w:val="en-US" w:eastAsia="zh-CN"/>
        </w:rPr>
        <w:t>九</w:t>
      </w:r>
      <w:r>
        <w:rPr>
          <w:rFonts w:hint="eastAsia" w:ascii="黑体" w:hAnsi="楷体" w:eastAsia="黑体"/>
          <w:sz w:val="32"/>
          <w:szCs w:val="32"/>
        </w:rPr>
        <w:t>、竞价规则</w:t>
      </w:r>
    </w:p>
    <w:p>
      <w:pPr>
        <w:spacing w:line="578" w:lineRule="exact"/>
        <w:ind w:firstLine="640" w:firstLineChars="200"/>
        <w:rPr>
          <w:rFonts w:eastAsia="仿宋_GB2312"/>
          <w:sz w:val="32"/>
          <w:szCs w:val="32"/>
        </w:rPr>
      </w:pPr>
      <w:r>
        <w:rPr>
          <w:rFonts w:hint="eastAsia" w:eastAsia="仿宋_GB2312"/>
          <w:sz w:val="32"/>
          <w:szCs w:val="32"/>
        </w:rPr>
        <w:t>（一）本次拍卖采用增价拍卖方式，按价高者得的原则确定竞得人（高于或等于政府底价的基础上）。采矿权竞得成交价如低于达州市人民政府届时公布实施的达州市砂岩矿种矿业权市场基准价，采矿权竞得人应补足矿业权出让收益。</w:t>
      </w:r>
    </w:p>
    <w:p>
      <w:pPr>
        <w:spacing w:line="578" w:lineRule="exact"/>
        <w:ind w:firstLine="640" w:firstLineChars="200"/>
        <w:rPr>
          <w:rFonts w:eastAsia="仿宋_GB2312"/>
          <w:sz w:val="32"/>
          <w:szCs w:val="32"/>
        </w:rPr>
      </w:pPr>
      <w:r>
        <w:rPr>
          <w:rFonts w:hint="eastAsia" w:eastAsia="仿宋_GB2312"/>
          <w:sz w:val="32"/>
          <w:szCs w:val="32"/>
        </w:rPr>
        <w:t>（二）凡参加拍卖的竞买人必须承认起叫价，即从起叫价</w:t>
      </w:r>
      <w:r>
        <w:rPr>
          <w:rFonts w:eastAsia="仿宋_GB2312"/>
          <w:sz w:val="32"/>
          <w:szCs w:val="32"/>
        </w:rPr>
        <w:t>(</w:t>
      </w:r>
      <w:r>
        <w:rPr>
          <w:rFonts w:hint="eastAsia" w:eastAsia="仿宋_GB2312"/>
          <w:sz w:val="32"/>
          <w:szCs w:val="32"/>
          <w:u w:val="single"/>
          <w:lang w:val="en-US" w:eastAsia="zh-CN"/>
        </w:rPr>
        <w:t>725</w:t>
      </w:r>
      <w:r>
        <w:rPr>
          <w:rFonts w:hint="eastAsia" w:eastAsia="仿宋_GB2312"/>
          <w:sz w:val="32"/>
          <w:szCs w:val="32"/>
        </w:rPr>
        <w:t>万元</w:t>
      </w:r>
      <w:r>
        <w:rPr>
          <w:rFonts w:eastAsia="仿宋_GB2312"/>
          <w:sz w:val="32"/>
          <w:szCs w:val="32"/>
        </w:rPr>
        <w:t>)</w:t>
      </w:r>
      <w:r>
        <w:rPr>
          <w:rFonts w:hint="eastAsia" w:eastAsia="仿宋_GB2312"/>
          <w:sz w:val="32"/>
          <w:szCs w:val="32"/>
        </w:rPr>
        <w:t>＋最低增价幅度</w:t>
      </w:r>
      <w:r>
        <w:rPr>
          <w:rFonts w:eastAsia="仿宋_GB2312"/>
          <w:sz w:val="32"/>
          <w:szCs w:val="32"/>
        </w:rPr>
        <w:t>(</w:t>
      </w:r>
      <w:r>
        <w:rPr>
          <w:rFonts w:hint="eastAsia" w:eastAsia="仿宋_GB2312"/>
          <w:sz w:val="32"/>
          <w:szCs w:val="32"/>
          <w:u w:val="single"/>
          <w:lang w:val="en-US" w:eastAsia="zh-CN"/>
        </w:rPr>
        <w:t>10</w:t>
      </w:r>
      <w:r>
        <w:rPr>
          <w:rFonts w:hint="eastAsia" w:eastAsia="仿宋_GB2312"/>
          <w:sz w:val="32"/>
          <w:szCs w:val="32"/>
        </w:rPr>
        <w:t>万元</w:t>
      </w:r>
      <w:r>
        <w:rPr>
          <w:rFonts w:eastAsia="仿宋_GB2312"/>
          <w:sz w:val="32"/>
          <w:szCs w:val="32"/>
        </w:rPr>
        <w:t>)=</w:t>
      </w:r>
      <w:r>
        <w:rPr>
          <w:rFonts w:hint="eastAsia" w:eastAsia="仿宋_GB2312"/>
          <w:sz w:val="32"/>
          <w:szCs w:val="32"/>
          <w:u w:val="single"/>
          <w:lang w:val="en-US" w:eastAsia="zh-CN"/>
        </w:rPr>
        <w:t>735</w:t>
      </w:r>
      <w:r>
        <w:rPr>
          <w:rFonts w:hint="eastAsia" w:eastAsia="仿宋_GB2312"/>
          <w:sz w:val="32"/>
          <w:szCs w:val="32"/>
        </w:rPr>
        <w:t>万元的价格确认第一个应价者，并且每位竞买人必须按拍卖主持人的要求在前一应价者基础上按最低增价幅度首轮应价一次，首轮竞价顺序由抽签确定；由低到高竞价牌号依次应价，若参加本次竞买的竞买人过多，造成首轮最后一位竞买人应价过高，该风险由竞买人自行承担。首轮竞价完毕后转为自由竞价。</w:t>
      </w:r>
    </w:p>
    <w:p>
      <w:pPr>
        <w:spacing w:line="578" w:lineRule="exact"/>
        <w:ind w:firstLine="640" w:firstLineChars="200"/>
        <w:rPr>
          <w:rFonts w:eastAsia="仿宋_GB2312"/>
          <w:sz w:val="32"/>
          <w:szCs w:val="32"/>
        </w:rPr>
      </w:pPr>
      <w:r>
        <w:rPr>
          <w:rFonts w:hint="eastAsia" w:eastAsia="仿宋_GB2312"/>
          <w:sz w:val="32"/>
          <w:szCs w:val="32"/>
        </w:rPr>
        <w:t>（三）竞买人以举牌方式应价，也可以报价，但报价的加价幅度不得小于拍卖主持人宣布或调整的增价幅度。竞买人一经应价或报价，不可撤回。</w:t>
      </w:r>
    </w:p>
    <w:p>
      <w:pPr>
        <w:spacing w:line="578" w:lineRule="exact"/>
        <w:ind w:firstLine="640" w:firstLineChars="200"/>
        <w:rPr>
          <w:rFonts w:eastAsia="仿宋_GB2312"/>
          <w:sz w:val="32"/>
          <w:szCs w:val="32"/>
        </w:rPr>
      </w:pPr>
      <w:r>
        <w:rPr>
          <w:rFonts w:hint="eastAsia" w:eastAsia="仿宋_GB2312"/>
          <w:sz w:val="32"/>
          <w:szCs w:val="32"/>
        </w:rPr>
        <w:t>（四）若设有政府底价，最后应价未达到底价时，拍卖主持人终止本次拍卖活动，拍卖不成交。</w:t>
      </w:r>
    </w:p>
    <w:p>
      <w:pPr>
        <w:spacing w:line="578" w:lineRule="exact"/>
        <w:ind w:firstLine="640" w:firstLineChars="200"/>
        <w:rPr>
          <w:rFonts w:ascii="黑体" w:hAnsi="楷体" w:eastAsia="黑体"/>
          <w:sz w:val="32"/>
          <w:szCs w:val="32"/>
        </w:rPr>
      </w:pPr>
      <w:r>
        <w:rPr>
          <w:rFonts w:hint="eastAsia" w:ascii="黑体" w:hAnsi="楷体" w:eastAsia="黑体"/>
          <w:sz w:val="32"/>
          <w:szCs w:val="32"/>
        </w:rPr>
        <w:t>十二、注意事项</w:t>
      </w:r>
    </w:p>
    <w:p>
      <w:pPr>
        <w:spacing w:line="578" w:lineRule="exact"/>
        <w:ind w:firstLine="480" w:firstLineChars="150"/>
        <w:rPr>
          <w:rFonts w:ascii="仿宋_GB2312" w:hAnsi="宋体" w:eastAsia="仿宋_GB2312"/>
          <w:color w:val="000000"/>
          <w:sz w:val="32"/>
          <w:szCs w:val="32"/>
        </w:rPr>
      </w:pPr>
      <w:r>
        <w:rPr>
          <w:rFonts w:hint="eastAsia" w:ascii="仿宋_GB2312" w:hAnsi="宋体" w:eastAsia="仿宋_GB2312"/>
          <w:color w:val="000000"/>
          <w:sz w:val="32"/>
          <w:szCs w:val="32"/>
        </w:rPr>
        <w:t>（一）特别提醒：资格审查当日，资格审查结束后即进行拍卖活动，通过资格审查的竞买申请人须做好相关准备。</w:t>
      </w:r>
    </w:p>
    <w:p>
      <w:pPr>
        <w:spacing w:line="578" w:lineRule="exact"/>
        <w:ind w:firstLine="480" w:firstLineChars="150"/>
        <w:rPr>
          <w:rFonts w:ascii="仿宋_GB2312" w:hAnsi="宋体" w:eastAsia="仿宋_GB2312"/>
          <w:color w:val="000000"/>
          <w:sz w:val="32"/>
          <w:szCs w:val="32"/>
        </w:rPr>
      </w:pPr>
      <w:r>
        <w:rPr>
          <w:rFonts w:hint="eastAsia" w:ascii="仿宋_GB2312" w:hAnsi="宋体" w:eastAsia="仿宋_GB2312" w:cs="仿宋_GB2312"/>
          <w:sz w:val="32"/>
          <w:szCs w:val="32"/>
        </w:rPr>
        <w:t>（二）</w:t>
      </w:r>
      <w:r>
        <w:rPr>
          <w:rFonts w:hint="eastAsia" w:ascii="仿宋_GB2312" w:hAnsi="宋体" w:eastAsia="仿宋_GB2312"/>
          <w:color w:val="000000"/>
          <w:sz w:val="32"/>
          <w:szCs w:val="32"/>
        </w:rPr>
        <w:t>竞买申请一经提交受理确认后，即视为竞买人对出让文件内容及矿业权现状无异议并全面接受，愿意在遵照出让文件内容及认可矿业权现状的基础上参与竞买并承担因竞买行为产生的任何法律经济后果。</w:t>
      </w:r>
    </w:p>
    <w:p>
      <w:pPr>
        <w:spacing w:line="578" w:lineRule="exact"/>
        <w:ind w:firstLine="480" w:firstLineChars="150"/>
        <w:rPr>
          <w:rFonts w:ascii="仿宋_GB2312" w:hAnsi="宋体" w:eastAsia="仿宋_GB2312"/>
          <w:sz w:val="32"/>
          <w:szCs w:val="32"/>
        </w:rPr>
      </w:pPr>
      <w:r>
        <w:rPr>
          <w:rFonts w:hint="eastAsia" w:ascii="仿宋_GB2312" w:hAnsi="宋体" w:eastAsia="仿宋_GB2312" w:cs="仿宋_GB2312"/>
          <w:sz w:val="32"/>
          <w:szCs w:val="32"/>
        </w:rPr>
        <w:t>（三）</w:t>
      </w:r>
      <w:r>
        <w:rPr>
          <w:rFonts w:hint="eastAsia" w:ascii="仿宋_GB2312" w:hAnsi="宋体" w:eastAsia="仿宋_GB2312"/>
          <w:sz w:val="32"/>
          <w:szCs w:val="32"/>
        </w:rPr>
        <w:t>确定竞得人后，拍卖人须在拍卖现场与竞得人签订《成交确认书》。竞得人委托他人代签的，须在竞买申请时提交法定代表人亲笔签名并盖章的授权委托书。《成交确认书》对出让人和竞得人具有同等法律效力，出让人改变拍卖结果的，或者竞得人放弃竞得采矿权的，应当依法承担法律责任。</w:t>
      </w:r>
    </w:p>
    <w:p>
      <w:pPr>
        <w:spacing w:line="578" w:lineRule="exact"/>
        <w:ind w:firstLine="480" w:firstLineChars="150"/>
        <w:rPr>
          <w:rFonts w:ascii="仿宋_GB2312" w:hAnsi="宋体" w:eastAsia="仿宋_GB2312" w:cs="仿宋_GB2312"/>
          <w:sz w:val="32"/>
          <w:szCs w:val="32"/>
        </w:rPr>
      </w:pPr>
      <w:r>
        <w:rPr>
          <w:rFonts w:hint="eastAsia" w:ascii="仿宋_GB2312" w:hAnsi="宋体" w:eastAsia="仿宋_GB2312" w:cs="仿宋_GB2312"/>
          <w:sz w:val="32"/>
          <w:szCs w:val="32"/>
        </w:rPr>
        <w:t>（四）有下列情形之一的，采矿权交易行为中止：</w:t>
      </w:r>
    </w:p>
    <w:p>
      <w:pPr>
        <w:spacing w:line="578" w:lineRule="exact"/>
        <w:rPr>
          <w:rFonts w:ascii="仿宋_GB2312" w:hAnsi="宋体" w:eastAsia="仿宋_GB2312" w:cs="仿宋_GB2312"/>
          <w:sz w:val="32"/>
          <w:szCs w:val="32"/>
        </w:rPr>
      </w:pPr>
      <w:r>
        <w:rPr>
          <w:rFonts w:hint="eastAsia" w:ascii="仿宋_GB2312" w:hAnsi="宋体" w:eastAsia="仿宋_GB2312" w:cs="仿宋_GB2312"/>
          <w:sz w:val="32"/>
          <w:szCs w:val="32"/>
        </w:rPr>
        <w:t>　　</w:t>
      </w:r>
      <w:r>
        <w:rPr>
          <w:rFonts w:ascii="仿宋_GB2312" w:hAnsi="宋体" w:eastAsia="仿宋_GB2312" w:cs="仿宋_GB2312"/>
          <w:sz w:val="32"/>
          <w:szCs w:val="32"/>
        </w:rPr>
        <w:t>1.</w:t>
      </w:r>
      <w:r>
        <w:rPr>
          <w:rFonts w:hint="eastAsia" w:ascii="仿宋_GB2312" w:hAnsi="宋体" w:eastAsia="仿宋_GB2312" w:cs="仿宋_GB2312"/>
          <w:sz w:val="32"/>
          <w:szCs w:val="32"/>
        </w:rPr>
        <w:t>公示公开期间出让的采矿权权属争议尚未解决；</w:t>
      </w:r>
    </w:p>
    <w:p>
      <w:pPr>
        <w:spacing w:line="578" w:lineRule="exact"/>
        <w:rPr>
          <w:rFonts w:ascii="仿宋_GB2312" w:hAnsi="宋体" w:eastAsia="仿宋_GB2312" w:cs="仿宋_GB2312"/>
          <w:color w:val="000000"/>
          <w:sz w:val="32"/>
          <w:szCs w:val="32"/>
        </w:rPr>
      </w:pPr>
      <w:r>
        <w:rPr>
          <w:rFonts w:hint="eastAsia" w:ascii="仿宋_GB2312" w:hAnsi="宋体" w:eastAsia="仿宋_GB2312" w:cs="仿宋_GB2312"/>
          <w:color w:val="000000"/>
          <w:sz w:val="32"/>
          <w:szCs w:val="32"/>
        </w:rPr>
        <w:t>　　</w:t>
      </w:r>
      <w:r>
        <w:rPr>
          <w:rFonts w:ascii="仿宋_GB2312" w:hAnsi="宋体" w:eastAsia="仿宋_GB2312" w:cs="仿宋_GB2312"/>
          <w:color w:val="000000"/>
          <w:sz w:val="32"/>
          <w:szCs w:val="32"/>
        </w:rPr>
        <w:t>2.</w:t>
      </w:r>
      <w:r>
        <w:rPr>
          <w:rFonts w:hint="eastAsia" w:ascii="仿宋_GB2312" w:hAnsi="宋体" w:eastAsia="仿宋_GB2312" w:cs="仿宋_GB2312"/>
          <w:color w:val="000000"/>
          <w:sz w:val="32"/>
          <w:szCs w:val="32"/>
        </w:rPr>
        <w:t>交易主体有矿产资源违法行为尚未处理，或者矿产资源违法行为的行政处罚尚未执行完毕；</w:t>
      </w:r>
    </w:p>
    <w:p>
      <w:pPr>
        <w:spacing w:line="578" w:lineRule="exact"/>
        <w:rPr>
          <w:rFonts w:ascii="仿宋_GB2312" w:hAnsi="宋体" w:eastAsia="仿宋_GB2312" w:cs="仿宋_GB2312"/>
          <w:color w:val="000000"/>
          <w:sz w:val="32"/>
          <w:szCs w:val="32"/>
        </w:rPr>
      </w:pPr>
      <w:r>
        <w:rPr>
          <w:rFonts w:hint="eastAsia" w:ascii="仿宋_GB2312" w:hAnsi="宋体" w:eastAsia="仿宋_GB2312" w:cs="仿宋_GB2312"/>
          <w:color w:val="000000"/>
          <w:sz w:val="32"/>
          <w:szCs w:val="32"/>
        </w:rPr>
        <w:t>　　</w:t>
      </w:r>
      <w:r>
        <w:rPr>
          <w:rFonts w:ascii="仿宋_GB2312" w:hAnsi="宋体" w:eastAsia="仿宋_GB2312" w:cs="仿宋_GB2312"/>
          <w:color w:val="000000"/>
          <w:sz w:val="32"/>
          <w:szCs w:val="32"/>
        </w:rPr>
        <w:t>3.</w:t>
      </w:r>
      <w:r>
        <w:rPr>
          <w:rFonts w:hint="eastAsia" w:ascii="仿宋_GB2312" w:hAnsi="宋体" w:eastAsia="仿宋_GB2312" w:cs="仿宋_GB2312"/>
          <w:color w:val="000000"/>
          <w:sz w:val="32"/>
          <w:szCs w:val="32"/>
        </w:rPr>
        <w:t>因不可抗力应当中止采矿权交易的其他情形。</w:t>
      </w:r>
    </w:p>
    <w:p>
      <w:pPr>
        <w:spacing w:line="578" w:lineRule="exact"/>
        <w:ind w:firstLine="633" w:firstLineChars="198"/>
        <w:rPr>
          <w:rFonts w:ascii="仿宋_GB2312" w:hAnsi="宋体" w:eastAsia="仿宋_GB2312" w:cs="仿宋_GB2312"/>
          <w:color w:val="000000"/>
          <w:sz w:val="32"/>
          <w:szCs w:val="32"/>
        </w:rPr>
      </w:pPr>
      <w:r>
        <w:rPr>
          <w:rFonts w:hint="eastAsia" w:ascii="仿宋_GB2312" w:hAnsi="宋体" w:eastAsia="仿宋_GB2312" w:cs="仿宋_GB2312"/>
          <w:color w:val="000000"/>
          <w:sz w:val="32"/>
          <w:szCs w:val="32"/>
        </w:rPr>
        <w:t>（五）有下列情形之一的，采矿权交易行为终止：</w:t>
      </w:r>
    </w:p>
    <w:p>
      <w:pPr>
        <w:spacing w:line="578" w:lineRule="exact"/>
        <w:rPr>
          <w:rFonts w:ascii="仿宋_GB2312" w:hAnsi="宋体" w:eastAsia="仿宋_GB2312" w:cs="仿宋_GB2312"/>
          <w:color w:val="000000"/>
          <w:sz w:val="32"/>
          <w:szCs w:val="32"/>
        </w:rPr>
      </w:pPr>
      <w:r>
        <w:rPr>
          <w:rFonts w:hint="eastAsia" w:ascii="仿宋_GB2312" w:hAnsi="宋体" w:eastAsia="仿宋_GB2312" w:cs="仿宋_GB2312"/>
          <w:color w:val="000000"/>
          <w:sz w:val="32"/>
          <w:szCs w:val="32"/>
        </w:rPr>
        <w:t>　　</w:t>
      </w:r>
      <w:r>
        <w:rPr>
          <w:rFonts w:ascii="仿宋_GB2312" w:hAnsi="宋体" w:eastAsia="仿宋_GB2312" w:cs="仿宋_GB2312"/>
          <w:color w:val="000000"/>
          <w:sz w:val="32"/>
          <w:szCs w:val="32"/>
        </w:rPr>
        <w:t>1.</w:t>
      </w:r>
      <w:r>
        <w:rPr>
          <w:rFonts w:hint="eastAsia" w:ascii="仿宋_GB2312" w:hAnsi="宋体" w:eastAsia="仿宋_GB2312" w:cs="仿宋_GB2312"/>
          <w:color w:val="000000"/>
          <w:sz w:val="32"/>
          <w:szCs w:val="32"/>
        </w:rPr>
        <w:t>出让人提出终止交易；</w:t>
      </w:r>
    </w:p>
    <w:p>
      <w:pPr>
        <w:spacing w:line="578" w:lineRule="exact"/>
        <w:rPr>
          <w:rFonts w:ascii="仿宋_GB2312" w:hAnsi="宋体" w:eastAsia="仿宋_GB2312" w:cs="仿宋_GB2312"/>
          <w:color w:val="000000"/>
          <w:sz w:val="32"/>
          <w:szCs w:val="32"/>
        </w:rPr>
      </w:pPr>
      <w:r>
        <w:rPr>
          <w:rFonts w:hint="eastAsia" w:ascii="仿宋_GB2312" w:hAnsi="宋体" w:eastAsia="仿宋_GB2312" w:cs="仿宋_GB2312"/>
          <w:color w:val="000000"/>
          <w:sz w:val="32"/>
          <w:szCs w:val="32"/>
        </w:rPr>
        <w:t>　　</w:t>
      </w:r>
      <w:r>
        <w:rPr>
          <w:rFonts w:ascii="仿宋_GB2312" w:hAnsi="宋体" w:eastAsia="仿宋_GB2312" w:cs="仿宋_GB2312"/>
          <w:color w:val="000000"/>
          <w:sz w:val="32"/>
          <w:szCs w:val="32"/>
        </w:rPr>
        <w:t>2.</w:t>
      </w:r>
      <w:r>
        <w:rPr>
          <w:rFonts w:hint="eastAsia" w:ascii="仿宋_GB2312" w:hAnsi="宋体" w:eastAsia="仿宋_GB2312" w:cs="仿宋_GB2312"/>
          <w:color w:val="000000"/>
          <w:sz w:val="32"/>
          <w:szCs w:val="32"/>
        </w:rPr>
        <w:t>因不可抗力应当终止采矿权交易；</w:t>
      </w:r>
    </w:p>
    <w:p>
      <w:pPr>
        <w:spacing w:line="578" w:lineRule="exact"/>
        <w:ind w:firstLine="640" w:firstLineChars="200"/>
        <w:rPr>
          <w:rFonts w:ascii="仿宋_GB2312" w:hAnsi="宋体" w:eastAsia="仿宋_GB2312" w:cs="仿宋_GB2312"/>
          <w:sz w:val="32"/>
          <w:szCs w:val="32"/>
        </w:rPr>
      </w:pPr>
      <w:r>
        <w:rPr>
          <w:rFonts w:ascii="仿宋_GB2312" w:hAnsi="宋体" w:eastAsia="仿宋_GB2312" w:cs="仿宋_GB2312"/>
          <w:sz w:val="32"/>
          <w:szCs w:val="32"/>
        </w:rPr>
        <w:t>3.</w:t>
      </w:r>
      <w:r>
        <w:rPr>
          <w:rFonts w:hint="eastAsia" w:ascii="仿宋_GB2312" w:hAnsi="宋体" w:eastAsia="仿宋_GB2312" w:cs="仿宋_GB2312"/>
          <w:sz w:val="32"/>
          <w:szCs w:val="32"/>
        </w:rPr>
        <w:t>竞买人串通损害国有利益、社会利益或他人合法权益的；</w:t>
      </w:r>
    </w:p>
    <w:p>
      <w:pPr>
        <w:spacing w:line="578" w:lineRule="exact"/>
        <w:ind w:firstLine="640" w:firstLineChars="200"/>
        <w:rPr>
          <w:rFonts w:ascii="仿宋_GB2312" w:hAnsi="宋体" w:eastAsia="仿宋_GB2312" w:cs="仿宋_GB2312"/>
          <w:sz w:val="32"/>
          <w:szCs w:val="32"/>
        </w:rPr>
      </w:pPr>
      <w:r>
        <w:rPr>
          <w:rFonts w:ascii="仿宋_GB2312" w:hAnsi="宋体" w:eastAsia="仿宋_GB2312" w:cs="仿宋_GB2312"/>
          <w:sz w:val="32"/>
          <w:szCs w:val="32"/>
        </w:rPr>
        <w:t>4.</w:t>
      </w:r>
      <w:r>
        <w:rPr>
          <w:rFonts w:hint="eastAsia" w:ascii="仿宋_GB2312" w:hAnsi="宋体" w:eastAsia="仿宋_GB2312" w:cs="仿宋_GB2312"/>
          <w:sz w:val="32"/>
          <w:szCs w:val="32"/>
        </w:rPr>
        <w:t>拍卖工作人员私下接触竞买人，足以影响拍卖公正性的；</w:t>
      </w:r>
    </w:p>
    <w:p>
      <w:pPr>
        <w:spacing w:line="578" w:lineRule="exact"/>
        <w:ind w:firstLine="640" w:firstLineChars="200"/>
        <w:rPr>
          <w:rFonts w:ascii="仿宋_GB2312" w:hAnsi="宋体" w:eastAsia="仿宋_GB2312" w:cs="仿宋_GB2312"/>
          <w:color w:val="000000"/>
          <w:sz w:val="32"/>
          <w:szCs w:val="32"/>
        </w:rPr>
      </w:pPr>
      <w:r>
        <w:rPr>
          <w:rFonts w:ascii="仿宋_GB2312" w:hAnsi="宋体" w:eastAsia="仿宋_GB2312" w:cs="仿宋_GB2312"/>
          <w:color w:val="000000"/>
          <w:sz w:val="32"/>
          <w:szCs w:val="32"/>
        </w:rPr>
        <w:t>5.</w:t>
      </w:r>
      <w:r>
        <w:rPr>
          <w:rFonts w:hint="eastAsia" w:ascii="仿宋_GB2312" w:hAnsi="宋体" w:eastAsia="仿宋_GB2312" w:cs="仿宋_GB2312"/>
          <w:color w:val="000000"/>
          <w:sz w:val="32"/>
          <w:szCs w:val="32"/>
        </w:rPr>
        <w:t>法律法规规定的其他情形。</w:t>
      </w:r>
    </w:p>
    <w:p>
      <w:pPr>
        <w:spacing w:line="578" w:lineRule="exact"/>
        <w:ind w:firstLine="480" w:firstLineChars="150"/>
        <w:rPr>
          <w:rFonts w:ascii="仿宋_GB2312" w:hAnsi="宋体" w:eastAsia="仿宋_GB2312" w:cs="仿宋_GB2312"/>
          <w:sz w:val="32"/>
          <w:szCs w:val="32"/>
        </w:rPr>
      </w:pPr>
      <w:r>
        <w:rPr>
          <w:rFonts w:hint="eastAsia" w:ascii="仿宋_GB2312" w:hAnsi="宋体" w:eastAsia="仿宋_GB2312" w:cs="仿宋_GB2312"/>
          <w:color w:val="000000"/>
          <w:sz w:val="32"/>
          <w:szCs w:val="32"/>
        </w:rPr>
        <w:t>（六）</w:t>
      </w:r>
      <w:r>
        <w:rPr>
          <w:rFonts w:hint="eastAsia" w:ascii="仿宋_GB2312" w:hAnsi="宋体" w:eastAsia="仿宋_GB2312" w:cs="仿宋_GB2312"/>
          <w:sz w:val="32"/>
          <w:szCs w:val="32"/>
        </w:rPr>
        <w:t>竞得人有下列行为之一的，视为违约，出让人可取消其竞得人资格，并追究法律责任。</w:t>
      </w:r>
    </w:p>
    <w:p>
      <w:pPr>
        <w:spacing w:line="578" w:lineRule="exact"/>
        <w:ind w:firstLine="800" w:firstLineChars="250"/>
        <w:rPr>
          <w:rFonts w:ascii="仿宋_GB2312" w:hAnsi="宋体" w:eastAsia="仿宋_GB2312"/>
          <w:sz w:val="32"/>
          <w:szCs w:val="32"/>
        </w:rPr>
      </w:pPr>
      <w:r>
        <w:rPr>
          <w:rFonts w:ascii="仿宋_GB2312" w:hAnsi="宋体" w:eastAsia="仿宋_GB2312" w:cs="仿宋_GB2312"/>
          <w:sz w:val="32"/>
          <w:szCs w:val="32"/>
        </w:rPr>
        <w:t>1.</w:t>
      </w:r>
      <w:r>
        <w:rPr>
          <w:rFonts w:hint="eastAsia" w:ascii="仿宋_GB2312" w:hAnsi="宋体" w:eastAsia="仿宋_GB2312"/>
          <w:sz w:val="32"/>
          <w:szCs w:val="32"/>
        </w:rPr>
        <w:t>竞得人逾期或拒绝在现场签订《采矿权成交确认书》的；</w:t>
      </w:r>
    </w:p>
    <w:p>
      <w:pPr>
        <w:spacing w:line="578" w:lineRule="exact"/>
        <w:ind w:firstLine="640" w:firstLineChars="200"/>
        <w:rPr>
          <w:rFonts w:ascii="仿宋_GB2312" w:hAnsi="宋体" w:eastAsia="仿宋_GB2312" w:cs="仿宋_GB2312"/>
          <w:sz w:val="32"/>
          <w:szCs w:val="32"/>
        </w:rPr>
      </w:pPr>
      <w:r>
        <w:rPr>
          <w:rFonts w:ascii="仿宋_GB2312" w:hAnsi="宋体" w:eastAsia="仿宋_GB2312" w:cs="仿宋_GB2312"/>
          <w:sz w:val="32"/>
          <w:szCs w:val="32"/>
        </w:rPr>
        <w:t xml:space="preserve"> 2.</w:t>
      </w:r>
      <w:r>
        <w:rPr>
          <w:rFonts w:hint="eastAsia" w:ascii="仿宋_GB2312" w:hAnsi="宋体" w:eastAsia="仿宋_GB2312"/>
          <w:sz w:val="32"/>
          <w:szCs w:val="32"/>
        </w:rPr>
        <w:t>竞得人逾期支付交易服务费的；</w:t>
      </w:r>
    </w:p>
    <w:p>
      <w:pPr>
        <w:spacing w:line="578" w:lineRule="exact"/>
        <w:ind w:firstLine="640" w:firstLineChars="200"/>
        <w:rPr>
          <w:rFonts w:ascii="仿宋_GB2312" w:hAnsi="宋体" w:eastAsia="仿宋_GB2312" w:cs="仿宋_GB2312"/>
          <w:sz w:val="32"/>
          <w:szCs w:val="32"/>
        </w:rPr>
      </w:pPr>
      <w:r>
        <w:rPr>
          <w:rFonts w:ascii="仿宋_GB2312" w:hAnsi="宋体" w:eastAsia="仿宋_GB2312" w:cs="仿宋_GB2312"/>
          <w:sz w:val="32"/>
          <w:szCs w:val="32"/>
        </w:rPr>
        <w:t xml:space="preserve"> 3.</w:t>
      </w:r>
      <w:r>
        <w:rPr>
          <w:rFonts w:hint="eastAsia" w:ascii="仿宋_GB2312" w:hAnsi="宋体" w:eastAsia="仿宋_GB2312" w:cs="仿宋_GB2312"/>
          <w:sz w:val="32"/>
          <w:szCs w:val="32"/>
        </w:rPr>
        <w:t>竞得人逾期或拒绝签订《采矿权出让合同》的。</w:t>
      </w:r>
    </w:p>
    <w:p>
      <w:pPr>
        <w:spacing w:line="578" w:lineRule="exact"/>
        <w:ind w:firstLine="800" w:firstLineChars="250"/>
        <w:rPr>
          <w:rFonts w:ascii="仿宋_GB2312" w:hAnsi="宋体" w:eastAsia="仿宋_GB2312" w:cs="仿宋_GB2312"/>
          <w:color w:val="000000"/>
          <w:sz w:val="32"/>
          <w:szCs w:val="32"/>
        </w:rPr>
      </w:pPr>
      <w:r>
        <w:rPr>
          <w:rFonts w:ascii="仿宋_GB2312" w:hAnsi="宋体" w:eastAsia="仿宋_GB2312" w:cs="仿宋_GB2312"/>
          <w:sz w:val="32"/>
          <w:szCs w:val="32"/>
        </w:rPr>
        <w:t>4.</w:t>
      </w:r>
      <w:r>
        <w:rPr>
          <w:rFonts w:hint="eastAsia" w:ascii="仿宋_GB2312" w:hAnsi="宋体" w:eastAsia="仿宋_GB2312" w:cs="仿宋_GB2312"/>
          <w:sz w:val="32"/>
          <w:szCs w:val="32"/>
        </w:rPr>
        <w:t>竞得人未按约定的时间付清约定的采矿权出让收益</w:t>
      </w:r>
      <w:r>
        <w:rPr>
          <w:rFonts w:hint="eastAsia" w:ascii="仿宋_GB2312" w:hAnsi="宋体" w:eastAsia="仿宋_GB2312" w:cs="仿宋_GB2312"/>
          <w:color w:val="000000"/>
          <w:sz w:val="32"/>
          <w:szCs w:val="32"/>
        </w:rPr>
        <w:t>或者其他相关费用的；</w:t>
      </w:r>
    </w:p>
    <w:p>
      <w:pPr>
        <w:spacing w:line="578" w:lineRule="exact"/>
        <w:ind w:firstLine="640" w:firstLineChars="200"/>
        <w:rPr>
          <w:rFonts w:ascii="仿宋_GB2312" w:hAnsi="宋体" w:eastAsia="仿宋_GB2312" w:cs="仿宋_GB2312"/>
          <w:color w:val="000000"/>
          <w:sz w:val="32"/>
          <w:szCs w:val="32"/>
        </w:rPr>
      </w:pPr>
      <w:r>
        <w:rPr>
          <w:rFonts w:ascii="仿宋_GB2312" w:hAnsi="宋体" w:eastAsia="仿宋_GB2312" w:cs="仿宋_GB2312"/>
          <w:color w:val="000000"/>
          <w:sz w:val="32"/>
          <w:szCs w:val="32"/>
        </w:rPr>
        <w:t xml:space="preserve"> 5.</w:t>
      </w:r>
      <w:r>
        <w:rPr>
          <w:rFonts w:hint="eastAsia" w:ascii="仿宋_GB2312" w:hAnsi="宋体" w:eastAsia="仿宋_GB2312" w:cs="仿宋_GB2312"/>
          <w:color w:val="000000"/>
          <w:sz w:val="32"/>
          <w:szCs w:val="32"/>
        </w:rPr>
        <w:t>竞得人提供虚假文件或者隐瞒事实的；</w:t>
      </w:r>
    </w:p>
    <w:p>
      <w:pPr>
        <w:spacing w:line="578" w:lineRule="exact"/>
        <w:ind w:firstLine="640" w:firstLineChars="200"/>
        <w:rPr>
          <w:rFonts w:ascii="仿宋_GB2312" w:hAnsi="宋体" w:eastAsia="仿宋_GB2312" w:cs="仿宋_GB2312"/>
          <w:color w:val="000000"/>
          <w:sz w:val="32"/>
          <w:szCs w:val="32"/>
        </w:rPr>
      </w:pPr>
      <w:r>
        <w:rPr>
          <w:rFonts w:ascii="仿宋_GB2312" w:hAnsi="宋体" w:eastAsia="仿宋_GB2312" w:cs="仿宋_GB2312"/>
          <w:color w:val="000000"/>
          <w:sz w:val="32"/>
          <w:szCs w:val="32"/>
        </w:rPr>
        <w:t xml:space="preserve"> 6.</w:t>
      </w:r>
      <w:r>
        <w:rPr>
          <w:rFonts w:hint="eastAsia" w:ascii="仿宋_GB2312" w:hAnsi="宋体" w:eastAsia="仿宋_GB2312" w:cs="仿宋_GB2312"/>
          <w:color w:val="000000"/>
          <w:sz w:val="32"/>
          <w:szCs w:val="32"/>
        </w:rPr>
        <w:t>向主管部门或者评标委员会及其成员行贿或者采取其他不正当手段中标或者竞得的；</w:t>
      </w:r>
    </w:p>
    <w:p>
      <w:pPr>
        <w:spacing w:line="578" w:lineRule="exact"/>
        <w:ind w:firstLine="640" w:firstLineChars="200"/>
        <w:rPr>
          <w:rFonts w:ascii="仿宋_GB2312" w:hAnsi="宋体" w:eastAsia="仿宋_GB2312" w:cs="仿宋_GB2312"/>
          <w:color w:val="000000"/>
          <w:sz w:val="32"/>
          <w:szCs w:val="32"/>
        </w:rPr>
      </w:pPr>
      <w:r>
        <w:rPr>
          <w:rFonts w:ascii="仿宋_GB2312" w:hAnsi="宋体" w:eastAsia="仿宋_GB2312" w:cs="仿宋_GB2312"/>
          <w:color w:val="000000"/>
          <w:sz w:val="32"/>
          <w:szCs w:val="32"/>
        </w:rPr>
        <w:t xml:space="preserve"> 7.</w:t>
      </w:r>
      <w:r>
        <w:rPr>
          <w:rFonts w:hint="eastAsia" w:ascii="仿宋_GB2312" w:hAnsi="宋体" w:eastAsia="仿宋_GB2312" w:cs="仿宋_GB2312"/>
          <w:color w:val="000000"/>
          <w:sz w:val="32"/>
          <w:szCs w:val="32"/>
        </w:rPr>
        <w:t>其他依法应当认定为违约行为的情形。</w:t>
      </w:r>
    </w:p>
    <w:p>
      <w:pPr>
        <w:spacing w:line="578" w:lineRule="exact"/>
        <w:ind w:firstLine="640" w:firstLineChars="200"/>
        <w:rPr>
          <w:rFonts w:hint="default" w:ascii="Times New Roman" w:hAnsi="Times New Roman" w:eastAsia="仿宋_GB2312" w:cs="Times New Roman"/>
          <w:sz w:val="32"/>
          <w:szCs w:val="32"/>
        </w:rPr>
      </w:pPr>
      <w:r>
        <w:rPr>
          <w:rFonts w:hint="eastAsia" w:ascii="仿宋_GB2312" w:hAnsi="宋体" w:eastAsia="仿宋_GB2312" w:cs="仿宋_GB2312"/>
          <w:sz w:val="32"/>
          <w:szCs w:val="32"/>
        </w:rPr>
        <w:t>（七）</w:t>
      </w:r>
      <w:r>
        <w:rPr>
          <w:rFonts w:hint="default" w:ascii="Times New Roman" w:hAnsi="Times New Roman" w:eastAsia="仿宋_GB2312" w:cs="Times New Roman"/>
          <w:sz w:val="32"/>
          <w:szCs w:val="32"/>
        </w:rPr>
        <w:t>竞得人须在签订《采矿权出让合同》之日起7个工作日内，缴纳采矿权出让收益。未按期缴纳从滞纳之日起每日加收千分之二的滞纳金。竞得人如申请分期缴纳采矿权出让收益的，须在签订《成交确认书》之日起2个工作日内向</w:t>
      </w:r>
      <w:r>
        <w:rPr>
          <w:rFonts w:hint="eastAsia" w:ascii="Times New Roman" w:hAnsi="Times New Roman" w:eastAsia="仿宋_GB2312" w:cs="Times New Roman"/>
          <w:sz w:val="32"/>
          <w:szCs w:val="32"/>
          <w:lang w:eastAsia="zh-CN"/>
        </w:rPr>
        <w:t>达州市自然资源和规划局</w:t>
      </w:r>
      <w:r>
        <w:rPr>
          <w:rFonts w:hint="default" w:ascii="Times New Roman" w:hAnsi="Times New Roman" w:eastAsia="仿宋_GB2312" w:cs="Times New Roman"/>
          <w:sz w:val="32"/>
          <w:szCs w:val="32"/>
        </w:rPr>
        <w:t>提出申请，并按批准的分期缴纳方式缴纳；竞得人如未在规定时间内向</w:t>
      </w:r>
      <w:r>
        <w:rPr>
          <w:rFonts w:hint="eastAsia" w:ascii="Times New Roman" w:hAnsi="Times New Roman" w:eastAsia="仿宋_GB2312" w:cs="Times New Roman"/>
          <w:sz w:val="32"/>
          <w:szCs w:val="32"/>
          <w:lang w:eastAsia="zh-CN"/>
        </w:rPr>
        <w:t>达州市自然资源和规划局</w:t>
      </w:r>
      <w:r>
        <w:rPr>
          <w:rFonts w:hint="default" w:ascii="Times New Roman" w:hAnsi="Times New Roman" w:eastAsia="仿宋_GB2312" w:cs="Times New Roman"/>
          <w:sz w:val="32"/>
          <w:szCs w:val="32"/>
        </w:rPr>
        <w:t>申请分期缴纳采矿权出让收益或申请分期缴纳未获批准的，需在签订《采矿权出让合同》之日起7个工作日内缴清采矿权出让收益。</w:t>
      </w:r>
    </w:p>
    <w:p>
      <w:pPr>
        <w:spacing w:line="578" w:lineRule="exact"/>
        <w:ind w:firstLine="640" w:firstLineChars="200"/>
        <w:rPr>
          <w:rFonts w:ascii="仿宋_GB2312" w:hAnsi="宋体" w:eastAsia="仿宋_GB2312"/>
          <w:sz w:val="32"/>
          <w:szCs w:val="32"/>
        </w:rPr>
      </w:pPr>
      <w:r>
        <w:rPr>
          <w:rFonts w:hint="eastAsia" w:ascii="仿宋_GB2312" w:hAnsi="宋体" w:eastAsia="仿宋_GB2312"/>
          <w:sz w:val="32"/>
          <w:szCs w:val="32"/>
        </w:rPr>
        <w:t>（八）</w:t>
      </w:r>
      <w:r>
        <w:rPr>
          <w:rFonts w:hint="default" w:ascii="Times New Roman" w:hAnsi="Times New Roman" w:eastAsia="仿宋_GB2312" w:cs="Times New Roman"/>
          <w:sz w:val="32"/>
          <w:szCs w:val="32"/>
        </w:rPr>
        <w:t>竞得人如不能按时足额缴纳首期采矿权出让收益的，从滞纳之日起每日加收千分之二的滞纳金（本期应缴额），加收的滞纳金不超过欠缴金额本金，如延期缴款超过60日，经出让人催交后仍不缴纳的，出让人有权解除合同，取消竞得人该采矿权竞得资格，由担保人代其履行担保金额的80%违约金。</w:t>
      </w:r>
    </w:p>
    <w:p>
      <w:pPr>
        <w:keepNext w:val="0"/>
        <w:keepLines w:val="0"/>
        <w:pageBreakBefore w:val="0"/>
        <w:widowControl w:val="0"/>
        <w:tabs>
          <w:tab w:val="left" w:pos="7845"/>
        </w:tabs>
        <w:kinsoku/>
        <w:wordWrap/>
        <w:overflowPunct/>
        <w:topLinePunct w:val="0"/>
        <w:autoSpaceDE/>
        <w:autoSpaceDN/>
        <w:bidi w:val="0"/>
        <w:adjustRightInd/>
        <w:snapToGrid/>
        <w:spacing w:line="578" w:lineRule="exact"/>
        <w:ind w:right="-512" w:rightChars="-244" w:firstLine="640" w:firstLineChars="200"/>
        <w:textAlignment w:val="auto"/>
        <w:rPr>
          <w:rFonts w:hint="default" w:ascii="Times New Roman" w:hAnsi="Times New Roman" w:eastAsia="仿宋_GB2312" w:cs="Times New Roman"/>
          <w:sz w:val="32"/>
          <w:szCs w:val="32"/>
          <w:lang w:val="en-US" w:eastAsia="zh-CN"/>
        </w:rPr>
      </w:pPr>
      <w:r>
        <w:rPr>
          <w:rFonts w:hint="eastAsia" w:ascii="仿宋_GB2312" w:hAnsi="宋体" w:eastAsia="仿宋_GB2312"/>
          <w:sz w:val="32"/>
          <w:szCs w:val="32"/>
        </w:rPr>
        <w:t>（九）</w:t>
      </w:r>
      <w:r>
        <w:rPr>
          <w:rFonts w:hint="default" w:ascii="Times New Roman" w:hAnsi="Times New Roman" w:eastAsia="仿宋_GB2312" w:cs="Times New Roman"/>
          <w:sz w:val="32"/>
          <w:szCs w:val="32"/>
          <w:lang w:val="en-US" w:eastAsia="zh-CN"/>
        </w:rPr>
        <w:t>竞得人缴纳首期收益之后如不按时缴纳剩余出让收益的，从滞纳之日起每日加收千分之二的滞纳金（本期应缴额），加收的滞纳金不超过欠缴金额本金。若届时尚未办理采矿权登记的，出让人有权不予办理采矿权登记；若届时已经办理采矿权登记的，出让人有权吊销采矿权许可证，并按当时有关政策处理。</w:t>
      </w:r>
    </w:p>
    <w:p>
      <w:pPr>
        <w:keepNext w:val="0"/>
        <w:keepLines w:val="0"/>
        <w:pageBreakBefore w:val="0"/>
        <w:widowControl w:val="0"/>
        <w:tabs>
          <w:tab w:val="left" w:pos="7845"/>
        </w:tabs>
        <w:kinsoku/>
        <w:wordWrap/>
        <w:overflowPunct/>
        <w:topLinePunct w:val="0"/>
        <w:autoSpaceDE/>
        <w:autoSpaceDN/>
        <w:bidi w:val="0"/>
        <w:adjustRightInd/>
        <w:snapToGrid/>
        <w:spacing w:line="578" w:lineRule="exact"/>
        <w:ind w:right="-512" w:rightChars="-244" w:firstLine="640" w:firstLineChars="200"/>
        <w:textAlignment w:val="auto"/>
        <w:rPr>
          <w:rFonts w:hint="default" w:ascii="Times New Roman" w:hAnsi="Times New Roman" w:eastAsia="仿宋_GB2312" w:cs="Times New Roman"/>
          <w:sz w:val="32"/>
          <w:szCs w:val="32"/>
          <w:lang w:val="en-US" w:eastAsia="zh-CN"/>
        </w:rPr>
      </w:pPr>
      <w:r>
        <w:rPr>
          <w:rFonts w:hint="eastAsia" w:ascii="仿宋_GB2312" w:hAnsi="宋体" w:eastAsia="仿宋_GB2312"/>
          <w:sz w:val="32"/>
          <w:szCs w:val="32"/>
        </w:rPr>
        <w:t>（十</w:t>
      </w:r>
      <w:r>
        <w:rPr>
          <w:rFonts w:ascii="仿宋_GB2312" w:hAnsi="宋体" w:eastAsia="仿宋_GB2312"/>
          <w:sz w:val="32"/>
          <w:szCs w:val="32"/>
        </w:rPr>
        <w:t>)</w:t>
      </w:r>
      <w:r>
        <w:rPr>
          <w:rFonts w:hint="default" w:ascii="Times New Roman" w:hAnsi="Times New Roman" w:eastAsia="仿宋_GB2312" w:cs="Times New Roman"/>
          <w:sz w:val="32"/>
          <w:szCs w:val="32"/>
          <w:lang w:val="en-US" w:eastAsia="zh-CN"/>
        </w:rPr>
        <w:t>竞得人缴纳首期收益之后如不按时缴纳剩余出让收益的，从滞纳之日起每日加收千分之二的滞纳金（本期应缴额），加收的滞纳金不超过欠缴金额本金。若届时尚未办理采矿权登记的，出让人有权不予办理采矿权登记；若届时已经办理采矿权登记的，出让人有权吊销采矿权许可证，并按当时有关政策处理。</w:t>
      </w:r>
    </w:p>
    <w:p>
      <w:pPr>
        <w:spacing w:line="578" w:lineRule="exact"/>
        <w:ind w:firstLine="640" w:firstLineChars="200"/>
        <w:rPr>
          <w:rFonts w:ascii="仿宋_GB2312" w:hAnsi="宋体" w:eastAsia="仿宋_GB2312"/>
          <w:color w:val="000000"/>
          <w:sz w:val="32"/>
          <w:szCs w:val="32"/>
        </w:rPr>
      </w:pPr>
      <w:r>
        <w:rPr>
          <w:rFonts w:hint="eastAsia" w:ascii="仿宋_GB2312" w:hAnsi="宋体" w:eastAsia="仿宋_GB2312"/>
          <w:color w:val="000000"/>
          <w:sz w:val="32"/>
          <w:szCs w:val="32"/>
        </w:rPr>
        <w:t>（十一）欠缴</w:t>
      </w:r>
      <w:r>
        <w:rPr>
          <w:rFonts w:hint="eastAsia" w:ascii="仿宋_GB2312" w:hAnsi="宋体" w:eastAsia="仿宋_GB2312" w:cs="仿宋_GB2312"/>
          <w:color w:val="000000"/>
          <w:sz w:val="32"/>
          <w:szCs w:val="32"/>
        </w:rPr>
        <w:t>采矿</w:t>
      </w:r>
      <w:r>
        <w:rPr>
          <w:rFonts w:hint="eastAsia" w:ascii="仿宋_GB2312" w:hAnsi="宋体" w:eastAsia="仿宋_GB2312"/>
          <w:color w:val="000000"/>
          <w:sz w:val="32"/>
          <w:szCs w:val="32"/>
        </w:rPr>
        <w:t>权出让收益、不按期办理采矿许可证以及不履行</w:t>
      </w:r>
      <w:r>
        <w:rPr>
          <w:rFonts w:hint="eastAsia" w:ascii="仿宋_GB2312" w:hAnsi="宋体" w:eastAsia="仿宋_GB2312" w:cs="仿宋_GB2312"/>
          <w:color w:val="000000"/>
          <w:sz w:val="32"/>
          <w:szCs w:val="32"/>
        </w:rPr>
        <w:t>采矿</w:t>
      </w:r>
      <w:r>
        <w:rPr>
          <w:rFonts w:hint="eastAsia" w:ascii="仿宋_GB2312" w:hAnsi="宋体" w:eastAsia="仿宋_GB2312"/>
          <w:color w:val="000000"/>
          <w:sz w:val="32"/>
          <w:szCs w:val="32"/>
        </w:rPr>
        <w:t>权出让合同的，属违规违约行为。</w:t>
      </w:r>
    </w:p>
    <w:p>
      <w:pPr>
        <w:spacing w:line="578" w:lineRule="exact"/>
        <w:ind w:firstLine="640" w:firstLineChars="200"/>
        <w:rPr>
          <w:rFonts w:ascii="仿宋_GB2312" w:hAnsi="宋体" w:eastAsia="仿宋_GB2312"/>
          <w:color w:val="000000"/>
          <w:sz w:val="32"/>
          <w:szCs w:val="32"/>
        </w:rPr>
      </w:pPr>
      <w:r>
        <w:rPr>
          <w:rFonts w:hint="eastAsia" w:ascii="仿宋_GB2312" w:hAnsi="宋体" w:eastAsia="仿宋_GB2312"/>
          <w:color w:val="000000"/>
          <w:sz w:val="32"/>
          <w:szCs w:val="32"/>
        </w:rPr>
        <w:t>（十二）出让</w:t>
      </w:r>
      <w:r>
        <w:rPr>
          <w:rFonts w:hint="eastAsia" w:ascii="仿宋_GB2312" w:hAnsi="宋体" w:eastAsia="仿宋_GB2312" w:cs="仿宋_GB2312"/>
          <w:color w:val="000000"/>
          <w:sz w:val="32"/>
          <w:szCs w:val="32"/>
        </w:rPr>
        <w:t>采矿</w:t>
      </w:r>
      <w:r>
        <w:rPr>
          <w:rFonts w:hint="eastAsia" w:ascii="仿宋_GB2312" w:hAnsi="宋体" w:eastAsia="仿宋_GB2312"/>
          <w:color w:val="000000"/>
          <w:sz w:val="32"/>
          <w:szCs w:val="32"/>
        </w:rPr>
        <w:t>权如涉及应急管理、生态环境、林业、土地等相关手续的，竞得人应按其规定和要求办理。</w:t>
      </w:r>
    </w:p>
    <w:p>
      <w:pPr>
        <w:spacing w:line="578" w:lineRule="exact"/>
        <w:ind w:firstLine="640" w:firstLineChars="200"/>
        <w:rPr>
          <w:rFonts w:ascii="仿宋_GB2312" w:hAnsi="宋体" w:eastAsia="仿宋_GB2312"/>
          <w:sz w:val="32"/>
          <w:szCs w:val="32"/>
        </w:rPr>
      </w:pPr>
      <w:r>
        <w:rPr>
          <w:rFonts w:hint="eastAsia" w:ascii="仿宋_GB2312" w:hAnsi="宋体" w:eastAsia="仿宋_GB2312"/>
          <w:sz w:val="32"/>
          <w:szCs w:val="32"/>
        </w:rPr>
        <w:t>（十三）竞得人必须编制开发利用方案和矿山地质环境保护与土地复垦方案，采用科学的采矿方法开采，依法合理利用矿产资源，最大限度地保护当地生态环境及矿山地质环境。</w:t>
      </w:r>
    </w:p>
    <w:p>
      <w:pPr>
        <w:spacing w:line="578" w:lineRule="exact"/>
        <w:ind w:firstLine="640" w:firstLineChars="200"/>
        <w:rPr>
          <w:rFonts w:ascii="仿宋_GB2312" w:hAnsi="宋体" w:eastAsia="仿宋_GB2312"/>
          <w:sz w:val="32"/>
          <w:szCs w:val="32"/>
        </w:rPr>
      </w:pPr>
      <w:r>
        <w:rPr>
          <w:rFonts w:hint="eastAsia" w:ascii="仿宋_GB2312" w:hAnsi="宋体" w:eastAsia="仿宋_GB2312"/>
          <w:sz w:val="32"/>
          <w:szCs w:val="32"/>
        </w:rPr>
        <w:t>（十四）拍卖出让不成交的，由达州市公共资源交易服务中心按规定和委托转为其他方式交易重新组织出让。</w:t>
      </w:r>
    </w:p>
    <w:p>
      <w:pPr>
        <w:spacing w:line="578" w:lineRule="exact"/>
        <w:ind w:firstLine="640" w:firstLineChars="200"/>
        <w:rPr>
          <w:rFonts w:ascii="仿宋_GB2312" w:hAnsi="宋体" w:eastAsia="仿宋_GB2312"/>
          <w:sz w:val="32"/>
          <w:szCs w:val="32"/>
        </w:rPr>
      </w:pPr>
      <w:r>
        <w:rPr>
          <w:rFonts w:hint="eastAsia" w:ascii="仿宋_GB2312" w:hAnsi="宋体" w:eastAsia="仿宋_GB2312"/>
          <w:sz w:val="32"/>
          <w:szCs w:val="32"/>
        </w:rPr>
        <w:t>（十五）参加拍卖出让活动的人员，应遵守现场的纪律，服从管理人员的管理。</w:t>
      </w:r>
      <w:r>
        <w:rPr>
          <w:rFonts w:ascii="仿宋_GB2312" w:hAnsi="宋体" w:eastAsia="仿宋_GB2312"/>
          <w:sz w:val="32"/>
          <w:szCs w:val="32"/>
        </w:rPr>
        <w:t xml:space="preserve">  </w:t>
      </w:r>
    </w:p>
    <w:p>
      <w:pPr>
        <w:spacing w:line="578" w:lineRule="exact"/>
        <w:ind w:firstLine="640" w:firstLineChars="200"/>
        <w:rPr>
          <w:rFonts w:ascii="仿宋_GB2312" w:hAnsi="宋体" w:eastAsia="仿宋_GB2312"/>
          <w:sz w:val="32"/>
          <w:szCs w:val="32"/>
        </w:rPr>
      </w:pPr>
      <w:r>
        <w:rPr>
          <w:rFonts w:hint="eastAsia" w:ascii="仿宋_GB2312" w:hAnsi="宋体" w:eastAsia="仿宋_GB2312"/>
          <w:sz w:val="32"/>
          <w:szCs w:val="32"/>
        </w:rPr>
        <w:t>（十六）达州市公共资源交易服务中心对本《须知》有解释权，其他未尽事宜依照《矿业权交易规则》办理。</w:t>
      </w:r>
    </w:p>
    <w:p>
      <w:pPr>
        <w:jc w:val="both"/>
        <w:rPr>
          <w:rFonts w:ascii="黑体" w:hAnsi="黑体" w:eastAsia="黑体"/>
          <w:b/>
          <w:spacing w:val="-5"/>
          <w:sz w:val="36"/>
        </w:rPr>
      </w:pPr>
    </w:p>
    <w:p>
      <w:pPr>
        <w:jc w:val="both"/>
        <w:rPr>
          <w:rFonts w:ascii="黑体" w:hAnsi="黑体" w:eastAsia="黑体"/>
          <w:b/>
          <w:spacing w:val="-5"/>
          <w:sz w:val="36"/>
        </w:rPr>
      </w:pPr>
    </w:p>
    <w:p>
      <w:pPr>
        <w:jc w:val="center"/>
        <w:rPr>
          <w:rFonts w:hint="eastAsia" w:ascii="黑体" w:hAnsi="黑体" w:eastAsia="黑体"/>
          <w:b/>
          <w:spacing w:val="-5"/>
          <w:sz w:val="36"/>
        </w:rPr>
      </w:pPr>
    </w:p>
    <w:p>
      <w:pPr>
        <w:jc w:val="center"/>
        <w:rPr>
          <w:rFonts w:hint="eastAsia" w:ascii="黑体" w:hAnsi="黑体" w:eastAsia="黑体"/>
          <w:b/>
          <w:spacing w:val="-5"/>
          <w:sz w:val="36"/>
        </w:rPr>
      </w:pPr>
    </w:p>
    <w:p>
      <w:pPr>
        <w:jc w:val="center"/>
        <w:rPr>
          <w:rFonts w:hint="eastAsia" w:ascii="黑体" w:hAnsi="黑体" w:eastAsia="黑体"/>
          <w:b/>
          <w:spacing w:val="-5"/>
          <w:sz w:val="36"/>
        </w:rPr>
      </w:pPr>
    </w:p>
    <w:p>
      <w:pPr>
        <w:jc w:val="center"/>
        <w:rPr>
          <w:rFonts w:hint="eastAsia" w:ascii="黑体" w:hAnsi="黑体" w:eastAsia="黑体"/>
          <w:b/>
          <w:spacing w:val="-5"/>
          <w:sz w:val="36"/>
        </w:rPr>
      </w:pPr>
    </w:p>
    <w:p>
      <w:pPr>
        <w:jc w:val="center"/>
        <w:rPr>
          <w:rFonts w:hint="eastAsia" w:ascii="黑体" w:hAnsi="黑体" w:eastAsia="黑体"/>
          <w:b/>
          <w:spacing w:val="-5"/>
          <w:sz w:val="36"/>
        </w:rPr>
      </w:pPr>
    </w:p>
    <w:p>
      <w:pPr>
        <w:jc w:val="center"/>
        <w:rPr>
          <w:rFonts w:hint="eastAsia" w:ascii="黑体" w:hAnsi="黑体" w:eastAsia="黑体"/>
          <w:b/>
          <w:spacing w:val="-5"/>
          <w:sz w:val="36"/>
        </w:rPr>
      </w:pPr>
    </w:p>
    <w:p>
      <w:pPr>
        <w:jc w:val="center"/>
        <w:rPr>
          <w:rFonts w:hint="eastAsia" w:ascii="黑体" w:hAnsi="黑体" w:eastAsia="黑体"/>
          <w:b/>
          <w:spacing w:val="-5"/>
          <w:sz w:val="36"/>
        </w:rPr>
      </w:pPr>
    </w:p>
    <w:p>
      <w:pPr>
        <w:jc w:val="center"/>
        <w:rPr>
          <w:rFonts w:hint="eastAsia" w:ascii="黑体" w:hAnsi="黑体" w:eastAsia="黑体"/>
          <w:b/>
          <w:spacing w:val="-5"/>
          <w:sz w:val="36"/>
        </w:rPr>
      </w:pPr>
    </w:p>
    <w:p>
      <w:pPr>
        <w:jc w:val="center"/>
        <w:rPr>
          <w:rFonts w:hint="eastAsia" w:ascii="黑体" w:hAnsi="黑体" w:eastAsia="黑体"/>
          <w:b/>
          <w:spacing w:val="-5"/>
          <w:sz w:val="36"/>
        </w:rPr>
      </w:pPr>
    </w:p>
    <w:p>
      <w:pPr>
        <w:jc w:val="center"/>
        <w:rPr>
          <w:rFonts w:hint="eastAsia" w:ascii="黑体" w:hAnsi="黑体" w:eastAsia="黑体"/>
          <w:b/>
          <w:spacing w:val="-5"/>
          <w:sz w:val="36"/>
        </w:rPr>
      </w:pPr>
    </w:p>
    <w:p>
      <w:pPr>
        <w:jc w:val="center"/>
        <w:rPr>
          <w:rFonts w:hint="eastAsia" w:ascii="黑体" w:hAnsi="黑体" w:eastAsia="黑体"/>
          <w:b/>
          <w:spacing w:val="-5"/>
          <w:sz w:val="36"/>
        </w:rPr>
      </w:pPr>
    </w:p>
    <w:p>
      <w:pPr>
        <w:jc w:val="center"/>
        <w:rPr>
          <w:rFonts w:hint="eastAsia" w:ascii="黑体" w:hAnsi="黑体" w:eastAsia="黑体"/>
          <w:b/>
          <w:spacing w:val="-5"/>
          <w:sz w:val="36"/>
        </w:rPr>
      </w:pPr>
    </w:p>
    <w:p>
      <w:pPr>
        <w:jc w:val="center"/>
        <w:rPr>
          <w:rFonts w:hint="eastAsia" w:ascii="黑体" w:hAnsi="黑体" w:eastAsia="黑体"/>
          <w:b/>
          <w:spacing w:val="-5"/>
          <w:sz w:val="36"/>
        </w:rPr>
      </w:pPr>
    </w:p>
    <w:p>
      <w:pPr>
        <w:jc w:val="center"/>
        <w:rPr>
          <w:rFonts w:hint="eastAsia" w:ascii="黑体" w:hAnsi="黑体" w:eastAsia="黑体"/>
          <w:b/>
          <w:spacing w:val="-5"/>
          <w:sz w:val="36"/>
        </w:rPr>
      </w:pPr>
    </w:p>
    <w:p>
      <w:pPr>
        <w:jc w:val="center"/>
        <w:rPr>
          <w:rFonts w:hint="eastAsia" w:ascii="黑体" w:hAnsi="黑体" w:eastAsia="黑体"/>
          <w:b/>
          <w:spacing w:val="-5"/>
          <w:sz w:val="36"/>
        </w:rPr>
      </w:pPr>
    </w:p>
    <w:p>
      <w:pPr>
        <w:jc w:val="center"/>
        <w:rPr>
          <w:rFonts w:hint="eastAsia" w:ascii="黑体" w:hAnsi="黑体" w:eastAsia="黑体"/>
          <w:b/>
          <w:spacing w:val="-5"/>
          <w:sz w:val="36"/>
        </w:rPr>
      </w:pPr>
    </w:p>
    <w:p>
      <w:pPr>
        <w:jc w:val="both"/>
        <w:rPr>
          <w:rFonts w:hint="eastAsia" w:ascii="黑体" w:hAnsi="黑体" w:eastAsia="黑体"/>
          <w:b/>
          <w:spacing w:val="-5"/>
          <w:sz w:val="36"/>
        </w:rPr>
      </w:pPr>
    </w:p>
    <w:p>
      <w:pPr>
        <w:jc w:val="both"/>
        <w:rPr>
          <w:rFonts w:hint="eastAsia" w:ascii="黑体" w:hAnsi="黑体" w:eastAsia="黑体"/>
          <w:b/>
          <w:spacing w:val="-5"/>
          <w:sz w:val="36"/>
        </w:rPr>
      </w:pPr>
    </w:p>
    <w:p>
      <w:pPr>
        <w:jc w:val="center"/>
        <w:rPr>
          <w:rFonts w:ascii="黑体" w:hAnsi="黑体" w:eastAsia="黑体"/>
          <w:b/>
          <w:spacing w:val="-5"/>
          <w:sz w:val="36"/>
        </w:rPr>
      </w:pPr>
      <w:r>
        <w:rPr>
          <w:rFonts w:hint="eastAsia" w:ascii="黑体" w:hAnsi="黑体" w:eastAsia="黑体"/>
          <w:b/>
          <w:spacing w:val="-5"/>
          <w:sz w:val="36"/>
        </w:rPr>
        <w:t>竞买申请书</w:t>
      </w:r>
    </w:p>
    <w:p>
      <w:pPr>
        <w:pStyle w:val="34"/>
        <w:spacing w:line="460" w:lineRule="exact"/>
        <w:ind w:left="0"/>
        <w:rPr>
          <w:rFonts w:ascii="宋体"/>
          <w:sz w:val="28"/>
          <w:szCs w:val="28"/>
        </w:rPr>
      </w:pPr>
    </w:p>
    <w:p>
      <w:pPr>
        <w:pStyle w:val="34"/>
        <w:spacing w:line="460" w:lineRule="exact"/>
        <w:ind w:left="0"/>
        <w:rPr>
          <w:rFonts w:ascii="仿宋_GB2312" w:hAnsi="宋体" w:eastAsia="仿宋_GB2312" w:cs="仿宋_GB2312"/>
          <w:w w:val="90"/>
          <w:sz w:val="32"/>
          <w:szCs w:val="32"/>
        </w:rPr>
      </w:pPr>
      <w:r>
        <w:rPr>
          <w:rFonts w:hint="eastAsia" w:ascii="仿宋_GB2312" w:hAnsi="宋体" w:eastAsia="仿宋_GB2312" w:cs="仿宋_GB2312"/>
          <w:bCs/>
          <w:w w:val="90"/>
          <w:sz w:val="32"/>
          <w:szCs w:val="32"/>
        </w:rPr>
        <w:t>达州市公共资源交易服务中心：</w:t>
      </w:r>
    </w:p>
    <w:p>
      <w:pPr>
        <w:pStyle w:val="34"/>
        <w:spacing w:line="420" w:lineRule="exact"/>
        <w:ind w:left="0" w:firstLine="640" w:firstLineChars="200"/>
        <w:rPr>
          <w:rFonts w:ascii="仿宋_GB2312" w:eastAsia="仿宋_GB2312"/>
          <w:sz w:val="32"/>
          <w:szCs w:val="32"/>
        </w:rPr>
      </w:pPr>
      <w:r>
        <w:rPr>
          <w:rFonts w:hint="eastAsia" w:ascii="仿宋_GB2312" w:hAnsi="宋体" w:eastAsia="仿宋_GB2312"/>
          <w:sz w:val="32"/>
          <w:szCs w:val="32"/>
        </w:rPr>
        <w:t>经认真阅读矿业权拍卖出让文件，并实地踏看拍卖出让矿业权现状，我方完全接受并愿意遵守你中心矿业权拍卖出让文件中的规定和要求，对所有文件及矿业权现状均无异议。</w:t>
      </w:r>
    </w:p>
    <w:p>
      <w:pPr>
        <w:pStyle w:val="34"/>
        <w:spacing w:line="420" w:lineRule="exact"/>
        <w:ind w:left="0" w:firstLine="480"/>
        <w:rPr>
          <w:rFonts w:ascii="仿宋_GB2312" w:eastAsia="仿宋_GB2312"/>
          <w:sz w:val="32"/>
          <w:szCs w:val="32"/>
        </w:rPr>
      </w:pPr>
      <w:r>
        <w:rPr>
          <w:rFonts w:hint="eastAsia" w:ascii="仿宋_GB2312" w:hAnsi="宋体" w:eastAsia="仿宋_GB2312"/>
          <w:sz w:val="32"/>
          <w:szCs w:val="32"/>
        </w:rPr>
        <w:t>我方正式申请参加你中心于</w:t>
      </w:r>
      <w:r>
        <w:rPr>
          <w:rFonts w:ascii="仿宋_GB2312" w:hAnsi="宋体" w:eastAsia="仿宋_GB2312"/>
          <w:sz w:val="32"/>
          <w:szCs w:val="32"/>
        </w:rPr>
        <w:t>2021</w:t>
      </w:r>
      <w:r>
        <w:rPr>
          <w:rFonts w:hint="eastAsia" w:ascii="仿宋_GB2312" w:hAnsi="宋体" w:eastAsia="仿宋_GB2312"/>
          <w:sz w:val="32"/>
          <w:szCs w:val="32"/>
        </w:rPr>
        <w:t>年</w:t>
      </w:r>
      <w:r>
        <w:rPr>
          <w:rFonts w:ascii="仿宋_GB2312" w:hAnsi="宋体" w:eastAsia="仿宋_GB2312"/>
          <w:sz w:val="32"/>
          <w:szCs w:val="32"/>
        </w:rPr>
        <w:t xml:space="preserve"> </w:t>
      </w:r>
      <w:r>
        <w:rPr>
          <w:rFonts w:hint="eastAsia" w:ascii="仿宋_GB2312" w:hAnsi="宋体" w:eastAsia="仿宋_GB2312"/>
          <w:sz w:val="32"/>
          <w:szCs w:val="32"/>
        </w:rPr>
        <w:t>月</w:t>
      </w:r>
      <w:r>
        <w:rPr>
          <w:rFonts w:ascii="仿宋_GB2312" w:hAnsi="宋体" w:eastAsia="仿宋_GB2312"/>
          <w:sz w:val="32"/>
          <w:szCs w:val="32"/>
        </w:rPr>
        <w:t xml:space="preserve">  </w:t>
      </w:r>
      <w:r>
        <w:rPr>
          <w:rFonts w:hint="eastAsia" w:ascii="仿宋_GB2312" w:hAnsi="宋体" w:eastAsia="仿宋_GB2312"/>
          <w:sz w:val="32"/>
          <w:szCs w:val="32"/>
        </w:rPr>
        <w:t>日</w:t>
      </w:r>
      <w:r>
        <w:rPr>
          <w:rFonts w:hint="eastAsia" w:ascii="仿宋_GB2312" w:eastAsia="仿宋_GB2312"/>
          <w:sz w:val="32"/>
          <w:szCs w:val="32"/>
        </w:rPr>
        <w:t>在</w:t>
      </w:r>
      <w:r>
        <w:rPr>
          <w:rFonts w:hint="eastAsia" w:ascii="仿宋_GB2312" w:hAnsi="宋体" w:eastAsia="仿宋_GB2312"/>
          <w:sz w:val="32"/>
          <w:szCs w:val="32"/>
        </w:rPr>
        <w:t>达州市公共资源交易中心举行的</w:t>
      </w:r>
      <w:r>
        <w:rPr>
          <w:rFonts w:hint="eastAsia" w:ascii="仿宋_GB2312" w:hAnsi="宋体" w:eastAsia="仿宋_GB2312"/>
          <w:sz w:val="32"/>
          <w:szCs w:val="32"/>
          <w:u w:val="single"/>
        </w:rPr>
        <w:t>达州市达川区石桥镇麻油沟村小儿坡页岩矿</w:t>
      </w:r>
      <w:r>
        <w:rPr>
          <w:rFonts w:hint="eastAsia" w:ascii="仿宋_GB2312" w:hAnsi="宋体" w:eastAsia="仿宋_GB2312"/>
          <w:sz w:val="32"/>
          <w:szCs w:val="32"/>
        </w:rPr>
        <w:t>拍卖活动。</w:t>
      </w:r>
    </w:p>
    <w:p>
      <w:pPr>
        <w:pStyle w:val="34"/>
        <w:spacing w:line="420" w:lineRule="exact"/>
        <w:ind w:left="0" w:firstLine="640" w:firstLineChars="200"/>
        <w:rPr>
          <w:rFonts w:ascii="仿宋_GB2312" w:eastAsia="仿宋_GB2312"/>
          <w:sz w:val="32"/>
          <w:szCs w:val="32"/>
        </w:rPr>
      </w:pPr>
      <w:r>
        <w:rPr>
          <w:rFonts w:hint="eastAsia" w:ascii="仿宋_GB2312" w:hAnsi="宋体" w:eastAsia="仿宋_GB2312"/>
          <w:sz w:val="32"/>
          <w:szCs w:val="32"/>
        </w:rPr>
        <w:t>若能竞得该矿业权，我方承诺：</w:t>
      </w:r>
    </w:p>
    <w:p>
      <w:pPr>
        <w:pStyle w:val="34"/>
        <w:spacing w:line="420" w:lineRule="exact"/>
        <w:ind w:left="0" w:firstLine="640" w:firstLineChars="200"/>
        <w:rPr>
          <w:rFonts w:ascii="仿宋_GB2312" w:eastAsia="仿宋_GB2312"/>
          <w:sz w:val="32"/>
          <w:szCs w:val="32"/>
        </w:rPr>
      </w:pPr>
      <w:r>
        <w:rPr>
          <w:rFonts w:hint="eastAsia" w:ascii="仿宋_GB2312" w:hAnsi="宋体" w:eastAsia="仿宋_GB2312"/>
          <w:sz w:val="32"/>
          <w:szCs w:val="32"/>
        </w:rPr>
        <w:t>（一）竞得矿业权后，签订《成交确认书》，并在规定的时间内签订《采矿权出让合同》，缴纳矿业权出让收益。</w:t>
      </w:r>
    </w:p>
    <w:p>
      <w:pPr>
        <w:pStyle w:val="34"/>
        <w:spacing w:line="420" w:lineRule="exact"/>
        <w:ind w:left="0" w:firstLine="480"/>
        <w:rPr>
          <w:rFonts w:ascii="仿宋_GB2312" w:eastAsia="仿宋_GB2312"/>
          <w:sz w:val="32"/>
          <w:szCs w:val="32"/>
        </w:rPr>
      </w:pPr>
      <w:r>
        <w:rPr>
          <w:rFonts w:hint="eastAsia" w:ascii="仿宋_GB2312" w:hAnsi="宋体" w:eastAsia="仿宋_GB2312"/>
          <w:sz w:val="32"/>
          <w:szCs w:val="32"/>
        </w:rPr>
        <w:t>（二）保证按照拍卖出让文件的规定和要求履行全部义务，如有违约行为，我方愿意承担全部法律责任，并赔偿由此产生的损失。</w:t>
      </w:r>
    </w:p>
    <w:p>
      <w:pPr>
        <w:pStyle w:val="34"/>
        <w:spacing w:line="420" w:lineRule="exact"/>
        <w:ind w:left="0" w:firstLine="480"/>
        <w:rPr>
          <w:rFonts w:ascii="仿宋_GB2312" w:eastAsia="仿宋_GB2312"/>
          <w:sz w:val="32"/>
          <w:szCs w:val="32"/>
        </w:rPr>
      </w:pPr>
      <w:r>
        <w:rPr>
          <w:rFonts w:hint="eastAsia" w:ascii="仿宋_GB2312" w:hAnsi="宋体" w:eastAsia="仿宋_GB2312"/>
          <w:sz w:val="32"/>
          <w:szCs w:val="32"/>
        </w:rPr>
        <w:t>（三）若我方不按拍卖出让文件要求签订《成交确认书》或《矿业权出让合同》，或不按《矿业权出让合同》的要求缴纳矿业权出让收益并达到合同解除条件的，承担相应的法律后果。</w:t>
      </w:r>
    </w:p>
    <w:p>
      <w:pPr>
        <w:pStyle w:val="34"/>
        <w:spacing w:line="420" w:lineRule="exact"/>
        <w:ind w:left="0" w:firstLine="643" w:firstLineChars="200"/>
        <w:rPr>
          <w:rFonts w:ascii="仿宋_GB2312" w:eastAsia="仿宋_GB2312"/>
          <w:sz w:val="32"/>
          <w:szCs w:val="32"/>
        </w:rPr>
      </w:pPr>
      <w:r>
        <w:rPr>
          <w:rFonts w:hint="eastAsia" w:ascii="仿宋_GB2312" w:hAnsi="宋体" w:eastAsia="仿宋_GB2312"/>
          <w:b/>
          <w:sz w:val="32"/>
          <w:szCs w:val="32"/>
        </w:rPr>
        <w:t>附：</w:t>
      </w:r>
      <w:r>
        <w:rPr>
          <w:rFonts w:ascii="仿宋_GB2312" w:hAnsi="宋体" w:eastAsia="仿宋_GB2312"/>
          <w:sz w:val="32"/>
          <w:szCs w:val="32"/>
        </w:rPr>
        <w:t>1.</w:t>
      </w:r>
      <w:r>
        <w:rPr>
          <w:rFonts w:hint="eastAsia" w:ascii="仿宋_GB2312" w:hAnsi="宋体" w:eastAsia="仿宋_GB2312"/>
          <w:sz w:val="32"/>
          <w:szCs w:val="32"/>
        </w:rPr>
        <w:t>统一社会信用代码复印件；</w:t>
      </w:r>
      <w:r>
        <w:rPr>
          <w:rFonts w:ascii="仿宋_GB2312" w:hAnsi="宋体" w:eastAsia="仿宋_GB2312"/>
          <w:sz w:val="32"/>
          <w:szCs w:val="32"/>
        </w:rPr>
        <w:t>2.</w:t>
      </w:r>
      <w:r>
        <w:rPr>
          <w:rFonts w:hint="eastAsia" w:ascii="仿宋_GB2312" w:hAnsi="宋体" w:eastAsia="仿宋_GB2312"/>
          <w:sz w:val="32"/>
          <w:szCs w:val="32"/>
        </w:rPr>
        <w:t>组织机构代码证复印件</w:t>
      </w:r>
      <w:r>
        <w:rPr>
          <w:rFonts w:ascii="仿宋_GB2312" w:hAnsi="宋体" w:eastAsia="仿宋_GB2312"/>
          <w:sz w:val="32"/>
          <w:szCs w:val="32"/>
        </w:rPr>
        <w:t>3.</w:t>
      </w:r>
      <w:r>
        <w:rPr>
          <w:rFonts w:hint="eastAsia" w:ascii="仿宋_GB2312" w:hAnsi="宋体" w:eastAsia="仿宋_GB2312"/>
          <w:sz w:val="32"/>
          <w:szCs w:val="32"/>
        </w:rPr>
        <w:t>法定代表人身份证明；</w:t>
      </w:r>
      <w:r>
        <w:rPr>
          <w:rFonts w:ascii="仿宋_GB2312" w:hAnsi="宋体" w:eastAsia="仿宋_GB2312"/>
          <w:sz w:val="32"/>
          <w:szCs w:val="32"/>
        </w:rPr>
        <w:t>4.</w:t>
      </w:r>
      <w:r>
        <w:rPr>
          <w:rFonts w:hint="eastAsia" w:ascii="仿宋_GB2312" w:hAnsi="宋体" w:eastAsia="仿宋_GB2312"/>
          <w:sz w:val="32"/>
          <w:szCs w:val="32"/>
        </w:rPr>
        <w:t>法定代表人身份证复印件；</w:t>
      </w:r>
      <w:r>
        <w:rPr>
          <w:rFonts w:ascii="仿宋_GB2312" w:hAnsi="宋体" w:eastAsia="仿宋_GB2312"/>
          <w:sz w:val="32"/>
          <w:szCs w:val="32"/>
        </w:rPr>
        <w:t>5.</w:t>
      </w:r>
      <w:r>
        <w:rPr>
          <w:rFonts w:hint="eastAsia" w:ascii="仿宋_GB2312" w:hAnsi="宋体" w:eastAsia="仿宋_GB2312"/>
          <w:sz w:val="32"/>
          <w:szCs w:val="32"/>
        </w:rPr>
        <w:t>授权委托书；</w:t>
      </w:r>
      <w:r>
        <w:rPr>
          <w:rFonts w:ascii="仿宋_GB2312" w:hAnsi="宋体" w:eastAsia="仿宋_GB2312"/>
          <w:sz w:val="32"/>
          <w:szCs w:val="32"/>
        </w:rPr>
        <w:t>6.</w:t>
      </w:r>
      <w:r>
        <w:rPr>
          <w:rFonts w:hint="eastAsia" w:ascii="仿宋_GB2312" w:hAnsi="宋体" w:eastAsia="仿宋_GB2312"/>
          <w:sz w:val="32"/>
          <w:szCs w:val="32"/>
        </w:rPr>
        <w:t>受托人身份证复印件；</w:t>
      </w:r>
      <w:r>
        <w:rPr>
          <w:rFonts w:ascii="仿宋_GB2312" w:hAnsi="宋体" w:eastAsia="仿宋_GB2312"/>
          <w:sz w:val="32"/>
          <w:szCs w:val="32"/>
        </w:rPr>
        <w:t>7.</w:t>
      </w:r>
      <w:r>
        <w:rPr>
          <w:rFonts w:hint="eastAsia" w:ascii="仿宋_GB2312" w:hAnsi="宋体" w:eastAsia="仿宋_GB2312"/>
          <w:sz w:val="32"/>
          <w:szCs w:val="32"/>
        </w:rPr>
        <w:t>其它应提供的依据等。</w:t>
      </w:r>
    </w:p>
    <w:p>
      <w:pPr>
        <w:pStyle w:val="34"/>
        <w:spacing w:line="420" w:lineRule="exact"/>
        <w:ind w:left="0" w:firstLine="480"/>
        <w:rPr>
          <w:rFonts w:ascii="仿宋_GB2312" w:hAnsi="宋体" w:eastAsia="仿宋_GB2312"/>
          <w:sz w:val="32"/>
          <w:szCs w:val="32"/>
        </w:rPr>
      </w:pPr>
      <w:r>
        <w:rPr>
          <w:rFonts w:hint="eastAsia" w:ascii="仿宋_GB2312" w:hAnsi="宋体" w:eastAsia="仿宋_GB2312"/>
          <w:sz w:val="32"/>
          <w:szCs w:val="32"/>
        </w:rPr>
        <w:t>竞买申请人（盖章）：</w:t>
      </w:r>
    </w:p>
    <w:p>
      <w:pPr>
        <w:pStyle w:val="34"/>
        <w:spacing w:line="420" w:lineRule="exact"/>
        <w:ind w:left="0" w:firstLine="480"/>
        <w:rPr>
          <w:rFonts w:ascii="仿宋_GB2312" w:hAnsi="宋体" w:eastAsia="仿宋_GB2312"/>
          <w:sz w:val="32"/>
          <w:szCs w:val="32"/>
        </w:rPr>
      </w:pPr>
      <w:r>
        <w:rPr>
          <w:rFonts w:hint="eastAsia" w:ascii="仿宋_GB2312" w:hAnsi="宋体" w:eastAsia="仿宋_GB2312"/>
          <w:sz w:val="32"/>
          <w:szCs w:val="32"/>
        </w:rPr>
        <w:t>法定代表人（本人签名）：</w:t>
      </w:r>
    </w:p>
    <w:p>
      <w:pPr>
        <w:pStyle w:val="34"/>
        <w:spacing w:line="420" w:lineRule="exact"/>
        <w:ind w:left="0" w:firstLine="480"/>
        <w:rPr>
          <w:rFonts w:ascii="仿宋_GB2312" w:hAnsi="宋体" w:eastAsia="仿宋_GB2312"/>
          <w:sz w:val="32"/>
          <w:szCs w:val="32"/>
        </w:rPr>
      </w:pPr>
      <w:r>
        <w:rPr>
          <w:rFonts w:hint="eastAsia" w:ascii="仿宋_GB2312" w:hAnsi="宋体" w:eastAsia="仿宋_GB2312"/>
          <w:sz w:val="32"/>
          <w:szCs w:val="32"/>
        </w:rPr>
        <w:t>联系人：</w:t>
      </w:r>
    </w:p>
    <w:p>
      <w:pPr>
        <w:pStyle w:val="34"/>
        <w:spacing w:line="420" w:lineRule="exact"/>
        <w:ind w:left="0" w:firstLine="480"/>
        <w:rPr>
          <w:rFonts w:ascii="仿宋_GB2312" w:hAnsi="宋体" w:eastAsia="仿宋_GB2312"/>
          <w:sz w:val="32"/>
          <w:szCs w:val="32"/>
        </w:rPr>
      </w:pPr>
      <w:r>
        <w:rPr>
          <w:rFonts w:hint="eastAsia" w:ascii="仿宋_GB2312" w:hAnsi="宋体" w:eastAsia="仿宋_GB2312"/>
          <w:sz w:val="32"/>
          <w:szCs w:val="32"/>
        </w:rPr>
        <w:t>地址：</w:t>
      </w:r>
    </w:p>
    <w:p>
      <w:pPr>
        <w:pStyle w:val="34"/>
        <w:spacing w:line="420" w:lineRule="exact"/>
        <w:ind w:left="0" w:firstLine="480"/>
        <w:rPr>
          <w:rFonts w:ascii="仿宋_GB2312" w:hAnsi="宋体" w:eastAsia="仿宋_GB2312"/>
          <w:sz w:val="32"/>
          <w:szCs w:val="32"/>
        </w:rPr>
      </w:pPr>
      <w:r>
        <w:rPr>
          <w:rFonts w:hint="eastAsia" w:ascii="仿宋_GB2312" w:hAnsi="宋体" w:eastAsia="仿宋_GB2312"/>
          <w:sz w:val="32"/>
          <w:szCs w:val="32"/>
        </w:rPr>
        <w:t>电话：</w:t>
      </w:r>
    </w:p>
    <w:p>
      <w:pPr>
        <w:pStyle w:val="34"/>
        <w:spacing w:line="420" w:lineRule="exact"/>
        <w:ind w:left="0" w:firstLine="480"/>
        <w:rPr>
          <w:rFonts w:ascii="仿宋_GB2312" w:eastAsia="仿宋_GB2312"/>
          <w:sz w:val="32"/>
          <w:szCs w:val="32"/>
        </w:rPr>
      </w:pPr>
      <w:r>
        <w:rPr>
          <w:rFonts w:hint="eastAsia" w:ascii="仿宋_GB2312" w:hAnsi="宋体" w:eastAsia="仿宋_GB2312"/>
          <w:sz w:val="32"/>
          <w:szCs w:val="32"/>
        </w:rPr>
        <w:t>申请日期：年</w:t>
      </w:r>
      <w:r>
        <w:rPr>
          <w:rFonts w:ascii="仿宋_GB2312" w:hAnsi="宋体" w:eastAsia="仿宋_GB2312"/>
          <w:sz w:val="32"/>
          <w:szCs w:val="32"/>
        </w:rPr>
        <w:t xml:space="preserve"> </w:t>
      </w:r>
      <w:r>
        <w:rPr>
          <w:rFonts w:hint="eastAsia" w:ascii="仿宋_GB2312" w:hAnsi="宋体" w:eastAsia="仿宋_GB2312"/>
          <w:sz w:val="32"/>
          <w:szCs w:val="32"/>
        </w:rPr>
        <w:t>月</w:t>
      </w:r>
      <w:r>
        <w:rPr>
          <w:rFonts w:ascii="仿宋_GB2312" w:hAnsi="宋体" w:eastAsia="仿宋_GB2312"/>
          <w:sz w:val="32"/>
          <w:szCs w:val="32"/>
        </w:rPr>
        <w:t xml:space="preserve"> </w:t>
      </w:r>
      <w:r>
        <w:rPr>
          <w:rFonts w:hint="eastAsia" w:ascii="仿宋_GB2312" w:hAnsi="宋体" w:eastAsia="仿宋_GB2312"/>
          <w:sz w:val="32"/>
          <w:szCs w:val="32"/>
        </w:rPr>
        <w:t>日</w:t>
      </w:r>
    </w:p>
    <w:p>
      <w:pPr>
        <w:pStyle w:val="34"/>
        <w:spacing w:line="420" w:lineRule="exact"/>
        <w:ind w:left="0" w:firstLine="480"/>
        <w:rPr>
          <w:rFonts w:ascii="仿宋_GB2312" w:eastAsia="仿宋_GB2312"/>
          <w:sz w:val="32"/>
          <w:szCs w:val="32"/>
        </w:rPr>
      </w:pPr>
      <w:r>
        <w:rPr>
          <w:rFonts w:hint="eastAsia" w:ascii="宋体" w:hAnsi="宋体"/>
          <w:b/>
          <w:sz w:val="24"/>
          <w:szCs w:val="24"/>
        </w:rPr>
        <w:t>（参与竞买的，竞买时须带上公章）</w:t>
      </w:r>
    </w:p>
    <w:p>
      <w:pPr>
        <w:spacing w:line="578" w:lineRule="exact"/>
        <w:jc w:val="center"/>
        <w:rPr>
          <w:rFonts w:ascii="方正小标宋简体" w:eastAsia="方正小标宋简体"/>
          <w:spacing w:val="-5"/>
          <w:sz w:val="44"/>
          <w:szCs w:val="44"/>
        </w:rPr>
      </w:pPr>
    </w:p>
    <w:p>
      <w:pPr>
        <w:spacing w:line="578" w:lineRule="exact"/>
        <w:jc w:val="center"/>
        <w:rPr>
          <w:rFonts w:ascii="方正小标宋简体" w:eastAsia="方正小标宋简体"/>
          <w:spacing w:val="-5"/>
          <w:sz w:val="44"/>
          <w:szCs w:val="44"/>
        </w:rPr>
      </w:pPr>
    </w:p>
    <w:p>
      <w:pPr>
        <w:spacing w:line="578" w:lineRule="exact"/>
        <w:jc w:val="center"/>
        <w:rPr>
          <w:rFonts w:eastAsia="仿宋_GB2312"/>
          <w:w w:val="90"/>
          <w:sz w:val="32"/>
          <w:szCs w:val="32"/>
        </w:rPr>
      </w:pPr>
      <w:r>
        <w:rPr>
          <w:rFonts w:hint="eastAsia" w:ascii="方正小标宋简体" w:eastAsia="方正小标宋简体"/>
          <w:spacing w:val="-5"/>
          <w:sz w:val="44"/>
          <w:szCs w:val="44"/>
        </w:rPr>
        <w:t>法定代表人身份证明书</w:t>
      </w:r>
    </w:p>
    <w:p>
      <w:pPr>
        <w:pStyle w:val="34"/>
        <w:spacing w:line="578" w:lineRule="exact"/>
        <w:ind w:left="0"/>
        <w:jc w:val="left"/>
        <w:rPr>
          <w:rFonts w:eastAsia="仿宋_GB2312"/>
          <w:sz w:val="32"/>
          <w:szCs w:val="32"/>
        </w:rPr>
      </w:pPr>
    </w:p>
    <w:p>
      <w:pPr>
        <w:pStyle w:val="34"/>
        <w:spacing w:line="578" w:lineRule="exact"/>
        <w:ind w:left="0"/>
        <w:jc w:val="left"/>
        <w:rPr>
          <w:rFonts w:eastAsia="仿宋_GB2312"/>
          <w:sz w:val="32"/>
          <w:szCs w:val="32"/>
        </w:rPr>
      </w:pPr>
    </w:p>
    <w:p>
      <w:pPr>
        <w:pStyle w:val="34"/>
        <w:spacing w:line="578" w:lineRule="exact"/>
        <w:ind w:left="0"/>
        <w:jc w:val="left"/>
        <w:rPr>
          <w:rFonts w:eastAsia="仿宋_GB2312"/>
          <w:sz w:val="32"/>
          <w:szCs w:val="32"/>
        </w:rPr>
      </w:pPr>
      <w:r>
        <w:rPr>
          <w:rFonts w:hint="eastAsia" w:hAnsi="仿宋_GB2312" w:eastAsia="仿宋_GB2312"/>
          <w:sz w:val="32"/>
          <w:szCs w:val="32"/>
        </w:rPr>
        <w:t>达州市公共资源交易服务中心：</w:t>
      </w:r>
    </w:p>
    <w:p>
      <w:pPr>
        <w:pStyle w:val="34"/>
        <w:spacing w:line="578" w:lineRule="exact"/>
        <w:ind w:firstLine="960" w:firstLineChars="300"/>
        <w:jc w:val="left"/>
        <w:rPr>
          <w:rFonts w:eastAsia="仿宋_GB2312"/>
          <w:sz w:val="32"/>
          <w:szCs w:val="32"/>
        </w:rPr>
      </w:pPr>
      <w:r>
        <w:rPr>
          <w:rFonts w:hint="eastAsia" w:hAnsi="仿宋_GB2312" w:eastAsia="仿宋_GB2312"/>
          <w:sz w:val="32"/>
          <w:szCs w:val="32"/>
        </w:rPr>
        <w:t>同志在我单位任职务，系我单位法定代表人，特此证明。</w:t>
      </w:r>
    </w:p>
    <w:p>
      <w:pPr>
        <w:pStyle w:val="34"/>
        <w:spacing w:line="578" w:lineRule="exact"/>
        <w:ind w:firstLine="960" w:firstLineChars="300"/>
        <w:jc w:val="left"/>
        <w:rPr>
          <w:rFonts w:eastAsia="仿宋_GB2312"/>
          <w:sz w:val="32"/>
          <w:szCs w:val="32"/>
        </w:rPr>
      </w:pPr>
    </w:p>
    <w:p>
      <w:pPr>
        <w:pStyle w:val="34"/>
        <w:spacing w:line="578" w:lineRule="exact"/>
        <w:ind w:firstLine="960" w:firstLineChars="300"/>
        <w:jc w:val="left"/>
        <w:rPr>
          <w:rFonts w:eastAsia="仿宋_GB2312"/>
          <w:sz w:val="32"/>
          <w:szCs w:val="32"/>
        </w:rPr>
      </w:pPr>
    </w:p>
    <w:p>
      <w:pPr>
        <w:pStyle w:val="34"/>
        <w:spacing w:line="578" w:lineRule="exact"/>
        <w:ind w:right="640" w:firstLine="960" w:firstLineChars="300"/>
        <w:jc w:val="right"/>
        <w:rPr>
          <w:rFonts w:eastAsia="仿宋_GB2312"/>
          <w:sz w:val="32"/>
          <w:szCs w:val="32"/>
        </w:rPr>
      </w:pPr>
      <w:r>
        <w:rPr>
          <w:rFonts w:hint="eastAsia" w:hAnsi="仿宋_GB2312" w:eastAsia="仿宋_GB2312"/>
          <w:sz w:val="32"/>
          <w:szCs w:val="32"/>
        </w:rPr>
        <w:t>年</w:t>
      </w:r>
      <w:r>
        <w:rPr>
          <w:rFonts w:hAnsi="仿宋_GB2312" w:eastAsia="仿宋_GB2312"/>
          <w:sz w:val="32"/>
          <w:szCs w:val="32"/>
        </w:rPr>
        <w:t xml:space="preserve"> </w:t>
      </w:r>
      <w:r>
        <w:rPr>
          <w:rFonts w:hint="eastAsia" w:hAnsi="仿宋_GB2312" w:eastAsia="仿宋_GB2312"/>
          <w:sz w:val="32"/>
          <w:szCs w:val="32"/>
        </w:rPr>
        <w:t>月</w:t>
      </w:r>
      <w:r>
        <w:rPr>
          <w:rFonts w:hAnsi="仿宋_GB2312" w:eastAsia="仿宋_GB2312"/>
          <w:sz w:val="32"/>
          <w:szCs w:val="32"/>
        </w:rPr>
        <w:t xml:space="preserve"> </w:t>
      </w:r>
      <w:r>
        <w:rPr>
          <w:rFonts w:hint="eastAsia" w:hAnsi="仿宋_GB2312" w:eastAsia="仿宋_GB2312"/>
          <w:sz w:val="32"/>
          <w:szCs w:val="32"/>
        </w:rPr>
        <w:t>日</w:t>
      </w:r>
    </w:p>
    <w:p>
      <w:pPr>
        <w:pStyle w:val="34"/>
        <w:spacing w:line="578" w:lineRule="exact"/>
        <w:jc w:val="center"/>
        <w:rPr>
          <w:rFonts w:eastAsia="仿宋_GB2312"/>
          <w:sz w:val="32"/>
          <w:szCs w:val="32"/>
        </w:rPr>
      </w:pPr>
    </w:p>
    <w:p>
      <w:pPr>
        <w:pStyle w:val="34"/>
        <w:spacing w:line="578" w:lineRule="exact"/>
        <w:jc w:val="center"/>
        <w:rPr>
          <w:rFonts w:eastAsia="仿宋_GB2312"/>
          <w:sz w:val="32"/>
          <w:szCs w:val="32"/>
        </w:rPr>
      </w:pPr>
    </w:p>
    <w:p>
      <w:pPr>
        <w:pStyle w:val="34"/>
        <w:spacing w:line="578" w:lineRule="exact"/>
        <w:jc w:val="center"/>
        <w:rPr>
          <w:rFonts w:eastAsia="仿宋_GB2312"/>
          <w:sz w:val="32"/>
          <w:szCs w:val="32"/>
        </w:rPr>
      </w:pPr>
    </w:p>
    <w:p>
      <w:pPr>
        <w:pStyle w:val="34"/>
        <w:spacing w:line="578" w:lineRule="exact"/>
        <w:jc w:val="center"/>
        <w:rPr>
          <w:rFonts w:eastAsia="仿宋_GB2312"/>
          <w:sz w:val="32"/>
          <w:szCs w:val="32"/>
        </w:rPr>
      </w:pPr>
    </w:p>
    <w:p>
      <w:pPr>
        <w:pStyle w:val="34"/>
        <w:spacing w:line="578" w:lineRule="exact"/>
        <w:ind w:left="0"/>
        <w:jc w:val="left"/>
        <w:rPr>
          <w:rFonts w:eastAsia="仿宋_GB2312"/>
          <w:sz w:val="32"/>
          <w:szCs w:val="32"/>
        </w:rPr>
      </w:pPr>
    </w:p>
    <w:p>
      <w:pPr>
        <w:pStyle w:val="34"/>
        <w:spacing w:line="578" w:lineRule="exact"/>
        <w:ind w:left="0"/>
        <w:jc w:val="left"/>
        <w:rPr>
          <w:rFonts w:eastAsia="仿宋_GB2312"/>
          <w:sz w:val="32"/>
          <w:szCs w:val="32"/>
        </w:rPr>
      </w:pPr>
    </w:p>
    <w:p>
      <w:pPr>
        <w:pStyle w:val="34"/>
        <w:spacing w:line="578" w:lineRule="exact"/>
        <w:jc w:val="left"/>
        <w:rPr>
          <w:rFonts w:eastAsia="仿宋_GB2312"/>
          <w:sz w:val="32"/>
          <w:szCs w:val="32"/>
        </w:rPr>
      </w:pPr>
      <w:r>
        <w:rPr>
          <w:rFonts w:hint="eastAsia" w:eastAsia="仿宋_GB2312"/>
          <w:sz w:val="32"/>
          <w:szCs w:val="32"/>
        </w:rPr>
        <w:t>附注：</w:t>
      </w:r>
    </w:p>
    <w:p>
      <w:pPr>
        <w:pStyle w:val="34"/>
        <w:spacing w:line="578" w:lineRule="exact"/>
        <w:ind w:firstLine="640" w:firstLineChars="200"/>
        <w:jc w:val="left"/>
        <w:rPr>
          <w:rFonts w:eastAsia="仿宋_GB2312"/>
          <w:sz w:val="32"/>
          <w:szCs w:val="32"/>
        </w:rPr>
      </w:pPr>
      <w:r>
        <w:rPr>
          <w:rFonts w:hint="eastAsia" w:ascii="仿宋_GB2312" w:eastAsia="仿宋_GB2312"/>
          <w:sz w:val="32"/>
          <w:szCs w:val="32"/>
        </w:rPr>
        <w:t>①</w:t>
      </w:r>
      <w:r>
        <w:rPr>
          <w:rFonts w:hint="eastAsia" w:eastAsia="仿宋_GB2312"/>
          <w:sz w:val="32"/>
          <w:szCs w:val="32"/>
        </w:rPr>
        <w:t>企事业单位、机关、团体的主要负责人为本单位的法定代表人；</w:t>
      </w:r>
    </w:p>
    <w:p>
      <w:pPr>
        <w:pStyle w:val="34"/>
        <w:spacing w:line="578" w:lineRule="exact"/>
        <w:ind w:firstLine="570"/>
        <w:jc w:val="left"/>
        <w:rPr>
          <w:rFonts w:eastAsia="仿宋_GB2312"/>
          <w:sz w:val="32"/>
          <w:szCs w:val="32"/>
        </w:rPr>
      </w:pPr>
      <w:r>
        <w:rPr>
          <w:rFonts w:hint="eastAsia" w:ascii="仿宋_GB2312" w:eastAsia="仿宋_GB2312"/>
          <w:sz w:val="32"/>
          <w:szCs w:val="32"/>
        </w:rPr>
        <w:t>②</w:t>
      </w:r>
      <w:r>
        <w:rPr>
          <w:rFonts w:hint="eastAsia" w:eastAsia="仿宋_GB2312"/>
          <w:sz w:val="32"/>
          <w:szCs w:val="32"/>
        </w:rPr>
        <w:t>法定代表人办公地点：</w:t>
      </w:r>
    </w:p>
    <w:p>
      <w:pPr>
        <w:pStyle w:val="34"/>
        <w:spacing w:line="578" w:lineRule="exact"/>
        <w:ind w:firstLine="570"/>
        <w:jc w:val="left"/>
        <w:rPr>
          <w:rFonts w:eastAsia="仿宋_GB2312"/>
          <w:sz w:val="32"/>
          <w:szCs w:val="32"/>
        </w:rPr>
      </w:pPr>
      <w:r>
        <w:rPr>
          <w:rFonts w:hint="eastAsia" w:ascii="仿宋_GB2312" w:eastAsia="仿宋_GB2312"/>
          <w:sz w:val="32"/>
          <w:szCs w:val="32"/>
        </w:rPr>
        <w:t>③</w:t>
      </w:r>
      <w:r>
        <w:rPr>
          <w:rFonts w:hint="eastAsia" w:eastAsia="仿宋_GB2312"/>
          <w:sz w:val="32"/>
          <w:szCs w:val="32"/>
        </w:rPr>
        <w:t>法定代表人身份证号码：</w:t>
      </w:r>
    </w:p>
    <w:p>
      <w:pPr>
        <w:pStyle w:val="34"/>
        <w:spacing w:line="578" w:lineRule="exact"/>
        <w:ind w:firstLine="480" w:firstLineChars="150"/>
        <w:jc w:val="left"/>
        <w:rPr>
          <w:rFonts w:eastAsia="仿宋_GB2312"/>
          <w:sz w:val="32"/>
          <w:szCs w:val="32"/>
        </w:rPr>
      </w:pPr>
      <w:r>
        <w:rPr>
          <w:rFonts w:hint="eastAsia" w:ascii="宋体" w:hAnsi="宋体" w:cs="宋体"/>
          <w:sz w:val="32"/>
          <w:szCs w:val="32"/>
        </w:rPr>
        <w:t>④</w:t>
      </w:r>
      <w:r>
        <w:rPr>
          <w:rFonts w:hint="eastAsia" w:eastAsia="仿宋_GB2312"/>
          <w:sz w:val="32"/>
          <w:szCs w:val="32"/>
        </w:rPr>
        <w:t>法定代表人联系电话：</w:t>
      </w:r>
    </w:p>
    <w:p>
      <w:pPr>
        <w:pStyle w:val="34"/>
        <w:spacing w:line="578" w:lineRule="exact"/>
        <w:ind w:left="0"/>
        <w:jc w:val="left"/>
        <w:rPr>
          <w:rFonts w:eastAsia="仿宋_GB2312"/>
          <w:sz w:val="32"/>
          <w:szCs w:val="32"/>
        </w:rPr>
      </w:pPr>
    </w:p>
    <w:p>
      <w:pPr>
        <w:spacing w:line="492" w:lineRule="atLeast"/>
        <w:jc w:val="center"/>
        <w:rPr>
          <w:rFonts w:ascii="黑体" w:hAnsi="黑体" w:eastAsia="黑体"/>
          <w:b/>
          <w:spacing w:val="-5"/>
          <w:sz w:val="36"/>
        </w:rPr>
      </w:pPr>
      <w:r>
        <w:rPr>
          <w:rFonts w:ascii="Dotum" w:eastAsia="Dotum" w:cs="Dotum"/>
          <w:spacing w:val="-5"/>
          <w:sz w:val="44"/>
          <w:szCs w:val="44"/>
        </w:rPr>
        <w:br w:type="page"/>
      </w:r>
      <w:r>
        <w:rPr>
          <w:rFonts w:hint="eastAsia" w:ascii="黑体" w:hAnsi="黑体" w:eastAsia="黑体"/>
          <w:b/>
          <w:spacing w:val="-5"/>
          <w:sz w:val="36"/>
        </w:rPr>
        <w:t>授</w:t>
      </w:r>
      <w:r>
        <w:rPr>
          <w:rFonts w:ascii="黑体" w:hAnsi="黑体" w:eastAsia="黑体"/>
          <w:b/>
          <w:spacing w:val="-5"/>
          <w:sz w:val="36"/>
        </w:rPr>
        <w:t xml:space="preserve"> </w:t>
      </w:r>
      <w:r>
        <w:rPr>
          <w:rFonts w:hint="eastAsia" w:ascii="黑体" w:hAnsi="黑体" w:eastAsia="黑体"/>
          <w:b/>
          <w:spacing w:val="-5"/>
          <w:sz w:val="36"/>
        </w:rPr>
        <w:t>权</w:t>
      </w:r>
      <w:r>
        <w:rPr>
          <w:rFonts w:ascii="黑体" w:hAnsi="黑体" w:eastAsia="黑体"/>
          <w:b/>
          <w:spacing w:val="-5"/>
          <w:sz w:val="36"/>
        </w:rPr>
        <w:t xml:space="preserve"> </w:t>
      </w:r>
      <w:r>
        <w:rPr>
          <w:rFonts w:hint="eastAsia" w:ascii="黑体" w:hAnsi="黑体" w:eastAsia="黑体"/>
          <w:b/>
          <w:spacing w:val="-5"/>
          <w:sz w:val="36"/>
        </w:rPr>
        <w:t>委</w:t>
      </w:r>
      <w:r>
        <w:rPr>
          <w:rFonts w:ascii="黑体" w:hAnsi="黑体" w:eastAsia="黑体"/>
          <w:b/>
          <w:spacing w:val="-5"/>
          <w:sz w:val="36"/>
        </w:rPr>
        <w:t xml:space="preserve"> </w:t>
      </w:r>
      <w:r>
        <w:rPr>
          <w:rFonts w:hint="eastAsia" w:ascii="黑体" w:hAnsi="黑体" w:eastAsia="黑体"/>
          <w:b/>
          <w:spacing w:val="-5"/>
          <w:sz w:val="36"/>
        </w:rPr>
        <w:t>托</w:t>
      </w:r>
      <w:r>
        <w:rPr>
          <w:rFonts w:ascii="黑体" w:hAnsi="黑体" w:eastAsia="黑体"/>
          <w:b/>
          <w:spacing w:val="-5"/>
          <w:sz w:val="36"/>
        </w:rPr>
        <w:t xml:space="preserve"> </w:t>
      </w:r>
      <w:r>
        <w:rPr>
          <w:rFonts w:hint="eastAsia" w:ascii="黑体" w:hAnsi="黑体" w:eastAsia="黑体"/>
          <w:b/>
          <w:spacing w:val="-5"/>
          <w:sz w:val="36"/>
        </w:rPr>
        <w:t>书</w:t>
      </w:r>
    </w:p>
    <w:tbl>
      <w:tblPr>
        <w:tblStyle w:val="18"/>
        <w:tblW w:w="9080" w:type="dxa"/>
        <w:tblInd w:w="108" w:type="dxa"/>
        <w:tblLayout w:type="fixed"/>
        <w:tblCellMar>
          <w:top w:w="0" w:type="dxa"/>
          <w:left w:w="0" w:type="dxa"/>
          <w:bottom w:w="0" w:type="dxa"/>
          <w:right w:w="0" w:type="dxa"/>
        </w:tblCellMar>
      </w:tblPr>
      <w:tblGrid>
        <w:gridCol w:w="1573"/>
        <w:gridCol w:w="2973"/>
        <w:gridCol w:w="1566"/>
        <w:gridCol w:w="2968"/>
      </w:tblGrid>
      <w:tr>
        <w:tblPrEx>
          <w:tblCellMar>
            <w:top w:w="0" w:type="dxa"/>
            <w:left w:w="0" w:type="dxa"/>
            <w:bottom w:w="0" w:type="dxa"/>
            <w:right w:w="0" w:type="dxa"/>
          </w:tblCellMar>
        </w:tblPrEx>
        <w:trPr>
          <w:trHeight w:val="334" w:hRule="atLeast"/>
        </w:trPr>
        <w:tc>
          <w:tcPr>
            <w:tcW w:w="4546" w:type="dxa"/>
            <w:gridSpan w:val="2"/>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r>
              <w:rPr>
                <w:rFonts w:hint="eastAsia" w:ascii="仿宋_GB2312" w:eastAsia="仿宋_GB2312"/>
                <w:color w:val="000000"/>
                <w:kern w:val="0"/>
                <w:sz w:val="24"/>
              </w:rPr>
              <w:t>委托人</w:t>
            </w:r>
          </w:p>
        </w:tc>
        <w:tc>
          <w:tcPr>
            <w:tcW w:w="4534" w:type="dxa"/>
            <w:gridSpan w:val="2"/>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r>
              <w:rPr>
                <w:rFonts w:hint="eastAsia" w:ascii="仿宋_GB2312" w:eastAsia="仿宋_GB2312"/>
                <w:color w:val="000000"/>
                <w:kern w:val="0"/>
                <w:sz w:val="24"/>
              </w:rPr>
              <w:t>受托人</w:t>
            </w:r>
          </w:p>
        </w:tc>
      </w:tr>
      <w:tr>
        <w:tblPrEx>
          <w:tblCellMar>
            <w:top w:w="0" w:type="dxa"/>
            <w:left w:w="0" w:type="dxa"/>
            <w:bottom w:w="0" w:type="dxa"/>
            <w:right w:w="0" w:type="dxa"/>
          </w:tblCellMar>
        </w:tblPrEx>
        <w:trPr>
          <w:trHeight w:val="555"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r>
              <w:rPr>
                <w:rFonts w:hint="eastAsia" w:ascii="仿宋_GB2312" w:eastAsia="仿宋_GB2312"/>
                <w:color w:val="000000"/>
                <w:kern w:val="0"/>
                <w:sz w:val="24"/>
              </w:rPr>
              <w:t>姓名</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p>
        </w:tc>
        <w:tc>
          <w:tcPr>
            <w:tcW w:w="1566"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r>
              <w:rPr>
                <w:rFonts w:hint="eastAsia" w:ascii="仿宋_GB2312" w:eastAsia="仿宋_GB2312"/>
                <w:color w:val="000000"/>
                <w:kern w:val="0"/>
                <w:sz w:val="24"/>
              </w:rPr>
              <w:t>姓名</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p>
        </w:tc>
      </w:tr>
      <w:tr>
        <w:tblPrEx>
          <w:tblCellMar>
            <w:top w:w="0" w:type="dxa"/>
            <w:left w:w="0" w:type="dxa"/>
            <w:bottom w:w="0" w:type="dxa"/>
            <w:right w:w="0" w:type="dxa"/>
          </w:tblCellMar>
        </w:tblPrEx>
        <w:trPr>
          <w:trHeight w:val="537"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r>
              <w:rPr>
                <w:rFonts w:hint="eastAsia" w:ascii="仿宋_GB2312" w:eastAsia="仿宋_GB2312"/>
                <w:color w:val="000000"/>
                <w:kern w:val="0"/>
                <w:sz w:val="24"/>
              </w:rPr>
              <w:t>性别</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p>
        </w:tc>
        <w:tc>
          <w:tcPr>
            <w:tcW w:w="1566"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r>
              <w:rPr>
                <w:rFonts w:hint="eastAsia" w:ascii="仿宋_GB2312" w:eastAsia="仿宋_GB2312"/>
                <w:color w:val="000000"/>
                <w:kern w:val="0"/>
                <w:sz w:val="24"/>
              </w:rPr>
              <w:t>性别</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p>
        </w:tc>
      </w:tr>
      <w:tr>
        <w:tblPrEx>
          <w:tblCellMar>
            <w:top w:w="0" w:type="dxa"/>
            <w:left w:w="0" w:type="dxa"/>
            <w:bottom w:w="0" w:type="dxa"/>
            <w:right w:w="0" w:type="dxa"/>
          </w:tblCellMar>
        </w:tblPrEx>
        <w:trPr>
          <w:trHeight w:val="542"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r>
              <w:rPr>
                <w:rFonts w:hint="eastAsia" w:ascii="仿宋_GB2312" w:eastAsia="仿宋_GB2312"/>
                <w:color w:val="000000"/>
                <w:kern w:val="0"/>
                <w:sz w:val="24"/>
              </w:rPr>
              <w:t>出生日期</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p>
        </w:tc>
        <w:tc>
          <w:tcPr>
            <w:tcW w:w="1566"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r>
              <w:rPr>
                <w:rFonts w:hint="eastAsia" w:ascii="仿宋_GB2312" w:eastAsia="仿宋_GB2312"/>
                <w:color w:val="000000"/>
                <w:kern w:val="0"/>
                <w:sz w:val="24"/>
              </w:rPr>
              <w:t>出生日期</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p>
        </w:tc>
      </w:tr>
      <w:tr>
        <w:tblPrEx>
          <w:tblCellMar>
            <w:top w:w="0" w:type="dxa"/>
            <w:left w:w="0" w:type="dxa"/>
            <w:bottom w:w="0" w:type="dxa"/>
            <w:right w:w="0" w:type="dxa"/>
          </w:tblCellMar>
        </w:tblPrEx>
        <w:trPr>
          <w:trHeight w:val="527"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r>
              <w:rPr>
                <w:rFonts w:hint="eastAsia" w:ascii="仿宋_GB2312" w:eastAsia="仿宋_GB2312"/>
                <w:color w:val="000000"/>
                <w:kern w:val="0"/>
                <w:sz w:val="24"/>
              </w:rPr>
              <w:t>工作单位</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p>
        </w:tc>
        <w:tc>
          <w:tcPr>
            <w:tcW w:w="1566"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r>
              <w:rPr>
                <w:rFonts w:hint="eastAsia" w:ascii="仿宋_GB2312" w:eastAsia="仿宋_GB2312"/>
                <w:color w:val="000000"/>
                <w:kern w:val="0"/>
                <w:sz w:val="24"/>
              </w:rPr>
              <w:t>工作单位</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p>
        </w:tc>
      </w:tr>
      <w:tr>
        <w:tblPrEx>
          <w:tblCellMar>
            <w:top w:w="0" w:type="dxa"/>
            <w:left w:w="0" w:type="dxa"/>
            <w:bottom w:w="0" w:type="dxa"/>
            <w:right w:w="0" w:type="dxa"/>
          </w:tblCellMar>
        </w:tblPrEx>
        <w:trPr>
          <w:trHeight w:val="538"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r>
              <w:rPr>
                <w:rFonts w:hint="eastAsia" w:ascii="仿宋_GB2312" w:eastAsia="仿宋_GB2312"/>
                <w:color w:val="000000"/>
                <w:kern w:val="0"/>
                <w:sz w:val="24"/>
              </w:rPr>
              <w:t>职务</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p>
        </w:tc>
        <w:tc>
          <w:tcPr>
            <w:tcW w:w="1566"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r>
              <w:rPr>
                <w:rFonts w:hint="eastAsia" w:ascii="仿宋_GB2312" w:eastAsia="仿宋_GB2312"/>
                <w:color w:val="000000"/>
                <w:kern w:val="0"/>
                <w:sz w:val="24"/>
              </w:rPr>
              <w:t>职务</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p>
        </w:tc>
      </w:tr>
      <w:tr>
        <w:tblPrEx>
          <w:tblCellMar>
            <w:top w:w="0" w:type="dxa"/>
            <w:left w:w="0" w:type="dxa"/>
            <w:bottom w:w="0" w:type="dxa"/>
            <w:right w:w="0" w:type="dxa"/>
          </w:tblCellMar>
        </w:tblPrEx>
        <w:trPr>
          <w:trHeight w:val="520" w:hRule="atLeast"/>
        </w:trPr>
        <w:tc>
          <w:tcPr>
            <w:tcW w:w="1573" w:type="dxa"/>
            <w:vMerge w:val="restart"/>
            <w:tcBorders>
              <w:top w:val="nil"/>
              <w:left w:val="single" w:color="000000" w:sz="12" w:space="0"/>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r>
              <w:rPr>
                <w:rFonts w:hint="eastAsia" w:ascii="仿宋_GB2312" w:eastAsia="仿宋_GB2312"/>
                <w:color w:val="000000"/>
                <w:kern w:val="0"/>
                <w:sz w:val="24"/>
              </w:rPr>
              <w:t>证件号码</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r>
              <w:rPr>
                <w:rFonts w:hint="eastAsia" w:ascii="仿宋_GB2312" w:eastAsia="仿宋_GB2312"/>
                <w:color w:val="000000"/>
                <w:kern w:val="0"/>
                <w:sz w:val="24"/>
              </w:rPr>
              <w:t>身份证（）护照（）</w:t>
            </w:r>
          </w:p>
        </w:tc>
        <w:tc>
          <w:tcPr>
            <w:tcW w:w="1566" w:type="dxa"/>
            <w:vMerge w:val="restart"/>
            <w:tcBorders>
              <w:top w:val="nil"/>
              <w:left w:val="nil"/>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r>
              <w:rPr>
                <w:rFonts w:hint="eastAsia" w:ascii="仿宋_GB2312" w:eastAsia="仿宋_GB2312"/>
                <w:color w:val="000000"/>
                <w:kern w:val="0"/>
                <w:sz w:val="24"/>
              </w:rPr>
              <w:t>证件号码</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r>
              <w:rPr>
                <w:rFonts w:hint="eastAsia" w:ascii="仿宋_GB2312" w:eastAsia="仿宋_GB2312"/>
                <w:color w:val="000000"/>
                <w:kern w:val="0"/>
                <w:sz w:val="24"/>
              </w:rPr>
              <w:t>身份证（）护照（）</w:t>
            </w:r>
          </w:p>
        </w:tc>
      </w:tr>
      <w:tr>
        <w:tblPrEx>
          <w:tblCellMar>
            <w:top w:w="0" w:type="dxa"/>
            <w:left w:w="0" w:type="dxa"/>
            <w:bottom w:w="0" w:type="dxa"/>
            <w:right w:w="0" w:type="dxa"/>
          </w:tblCellMar>
        </w:tblPrEx>
        <w:trPr>
          <w:trHeight w:val="44" w:hRule="atLeast"/>
        </w:trPr>
        <w:tc>
          <w:tcPr>
            <w:tcW w:w="1573" w:type="dxa"/>
            <w:vMerge w:val="continue"/>
            <w:tcBorders>
              <w:top w:val="nil"/>
              <w:left w:val="single" w:color="000000" w:sz="12" w:space="0"/>
              <w:bottom w:val="single" w:color="000000" w:sz="12" w:space="0"/>
              <w:right w:val="single" w:color="000000" w:sz="12" w:space="0"/>
            </w:tcBorders>
            <w:vAlign w:val="center"/>
          </w:tcPr>
          <w:p>
            <w:pPr>
              <w:widowControl/>
              <w:spacing w:line="400" w:lineRule="exact"/>
              <w:jc w:val="left"/>
              <w:rPr>
                <w:rFonts w:ascii="仿宋_GB2312" w:eastAsia="仿宋_GB2312"/>
                <w:color w:val="000000"/>
                <w:kern w:val="0"/>
                <w:sz w:val="24"/>
              </w:rPr>
            </w:pP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p>
        </w:tc>
        <w:tc>
          <w:tcPr>
            <w:tcW w:w="1566" w:type="dxa"/>
            <w:vMerge w:val="continue"/>
            <w:tcBorders>
              <w:top w:val="nil"/>
              <w:left w:val="nil"/>
              <w:bottom w:val="single" w:color="000000" w:sz="12" w:space="0"/>
              <w:right w:val="single" w:color="000000" w:sz="12" w:space="0"/>
            </w:tcBorders>
            <w:vAlign w:val="center"/>
          </w:tcPr>
          <w:p>
            <w:pPr>
              <w:widowControl/>
              <w:spacing w:line="400" w:lineRule="exact"/>
              <w:jc w:val="left"/>
              <w:rPr>
                <w:rFonts w:ascii="仿宋_GB2312" w:eastAsia="仿宋_GB2312"/>
                <w:color w:val="000000"/>
                <w:kern w:val="0"/>
                <w:sz w:val="24"/>
              </w:rPr>
            </w:pP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p>
        </w:tc>
      </w:tr>
      <w:tr>
        <w:tblPrEx>
          <w:tblCellMar>
            <w:top w:w="0" w:type="dxa"/>
            <w:left w:w="0" w:type="dxa"/>
            <w:bottom w:w="0" w:type="dxa"/>
            <w:right w:w="0" w:type="dxa"/>
          </w:tblCellMar>
        </w:tblPrEx>
        <w:trPr>
          <w:trHeight w:val="4801" w:hRule="atLeast"/>
        </w:trPr>
        <w:tc>
          <w:tcPr>
            <w:tcW w:w="9080" w:type="dxa"/>
            <w:gridSpan w:val="4"/>
            <w:tcBorders>
              <w:top w:val="single" w:color="000000" w:sz="12" w:space="0"/>
              <w:left w:val="single" w:color="000000" w:sz="12" w:space="0"/>
              <w:bottom w:val="single" w:color="000000" w:sz="12" w:space="0"/>
              <w:right w:val="single" w:color="000000" w:sz="12" w:space="0"/>
            </w:tcBorders>
            <w:vAlign w:val="center"/>
          </w:tcPr>
          <w:p>
            <w:pPr>
              <w:widowControl/>
              <w:spacing w:line="500" w:lineRule="exact"/>
              <w:jc w:val="left"/>
              <w:rPr>
                <w:rFonts w:ascii="仿宋_GB2312" w:eastAsia="仿宋_GB2312"/>
                <w:color w:val="000000"/>
                <w:kern w:val="0"/>
                <w:sz w:val="24"/>
              </w:rPr>
            </w:pPr>
            <w:r>
              <w:rPr>
                <w:rFonts w:ascii="仿宋_GB2312" w:eastAsia="仿宋_GB2312"/>
                <w:color w:val="000000"/>
                <w:kern w:val="0"/>
                <w:sz w:val="24"/>
              </w:rPr>
              <w:t xml:space="preserve">    </w:t>
            </w:r>
            <w:r>
              <w:rPr>
                <w:rFonts w:hint="eastAsia" w:ascii="仿宋_GB2312" w:eastAsia="仿宋_GB2312"/>
                <w:color w:val="000000"/>
                <w:kern w:val="0"/>
                <w:sz w:val="24"/>
              </w:rPr>
              <w:t>本人授权（受托人）代表本人参加</w:t>
            </w:r>
            <w:r>
              <w:rPr>
                <w:rFonts w:ascii="仿宋_GB2312" w:eastAsia="仿宋_GB2312"/>
                <w:i/>
                <w:color w:val="000000"/>
                <w:kern w:val="0"/>
                <w:sz w:val="24"/>
                <w:u w:val="single"/>
              </w:rPr>
              <w:t xml:space="preserve">    </w:t>
            </w:r>
            <w:r>
              <w:rPr>
                <w:rFonts w:hint="eastAsia" w:ascii="仿宋_GB2312" w:eastAsia="仿宋_GB2312"/>
                <w:i/>
                <w:color w:val="000000"/>
                <w:kern w:val="0"/>
                <w:sz w:val="24"/>
                <w:u w:val="single"/>
              </w:rPr>
              <w:t>年</w:t>
            </w:r>
            <w:r>
              <w:rPr>
                <w:rFonts w:ascii="仿宋_GB2312" w:eastAsia="仿宋_GB2312"/>
                <w:i/>
                <w:color w:val="000000"/>
                <w:kern w:val="0"/>
                <w:sz w:val="24"/>
                <w:u w:val="single"/>
              </w:rPr>
              <w:t xml:space="preserve">   </w:t>
            </w:r>
            <w:r>
              <w:rPr>
                <w:rFonts w:hint="eastAsia" w:ascii="仿宋_GB2312" w:eastAsia="仿宋_GB2312"/>
                <w:i/>
                <w:color w:val="000000"/>
                <w:kern w:val="0"/>
                <w:sz w:val="24"/>
                <w:u w:val="single"/>
              </w:rPr>
              <w:t>月</w:t>
            </w:r>
            <w:r>
              <w:rPr>
                <w:rFonts w:ascii="仿宋_GB2312" w:eastAsia="仿宋_GB2312"/>
                <w:i/>
                <w:color w:val="000000"/>
                <w:kern w:val="0"/>
                <w:sz w:val="24"/>
                <w:u w:val="single"/>
              </w:rPr>
              <w:t xml:space="preserve">   </w:t>
            </w:r>
            <w:r>
              <w:rPr>
                <w:rFonts w:hint="eastAsia" w:ascii="仿宋_GB2312" w:eastAsia="仿宋_GB2312"/>
                <w:i/>
                <w:color w:val="000000"/>
                <w:kern w:val="0"/>
                <w:sz w:val="24"/>
                <w:u w:val="single"/>
              </w:rPr>
              <w:t>日</w:t>
            </w:r>
            <w:r>
              <w:rPr>
                <w:rFonts w:hint="eastAsia" w:ascii="仿宋_GB2312" w:eastAsia="仿宋_GB2312"/>
                <w:color w:val="000000"/>
                <w:kern w:val="0"/>
                <w:sz w:val="24"/>
              </w:rPr>
              <w:t>在四川省达州市马踏洞新区龙马大道与鱼泉路交叉口处新政务服务大楼市公共资源交易服务中心举行的</w:t>
            </w:r>
            <w:r>
              <w:rPr>
                <w:rFonts w:ascii="仿宋_GB2312" w:eastAsia="仿宋_GB2312"/>
                <w:color w:val="000000"/>
                <w:kern w:val="0"/>
                <w:sz w:val="24"/>
              </w:rPr>
              <w:t>_______</w:t>
            </w:r>
            <w:r>
              <w:rPr>
                <w:rFonts w:hint="eastAsia" w:ascii="仿宋_GB2312" w:eastAsia="仿宋_GB2312"/>
                <w:color w:val="000000"/>
                <w:kern w:val="0"/>
                <w:sz w:val="24"/>
              </w:rPr>
              <w:t>权拍卖出让活动，代表本人签订《成交确认书》、《</w:t>
            </w:r>
            <w:r>
              <w:rPr>
                <w:rFonts w:ascii="仿宋_GB2312" w:eastAsia="仿宋_GB2312"/>
                <w:color w:val="000000"/>
                <w:kern w:val="0"/>
                <w:sz w:val="24"/>
              </w:rPr>
              <w:t>_______</w:t>
            </w:r>
            <w:r>
              <w:rPr>
                <w:rFonts w:hint="eastAsia" w:ascii="仿宋_GB2312" w:eastAsia="仿宋_GB2312"/>
                <w:color w:val="000000"/>
                <w:kern w:val="0"/>
                <w:sz w:val="24"/>
              </w:rPr>
              <w:t>权出让合同》等具有法律意义的文件、凭据等。</w:t>
            </w:r>
          </w:p>
          <w:p>
            <w:pPr>
              <w:widowControl/>
              <w:spacing w:line="500" w:lineRule="exact"/>
              <w:jc w:val="left"/>
              <w:rPr>
                <w:rFonts w:ascii="仿宋_GB2312" w:eastAsia="仿宋_GB2312"/>
                <w:color w:val="000000"/>
                <w:kern w:val="0"/>
                <w:sz w:val="24"/>
              </w:rPr>
            </w:pPr>
            <w:r>
              <w:rPr>
                <w:rFonts w:ascii="仿宋_GB2312" w:eastAsia="仿宋_GB2312"/>
                <w:color w:val="000000"/>
                <w:kern w:val="0"/>
                <w:sz w:val="24"/>
              </w:rPr>
              <w:t xml:space="preserve">    </w:t>
            </w:r>
            <w:r>
              <w:rPr>
                <w:rFonts w:hint="eastAsia" w:ascii="仿宋_GB2312" w:eastAsia="仿宋_GB2312"/>
                <w:color w:val="000000"/>
                <w:kern w:val="0"/>
                <w:sz w:val="24"/>
              </w:rPr>
              <w:t>受托人在该</w:t>
            </w:r>
            <w:r>
              <w:rPr>
                <w:rFonts w:ascii="仿宋_GB2312" w:eastAsia="仿宋_GB2312"/>
                <w:color w:val="000000"/>
                <w:kern w:val="0"/>
                <w:sz w:val="24"/>
              </w:rPr>
              <w:t>_______</w:t>
            </w:r>
            <w:r>
              <w:rPr>
                <w:rFonts w:hint="eastAsia" w:ascii="仿宋_GB2312" w:eastAsia="仿宋_GB2312"/>
                <w:color w:val="000000"/>
                <w:kern w:val="0"/>
                <w:sz w:val="24"/>
              </w:rPr>
              <w:t>权拍卖出让活动中所做出的承诺、签订的合同或文件，本人均予以承认，并承担由此产生的法律后果。</w:t>
            </w:r>
          </w:p>
          <w:p>
            <w:pPr>
              <w:widowControl/>
              <w:spacing w:line="500" w:lineRule="exact"/>
              <w:jc w:val="left"/>
              <w:rPr>
                <w:rFonts w:ascii="仿宋_GB2312" w:eastAsia="仿宋_GB2312"/>
                <w:color w:val="000000"/>
                <w:kern w:val="0"/>
                <w:sz w:val="24"/>
              </w:rPr>
            </w:pPr>
            <w:r>
              <w:rPr>
                <w:rFonts w:ascii="仿宋_GB2312" w:eastAsia="仿宋_GB2312"/>
                <w:color w:val="000000"/>
                <w:kern w:val="0"/>
                <w:sz w:val="24"/>
              </w:rPr>
              <w:t xml:space="preserve">                                         </w:t>
            </w:r>
            <w:r>
              <w:rPr>
                <w:rFonts w:hint="eastAsia" w:ascii="仿宋_GB2312" w:eastAsia="仿宋_GB2312"/>
                <w:color w:val="000000"/>
                <w:kern w:val="0"/>
                <w:sz w:val="24"/>
              </w:rPr>
              <w:t>委托人（签名）：</w:t>
            </w:r>
            <w:r>
              <w:rPr>
                <w:rFonts w:ascii="仿宋_GB2312" w:eastAsia="仿宋_GB2312"/>
                <w:color w:val="000000"/>
                <w:kern w:val="0"/>
                <w:sz w:val="24"/>
              </w:rPr>
              <w:t xml:space="preserve">             </w:t>
            </w:r>
          </w:p>
          <w:p>
            <w:pPr>
              <w:widowControl/>
              <w:spacing w:line="500" w:lineRule="exact"/>
              <w:jc w:val="left"/>
              <w:rPr>
                <w:rFonts w:ascii="仿宋_GB2312" w:eastAsia="仿宋_GB2312"/>
                <w:color w:val="000000"/>
                <w:kern w:val="0"/>
                <w:sz w:val="24"/>
              </w:rPr>
            </w:pPr>
            <w:r>
              <w:rPr>
                <w:rFonts w:ascii="仿宋_GB2312" w:eastAsia="仿宋_GB2312"/>
                <w:color w:val="000000"/>
                <w:kern w:val="0"/>
                <w:sz w:val="24"/>
              </w:rPr>
              <w:t xml:space="preserve">                                                    </w:t>
            </w:r>
            <w:r>
              <w:rPr>
                <w:rFonts w:hint="eastAsia" w:ascii="仿宋_GB2312" w:eastAsia="仿宋_GB2312"/>
                <w:color w:val="000000"/>
                <w:kern w:val="0"/>
                <w:sz w:val="24"/>
              </w:rPr>
              <w:t>年</w:t>
            </w:r>
            <w:r>
              <w:rPr>
                <w:rFonts w:ascii="仿宋_GB2312" w:eastAsia="仿宋_GB2312"/>
                <w:color w:val="000000"/>
                <w:kern w:val="0"/>
                <w:sz w:val="24"/>
              </w:rPr>
              <w:t xml:space="preserve">    </w:t>
            </w:r>
            <w:r>
              <w:rPr>
                <w:rFonts w:hint="eastAsia" w:ascii="仿宋_GB2312" w:eastAsia="仿宋_GB2312"/>
                <w:color w:val="000000"/>
                <w:kern w:val="0"/>
                <w:sz w:val="24"/>
              </w:rPr>
              <w:t>月</w:t>
            </w:r>
            <w:r>
              <w:rPr>
                <w:rFonts w:ascii="仿宋_GB2312" w:eastAsia="仿宋_GB2312"/>
                <w:color w:val="000000"/>
                <w:kern w:val="0"/>
                <w:sz w:val="24"/>
              </w:rPr>
              <w:t xml:space="preserve">    </w:t>
            </w:r>
            <w:r>
              <w:rPr>
                <w:rFonts w:hint="eastAsia" w:ascii="仿宋_GB2312" w:eastAsia="仿宋_GB2312"/>
                <w:color w:val="000000"/>
                <w:kern w:val="0"/>
                <w:sz w:val="24"/>
              </w:rPr>
              <w:t>日</w:t>
            </w:r>
          </w:p>
        </w:tc>
      </w:tr>
      <w:tr>
        <w:tblPrEx>
          <w:tblCellMar>
            <w:top w:w="0" w:type="dxa"/>
            <w:left w:w="0" w:type="dxa"/>
            <w:bottom w:w="0" w:type="dxa"/>
            <w:right w:w="0" w:type="dxa"/>
          </w:tblCellMar>
        </w:tblPrEx>
        <w:trPr>
          <w:trHeight w:val="2664"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ind w:left="1"/>
              <w:jc w:val="center"/>
              <w:rPr>
                <w:rFonts w:ascii="仿宋_GB2312" w:eastAsia="仿宋_GB2312"/>
                <w:color w:val="000000"/>
                <w:kern w:val="0"/>
                <w:sz w:val="24"/>
              </w:rPr>
            </w:pPr>
            <w:r>
              <w:rPr>
                <w:rFonts w:hint="eastAsia" w:ascii="仿宋_GB2312" w:eastAsia="仿宋_GB2312"/>
                <w:color w:val="000000"/>
                <w:kern w:val="0"/>
                <w:sz w:val="24"/>
              </w:rPr>
              <w:t>备</w:t>
            </w:r>
          </w:p>
          <w:p>
            <w:pPr>
              <w:widowControl/>
              <w:spacing w:line="400" w:lineRule="exact"/>
              <w:ind w:left="1" w:firstLine="238"/>
              <w:rPr>
                <w:rFonts w:ascii="仿宋_GB2312" w:eastAsia="仿宋_GB2312"/>
                <w:color w:val="000000"/>
                <w:kern w:val="0"/>
                <w:sz w:val="24"/>
              </w:rPr>
            </w:pPr>
          </w:p>
          <w:p>
            <w:pPr>
              <w:widowControl/>
              <w:spacing w:line="400" w:lineRule="exact"/>
              <w:ind w:left="1"/>
              <w:jc w:val="center"/>
              <w:rPr>
                <w:rFonts w:ascii="仿宋_GB2312" w:eastAsia="仿宋_GB2312"/>
                <w:color w:val="000000"/>
                <w:kern w:val="0"/>
                <w:sz w:val="24"/>
              </w:rPr>
            </w:pPr>
            <w:r>
              <w:rPr>
                <w:rFonts w:hint="eastAsia" w:ascii="仿宋_GB2312" w:eastAsia="仿宋_GB2312"/>
                <w:color w:val="000000"/>
                <w:kern w:val="0"/>
                <w:sz w:val="24"/>
              </w:rPr>
              <w:t>注</w:t>
            </w:r>
          </w:p>
        </w:tc>
        <w:tc>
          <w:tcPr>
            <w:tcW w:w="7507" w:type="dxa"/>
            <w:gridSpan w:val="3"/>
            <w:tcBorders>
              <w:top w:val="single" w:color="000000" w:sz="12" w:space="0"/>
              <w:left w:val="nil"/>
              <w:bottom w:val="single" w:color="000000" w:sz="12" w:space="0"/>
              <w:right w:val="single" w:color="000000" w:sz="12" w:space="0"/>
            </w:tcBorders>
          </w:tcPr>
          <w:p>
            <w:pPr>
              <w:widowControl/>
              <w:spacing w:line="400" w:lineRule="exact"/>
              <w:ind w:left="1"/>
              <w:rPr>
                <w:rFonts w:ascii="仿宋_GB2312" w:eastAsia="仿宋_GB2312"/>
                <w:color w:val="000000"/>
                <w:kern w:val="0"/>
                <w:sz w:val="24"/>
              </w:rPr>
            </w:pPr>
          </w:p>
          <w:p>
            <w:pPr>
              <w:widowControl/>
              <w:spacing w:line="400" w:lineRule="exact"/>
              <w:ind w:left="1"/>
              <w:rPr>
                <w:rFonts w:ascii="仿宋_GB2312" w:eastAsia="仿宋_GB2312"/>
                <w:color w:val="000000"/>
                <w:kern w:val="0"/>
                <w:sz w:val="24"/>
              </w:rPr>
            </w:pPr>
            <w:r>
              <w:rPr>
                <w:rFonts w:hint="eastAsia" w:ascii="仿宋_GB2312" w:eastAsia="仿宋_GB2312"/>
                <w:color w:val="000000"/>
                <w:kern w:val="0"/>
                <w:sz w:val="24"/>
              </w:rPr>
              <w:t>兹证明本委托书确系本单位法定代表人亲自</w:t>
            </w:r>
            <w:r>
              <w:rPr>
                <w:rFonts w:hint="eastAsia" w:ascii="仿宋_GB2312" w:eastAsia="仿宋_GB2312"/>
                <w:kern w:val="0"/>
                <w:sz w:val="24"/>
              </w:rPr>
              <w:t>签订</w:t>
            </w:r>
          </w:p>
          <w:p>
            <w:pPr>
              <w:widowControl/>
              <w:spacing w:line="400" w:lineRule="exact"/>
              <w:ind w:left="1"/>
              <w:jc w:val="center"/>
              <w:rPr>
                <w:rFonts w:ascii="仿宋_GB2312" w:eastAsia="仿宋_GB2312"/>
                <w:color w:val="000000"/>
                <w:kern w:val="0"/>
                <w:sz w:val="24"/>
              </w:rPr>
            </w:pPr>
          </w:p>
          <w:p>
            <w:pPr>
              <w:widowControl/>
              <w:spacing w:line="400" w:lineRule="exact"/>
              <w:ind w:left="1"/>
              <w:jc w:val="center"/>
              <w:rPr>
                <w:rFonts w:ascii="仿宋_GB2312" w:eastAsia="仿宋_GB2312"/>
                <w:color w:val="000000"/>
                <w:kern w:val="0"/>
                <w:sz w:val="24"/>
              </w:rPr>
            </w:pPr>
          </w:p>
          <w:p>
            <w:pPr>
              <w:widowControl/>
              <w:spacing w:line="400" w:lineRule="exact"/>
              <w:ind w:left="1"/>
              <w:jc w:val="center"/>
              <w:rPr>
                <w:rFonts w:ascii="仿宋_GB2312" w:eastAsia="仿宋_GB2312"/>
                <w:color w:val="000000"/>
                <w:kern w:val="0"/>
                <w:sz w:val="24"/>
              </w:rPr>
            </w:pPr>
            <w:r>
              <w:rPr>
                <w:rFonts w:ascii="仿宋_GB2312" w:eastAsia="仿宋_GB2312"/>
                <w:color w:val="000000"/>
                <w:kern w:val="0"/>
                <w:sz w:val="24"/>
              </w:rPr>
              <w:t> </w:t>
            </w:r>
            <w:r>
              <w:rPr>
                <w:rFonts w:hint="eastAsia" w:ascii="仿宋_GB2312" w:eastAsia="仿宋_GB2312"/>
                <w:color w:val="000000"/>
                <w:kern w:val="0"/>
                <w:sz w:val="24"/>
              </w:rPr>
              <w:t>单位公章：</w:t>
            </w:r>
          </w:p>
          <w:p>
            <w:pPr>
              <w:widowControl/>
              <w:spacing w:line="400" w:lineRule="exact"/>
              <w:ind w:left="1"/>
              <w:rPr>
                <w:rFonts w:ascii="仿宋_GB2312" w:eastAsia="仿宋_GB2312"/>
                <w:color w:val="000000"/>
                <w:kern w:val="0"/>
                <w:sz w:val="24"/>
              </w:rPr>
            </w:pPr>
          </w:p>
          <w:p>
            <w:pPr>
              <w:widowControl/>
              <w:spacing w:line="400" w:lineRule="exact"/>
              <w:ind w:left="1" w:right="480" w:firstLine="4680" w:firstLineChars="1950"/>
              <w:rPr>
                <w:rFonts w:ascii="仿宋_GB2312" w:eastAsia="仿宋_GB2312"/>
                <w:color w:val="000000"/>
                <w:kern w:val="0"/>
                <w:sz w:val="24"/>
              </w:rPr>
            </w:pPr>
            <w:r>
              <w:rPr>
                <w:rFonts w:hint="eastAsia" w:ascii="仿宋_GB2312" w:eastAsia="仿宋_GB2312"/>
                <w:color w:val="000000"/>
                <w:kern w:val="0"/>
                <w:sz w:val="24"/>
              </w:rPr>
              <w:t>年</w:t>
            </w:r>
            <w:r>
              <w:rPr>
                <w:rFonts w:ascii="仿宋_GB2312" w:eastAsia="仿宋_GB2312"/>
                <w:color w:val="000000"/>
                <w:kern w:val="0"/>
                <w:sz w:val="24"/>
              </w:rPr>
              <w:t xml:space="preserve">     </w:t>
            </w:r>
            <w:r>
              <w:rPr>
                <w:rFonts w:hint="eastAsia" w:ascii="仿宋_GB2312" w:eastAsia="仿宋_GB2312"/>
                <w:color w:val="000000"/>
                <w:kern w:val="0"/>
                <w:sz w:val="24"/>
              </w:rPr>
              <w:t>月</w:t>
            </w:r>
            <w:r>
              <w:rPr>
                <w:rFonts w:ascii="仿宋_GB2312" w:eastAsia="仿宋_GB2312"/>
                <w:color w:val="000000"/>
                <w:kern w:val="0"/>
                <w:sz w:val="24"/>
              </w:rPr>
              <w:t xml:space="preserve">    </w:t>
            </w:r>
            <w:r>
              <w:rPr>
                <w:rFonts w:hint="eastAsia" w:ascii="仿宋_GB2312" w:eastAsia="仿宋_GB2312"/>
                <w:color w:val="000000"/>
                <w:kern w:val="0"/>
                <w:sz w:val="24"/>
              </w:rPr>
              <w:t>日</w:t>
            </w:r>
          </w:p>
        </w:tc>
      </w:tr>
    </w:tbl>
    <w:p>
      <w:pPr>
        <w:pStyle w:val="34"/>
        <w:spacing w:line="760" w:lineRule="exact"/>
        <w:jc w:val="center"/>
        <w:rPr>
          <w:rFonts w:hint="eastAsia" w:ascii="方正小标宋简体" w:hAnsi="宋体" w:eastAsia="方正小标宋简体"/>
          <w:spacing w:val="-5"/>
          <w:kern w:val="2"/>
          <w:sz w:val="44"/>
          <w:szCs w:val="44"/>
        </w:rPr>
      </w:pPr>
    </w:p>
    <w:p>
      <w:pPr>
        <w:pStyle w:val="34"/>
        <w:spacing w:line="760" w:lineRule="exact"/>
        <w:jc w:val="center"/>
        <w:rPr>
          <w:rFonts w:ascii="方正小标宋简体" w:hAnsi="宋体" w:eastAsia="方正小标宋简体"/>
          <w:spacing w:val="-5"/>
          <w:kern w:val="2"/>
          <w:sz w:val="44"/>
          <w:szCs w:val="44"/>
        </w:rPr>
      </w:pPr>
      <w:r>
        <w:rPr>
          <w:rFonts w:hint="eastAsia" w:ascii="方正小标宋简体" w:hAnsi="宋体" w:eastAsia="方正小标宋简体"/>
          <w:spacing w:val="-5"/>
          <w:kern w:val="2"/>
          <w:sz w:val="44"/>
          <w:szCs w:val="44"/>
        </w:rPr>
        <w:t>采矿权成交确认书</w:t>
      </w:r>
    </w:p>
    <w:p>
      <w:pPr>
        <w:pStyle w:val="34"/>
        <w:spacing w:line="760" w:lineRule="exact"/>
        <w:jc w:val="center"/>
        <w:rPr>
          <w:rFonts w:ascii="方正小标宋简体" w:hAnsi="宋体" w:eastAsia="方正小标宋简体"/>
          <w:spacing w:val="-5"/>
          <w:kern w:val="2"/>
          <w:sz w:val="44"/>
          <w:szCs w:val="44"/>
        </w:rPr>
      </w:pPr>
    </w:p>
    <w:p>
      <w:pPr>
        <w:pStyle w:val="34"/>
        <w:spacing w:line="760" w:lineRule="exact"/>
        <w:rPr>
          <w:rFonts w:ascii="宋体"/>
          <w:spacing w:val="-5"/>
          <w:kern w:val="2"/>
          <w:sz w:val="28"/>
          <w:szCs w:val="28"/>
        </w:rPr>
      </w:pPr>
      <w:r>
        <w:rPr>
          <w:rFonts w:hint="eastAsia" w:ascii="宋体" w:hAnsi="宋体"/>
          <w:spacing w:val="-5"/>
          <w:kern w:val="2"/>
          <w:sz w:val="28"/>
          <w:szCs w:val="28"/>
        </w:rPr>
        <w:t>拍卖人：达州市公共资源交易服务中心</w:t>
      </w:r>
    </w:p>
    <w:p>
      <w:pPr>
        <w:pStyle w:val="34"/>
        <w:spacing w:line="760" w:lineRule="exact"/>
        <w:rPr>
          <w:rFonts w:ascii="宋体"/>
          <w:spacing w:val="-5"/>
          <w:kern w:val="2"/>
          <w:sz w:val="28"/>
          <w:szCs w:val="28"/>
        </w:rPr>
      </w:pPr>
      <w:r>
        <w:rPr>
          <w:rFonts w:hint="eastAsia" w:ascii="宋体" w:hAnsi="宋体"/>
          <w:spacing w:val="-5"/>
          <w:kern w:val="2"/>
          <w:sz w:val="28"/>
          <w:szCs w:val="28"/>
        </w:rPr>
        <w:t>地</w:t>
      </w:r>
      <w:r>
        <w:rPr>
          <w:rFonts w:ascii="宋体" w:hAnsi="宋体"/>
          <w:spacing w:val="-5"/>
          <w:kern w:val="2"/>
          <w:sz w:val="28"/>
          <w:szCs w:val="28"/>
        </w:rPr>
        <w:t xml:space="preserve">  </w:t>
      </w:r>
      <w:r>
        <w:rPr>
          <w:rFonts w:hint="eastAsia" w:ascii="宋体" w:hAnsi="宋体"/>
          <w:spacing w:val="-5"/>
          <w:kern w:val="2"/>
          <w:sz w:val="28"/>
          <w:szCs w:val="28"/>
        </w:rPr>
        <w:t>址：达州市马踏洞新区龙马大道与鱼泉路叉口处新政务服务大楼</w:t>
      </w:r>
    </w:p>
    <w:p>
      <w:pPr>
        <w:pStyle w:val="34"/>
        <w:spacing w:line="760" w:lineRule="exact"/>
        <w:rPr>
          <w:rFonts w:ascii="宋体"/>
          <w:spacing w:val="-5"/>
          <w:kern w:val="2"/>
          <w:sz w:val="28"/>
          <w:szCs w:val="28"/>
        </w:rPr>
      </w:pPr>
      <w:r>
        <w:rPr>
          <w:rFonts w:hint="eastAsia" w:ascii="宋体" w:hAnsi="宋体"/>
          <w:spacing w:val="-5"/>
          <w:kern w:val="2"/>
          <w:sz w:val="28"/>
          <w:szCs w:val="28"/>
        </w:rPr>
        <w:t>竞得人：</w:t>
      </w:r>
      <w:r>
        <w:rPr>
          <w:rFonts w:ascii="宋体" w:hAnsi="宋体"/>
          <w:spacing w:val="-5"/>
          <w:kern w:val="2"/>
          <w:sz w:val="28"/>
          <w:szCs w:val="28"/>
        </w:rPr>
        <w:t xml:space="preserve"> </w:t>
      </w:r>
    </w:p>
    <w:p>
      <w:pPr>
        <w:pStyle w:val="34"/>
        <w:spacing w:line="760" w:lineRule="exact"/>
        <w:rPr>
          <w:rFonts w:ascii="宋体"/>
          <w:spacing w:val="-5"/>
          <w:kern w:val="2"/>
          <w:sz w:val="28"/>
          <w:szCs w:val="28"/>
        </w:rPr>
      </w:pPr>
      <w:r>
        <w:rPr>
          <w:rFonts w:hint="eastAsia" w:ascii="宋体" w:hAnsi="宋体"/>
          <w:spacing w:val="-5"/>
          <w:kern w:val="2"/>
          <w:sz w:val="28"/>
          <w:szCs w:val="28"/>
        </w:rPr>
        <w:t>地</w:t>
      </w:r>
      <w:r>
        <w:rPr>
          <w:rFonts w:ascii="宋体" w:hAnsi="宋体"/>
          <w:spacing w:val="-5"/>
          <w:kern w:val="2"/>
          <w:sz w:val="28"/>
          <w:szCs w:val="28"/>
        </w:rPr>
        <w:t xml:space="preserve">  </w:t>
      </w:r>
      <w:r>
        <w:rPr>
          <w:rFonts w:hint="eastAsia" w:ascii="宋体" w:hAnsi="宋体"/>
          <w:spacing w:val="-5"/>
          <w:kern w:val="2"/>
          <w:sz w:val="28"/>
          <w:szCs w:val="28"/>
        </w:rPr>
        <w:t>址：</w:t>
      </w:r>
      <w:r>
        <w:rPr>
          <w:rFonts w:ascii="宋体" w:hAnsi="宋体"/>
          <w:spacing w:val="-5"/>
          <w:kern w:val="2"/>
          <w:sz w:val="28"/>
          <w:szCs w:val="28"/>
        </w:rPr>
        <w:t xml:space="preserve"> </w:t>
      </w:r>
    </w:p>
    <w:p>
      <w:pPr>
        <w:pStyle w:val="34"/>
        <w:spacing w:line="760" w:lineRule="exact"/>
        <w:rPr>
          <w:rFonts w:ascii="宋体"/>
          <w:spacing w:val="-5"/>
          <w:kern w:val="2"/>
          <w:sz w:val="28"/>
          <w:szCs w:val="28"/>
        </w:rPr>
      </w:pPr>
      <w:r>
        <w:rPr>
          <w:rFonts w:hint="eastAsia" w:ascii="宋体" w:hAnsi="宋体"/>
          <w:spacing w:val="-5"/>
          <w:kern w:val="2"/>
          <w:sz w:val="28"/>
          <w:szCs w:val="28"/>
        </w:rPr>
        <w:t>竞得人应价牌编号：</w:t>
      </w:r>
    </w:p>
    <w:p>
      <w:pPr>
        <w:pStyle w:val="34"/>
        <w:spacing w:line="760" w:lineRule="exact"/>
        <w:jc w:val="left"/>
        <w:rPr>
          <w:rFonts w:ascii="宋体"/>
          <w:color w:val="FF0000"/>
          <w:spacing w:val="-5"/>
          <w:kern w:val="2"/>
          <w:sz w:val="28"/>
          <w:szCs w:val="28"/>
        </w:rPr>
      </w:pPr>
      <w:r>
        <w:rPr>
          <w:rFonts w:ascii="宋体" w:hAnsi="宋体"/>
          <w:spacing w:val="-5"/>
          <w:kern w:val="2"/>
          <w:sz w:val="28"/>
          <w:szCs w:val="28"/>
        </w:rPr>
        <w:t xml:space="preserve">    </w:t>
      </w:r>
      <w:r>
        <w:rPr>
          <w:rFonts w:hint="eastAsia" w:ascii="宋体" w:hAnsi="宋体"/>
          <w:spacing w:val="-5"/>
          <w:kern w:val="2"/>
          <w:sz w:val="28"/>
          <w:szCs w:val="28"/>
        </w:rPr>
        <w:t>受达州市</w:t>
      </w:r>
      <w:r>
        <w:rPr>
          <w:rFonts w:hint="eastAsia" w:ascii="宋体" w:hAnsi="宋体"/>
          <w:spacing w:val="-5"/>
          <w:kern w:val="2"/>
          <w:sz w:val="28"/>
          <w:szCs w:val="28"/>
          <w:lang w:val="en-US" w:eastAsia="zh-CN"/>
        </w:rPr>
        <w:t>达</w:t>
      </w:r>
      <w:r>
        <w:rPr>
          <w:rFonts w:hint="eastAsia" w:ascii="宋体" w:hAnsi="宋体"/>
          <w:spacing w:val="-5"/>
          <w:kern w:val="2"/>
          <w:sz w:val="28"/>
          <w:szCs w:val="28"/>
        </w:rPr>
        <w:t>川区自然资源局委托，拍卖人于</w:t>
      </w:r>
      <w:r>
        <w:rPr>
          <w:rFonts w:ascii="宋体" w:hAnsi="宋体"/>
          <w:spacing w:val="-5"/>
          <w:kern w:val="2"/>
          <w:sz w:val="28"/>
          <w:szCs w:val="28"/>
        </w:rPr>
        <w:t>2021</w:t>
      </w:r>
      <w:r>
        <w:rPr>
          <w:rFonts w:hint="eastAsia" w:ascii="宋体" w:hAnsi="宋体"/>
          <w:spacing w:val="-5"/>
          <w:kern w:val="2"/>
          <w:sz w:val="28"/>
          <w:szCs w:val="28"/>
        </w:rPr>
        <w:t>年</w:t>
      </w:r>
      <w:r>
        <w:rPr>
          <w:rFonts w:ascii="宋体" w:hAnsi="宋体"/>
          <w:spacing w:val="-5"/>
          <w:kern w:val="2"/>
          <w:sz w:val="28"/>
          <w:szCs w:val="28"/>
        </w:rPr>
        <w:t xml:space="preserve">x </w:t>
      </w:r>
      <w:r>
        <w:rPr>
          <w:rFonts w:hint="eastAsia" w:ascii="宋体" w:hAnsi="宋体"/>
          <w:spacing w:val="-5"/>
          <w:kern w:val="2"/>
          <w:sz w:val="28"/>
          <w:szCs w:val="28"/>
        </w:rPr>
        <w:t>月</w:t>
      </w:r>
      <w:r>
        <w:rPr>
          <w:rFonts w:ascii="宋体" w:hAnsi="宋体"/>
          <w:spacing w:val="-5"/>
          <w:kern w:val="2"/>
          <w:sz w:val="28"/>
          <w:szCs w:val="28"/>
        </w:rPr>
        <w:t>X</w:t>
      </w:r>
      <w:r>
        <w:rPr>
          <w:rFonts w:hint="eastAsia" w:ascii="宋体" w:hAnsi="宋体"/>
          <w:spacing w:val="-5"/>
          <w:kern w:val="2"/>
          <w:sz w:val="28"/>
          <w:szCs w:val="28"/>
        </w:rPr>
        <w:t>日</w:t>
      </w:r>
      <w:r>
        <w:rPr>
          <w:rFonts w:ascii="宋体" w:hAnsi="宋体"/>
          <w:spacing w:val="-5"/>
          <w:kern w:val="2"/>
          <w:sz w:val="28"/>
          <w:szCs w:val="28"/>
        </w:rPr>
        <w:t>x</w:t>
      </w:r>
      <w:r>
        <w:rPr>
          <w:rFonts w:hint="eastAsia" w:ascii="宋体" w:hAnsi="宋体"/>
          <w:spacing w:val="-5"/>
          <w:kern w:val="2"/>
          <w:sz w:val="28"/>
          <w:szCs w:val="28"/>
        </w:rPr>
        <w:t>时，在四川省达州市马踏洞新区龙马大道与鱼泉路交叉口处新政务服务大楼市公共资源交易中心</w:t>
      </w:r>
      <w:r>
        <w:rPr>
          <w:rFonts w:ascii="宋体" w:hAnsi="宋体"/>
          <w:spacing w:val="-5"/>
          <w:kern w:val="2"/>
          <w:sz w:val="28"/>
          <w:szCs w:val="28"/>
        </w:rPr>
        <w:t xml:space="preserve">  </w:t>
      </w:r>
      <w:r>
        <w:rPr>
          <w:rFonts w:hint="eastAsia" w:ascii="宋体" w:hAnsi="宋体"/>
          <w:spacing w:val="-5"/>
          <w:kern w:val="2"/>
          <w:sz w:val="28"/>
          <w:szCs w:val="28"/>
        </w:rPr>
        <w:t>厅公开拍卖达州市</w:t>
      </w:r>
      <w:r>
        <w:rPr>
          <w:rFonts w:ascii="宋体" w:hAnsi="宋体"/>
          <w:spacing w:val="-5"/>
          <w:kern w:val="2"/>
          <w:sz w:val="28"/>
          <w:szCs w:val="28"/>
        </w:rPr>
        <w:t xml:space="preserve">x x x x x x x </w:t>
      </w:r>
      <w:r>
        <w:rPr>
          <w:rFonts w:hint="eastAsia" w:ascii="宋体" w:hAnsi="宋体"/>
          <w:spacing w:val="-5"/>
          <w:kern w:val="2"/>
          <w:sz w:val="28"/>
          <w:szCs w:val="28"/>
        </w:rPr>
        <w:t>采矿权。竞得人经认真审阅采矿权拍卖出让《公告》及拍卖出让文件资料，并实地踏勘拍卖标的且均无异议后，向出让人递交了《竞买申请书》，</w:t>
      </w:r>
      <w:r>
        <w:rPr>
          <w:rFonts w:hint="eastAsia" w:ascii="宋体" w:hAnsi="宋体"/>
          <w:color w:val="000000"/>
          <w:spacing w:val="-5"/>
          <w:kern w:val="2"/>
          <w:sz w:val="28"/>
          <w:szCs w:val="28"/>
        </w:rPr>
        <w:t>取得竞买资格并参与了竞买。</w:t>
      </w:r>
    </w:p>
    <w:p>
      <w:pPr>
        <w:pStyle w:val="34"/>
        <w:spacing w:line="760" w:lineRule="exact"/>
        <w:ind w:firstLine="540" w:firstLineChars="200"/>
        <w:jc w:val="left"/>
        <w:rPr>
          <w:rFonts w:ascii="宋体"/>
          <w:spacing w:val="-5"/>
          <w:kern w:val="2"/>
          <w:sz w:val="28"/>
          <w:szCs w:val="28"/>
        </w:rPr>
      </w:pPr>
      <w:r>
        <w:rPr>
          <w:rFonts w:hint="eastAsia" w:ascii="宋体" w:hAnsi="宋体"/>
          <w:spacing w:val="-5"/>
          <w:kern w:val="2"/>
          <w:sz w:val="28"/>
          <w:szCs w:val="28"/>
        </w:rPr>
        <w:t>竞得人以（￥小写）</w:t>
      </w:r>
      <w:r>
        <w:rPr>
          <w:rFonts w:ascii="宋体" w:hAnsi="宋体"/>
          <w:spacing w:val="-5"/>
          <w:kern w:val="2"/>
          <w:sz w:val="28"/>
          <w:szCs w:val="28"/>
        </w:rPr>
        <w:t xml:space="preserve">              </w:t>
      </w:r>
      <w:r>
        <w:rPr>
          <w:rFonts w:hint="eastAsia" w:ascii="宋体" w:hAnsi="宋体"/>
          <w:spacing w:val="-5"/>
          <w:kern w:val="2"/>
          <w:sz w:val="28"/>
          <w:szCs w:val="28"/>
        </w:rPr>
        <w:t>万元（￥大写）</w:t>
      </w:r>
      <w:r>
        <w:rPr>
          <w:rFonts w:ascii="宋体" w:hAnsi="宋体"/>
          <w:spacing w:val="-5"/>
          <w:kern w:val="2"/>
          <w:sz w:val="28"/>
          <w:szCs w:val="28"/>
        </w:rPr>
        <w:t xml:space="preserve">                   </w:t>
      </w:r>
      <w:r>
        <w:rPr>
          <w:rFonts w:hint="eastAsia" w:ascii="宋体" w:hAnsi="宋体"/>
          <w:spacing w:val="-5"/>
          <w:kern w:val="2"/>
          <w:sz w:val="28"/>
          <w:szCs w:val="28"/>
        </w:rPr>
        <w:t>万元的最高竞价竞得达州市</w:t>
      </w:r>
      <w:r>
        <w:rPr>
          <w:rFonts w:ascii="宋体" w:hAnsi="宋体"/>
          <w:spacing w:val="-5"/>
          <w:kern w:val="2"/>
          <w:sz w:val="28"/>
          <w:szCs w:val="28"/>
        </w:rPr>
        <w:t xml:space="preserve">x x x x x x x </w:t>
      </w:r>
      <w:r>
        <w:rPr>
          <w:rFonts w:hint="eastAsia" w:ascii="宋体" w:hAnsi="宋体"/>
          <w:spacing w:val="-5"/>
          <w:kern w:val="2"/>
          <w:sz w:val="28"/>
          <w:szCs w:val="28"/>
        </w:rPr>
        <w:t>采矿权，此次拍卖有效。现场确认成交。</w:t>
      </w:r>
    </w:p>
    <w:p>
      <w:pPr>
        <w:pStyle w:val="34"/>
        <w:spacing w:line="760" w:lineRule="exact"/>
        <w:jc w:val="left"/>
        <w:rPr>
          <w:rFonts w:ascii="宋体"/>
          <w:spacing w:val="-5"/>
          <w:kern w:val="2"/>
          <w:sz w:val="28"/>
          <w:szCs w:val="28"/>
        </w:rPr>
      </w:pPr>
      <w:r>
        <w:rPr>
          <w:rFonts w:ascii="宋体" w:hAnsi="宋体"/>
          <w:spacing w:val="-5"/>
          <w:kern w:val="2"/>
          <w:sz w:val="28"/>
          <w:szCs w:val="28"/>
        </w:rPr>
        <w:t xml:space="preserve">    </w:t>
      </w:r>
      <w:r>
        <w:rPr>
          <w:rFonts w:hint="eastAsia" w:ascii="宋体" w:hAnsi="宋体"/>
          <w:spacing w:val="-5"/>
          <w:kern w:val="2"/>
          <w:sz w:val="28"/>
          <w:szCs w:val="28"/>
        </w:rPr>
        <w:t>本次《成交确认书》签订后，竞得人必须在</w:t>
      </w:r>
      <w:r>
        <w:rPr>
          <w:rFonts w:ascii="宋体" w:hAnsi="宋体"/>
          <w:spacing w:val="-5"/>
          <w:kern w:val="2"/>
          <w:sz w:val="28"/>
          <w:szCs w:val="28"/>
        </w:rPr>
        <w:t>15</w:t>
      </w:r>
      <w:r>
        <w:rPr>
          <w:rFonts w:hint="eastAsia" w:ascii="宋体" w:hAnsi="宋体"/>
          <w:spacing w:val="-5"/>
          <w:kern w:val="2"/>
          <w:sz w:val="28"/>
          <w:szCs w:val="28"/>
        </w:rPr>
        <w:t>个工作日内到出让人达州市</w:t>
      </w:r>
      <w:r>
        <w:rPr>
          <w:rFonts w:hint="eastAsia" w:ascii="宋体" w:hAnsi="宋体"/>
          <w:spacing w:val="-5"/>
          <w:kern w:val="2"/>
          <w:sz w:val="28"/>
          <w:szCs w:val="28"/>
          <w:lang w:val="en-US" w:eastAsia="zh-CN"/>
        </w:rPr>
        <w:t>达</w:t>
      </w:r>
      <w:r>
        <w:rPr>
          <w:rFonts w:hint="eastAsia" w:ascii="宋体" w:hAnsi="宋体"/>
          <w:spacing w:val="-5"/>
          <w:kern w:val="2"/>
          <w:sz w:val="28"/>
          <w:szCs w:val="28"/>
        </w:rPr>
        <w:t>川区自然资源局（达川区达川大道三段333号）签订《采矿权出让合同》，否则视为违约，自动放弃竞得资格，并依法承担赔偿责任和相应法律后果。</w:t>
      </w:r>
    </w:p>
    <w:p>
      <w:pPr>
        <w:pStyle w:val="34"/>
        <w:spacing w:line="760" w:lineRule="exact"/>
        <w:jc w:val="left"/>
        <w:rPr>
          <w:rFonts w:ascii="宋体"/>
          <w:spacing w:val="-5"/>
          <w:kern w:val="2"/>
          <w:sz w:val="28"/>
          <w:szCs w:val="28"/>
        </w:rPr>
      </w:pPr>
      <w:r>
        <w:rPr>
          <w:rFonts w:ascii="宋体" w:hAnsi="宋体"/>
          <w:spacing w:val="-5"/>
          <w:kern w:val="2"/>
          <w:sz w:val="28"/>
          <w:szCs w:val="28"/>
        </w:rPr>
        <w:t xml:space="preserve">   </w:t>
      </w:r>
      <w:r>
        <w:rPr>
          <w:rFonts w:hint="eastAsia" w:ascii="宋体" w:hAnsi="宋体"/>
          <w:spacing w:val="-5"/>
          <w:kern w:val="2"/>
          <w:sz w:val="28"/>
          <w:szCs w:val="28"/>
        </w:rPr>
        <w:t>本《成交确认书》一式六份，拍卖人执贰份，出让人执贰份，竞得人执贰份。</w:t>
      </w:r>
    </w:p>
    <w:p>
      <w:pPr>
        <w:pStyle w:val="34"/>
        <w:spacing w:line="560" w:lineRule="exact"/>
        <w:ind w:left="0"/>
        <w:jc w:val="left"/>
        <w:rPr>
          <w:rFonts w:ascii="宋体"/>
          <w:w w:val="90"/>
          <w:sz w:val="28"/>
          <w:szCs w:val="28"/>
        </w:rPr>
      </w:pPr>
      <w:r>
        <w:rPr>
          <w:rFonts w:hint="eastAsia" w:ascii="宋体" w:hAnsi="宋体"/>
          <w:w w:val="90"/>
          <w:sz w:val="28"/>
          <w:szCs w:val="28"/>
        </w:rPr>
        <w:t>拍卖人：</w:t>
      </w:r>
      <w:r>
        <w:rPr>
          <w:rFonts w:hint="eastAsia" w:ascii="宋体" w:hAnsi="宋体"/>
          <w:w w:val="80"/>
          <w:sz w:val="28"/>
          <w:szCs w:val="28"/>
        </w:rPr>
        <w:t>达州市公共资源交易服务中心</w:t>
      </w:r>
      <w:r>
        <w:rPr>
          <w:rFonts w:ascii="宋体" w:hAnsi="宋体"/>
          <w:w w:val="90"/>
          <w:sz w:val="28"/>
          <w:szCs w:val="28"/>
        </w:rPr>
        <w:t xml:space="preserve">           </w:t>
      </w:r>
    </w:p>
    <w:p>
      <w:pPr>
        <w:pStyle w:val="34"/>
        <w:spacing w:line="560" w:lineRule="exact"/>
        <w:ind w:left="0"/>
        <w:jc w:val="left"/>
        <w:rPr>
          <w:rFonts w:ascii="宋体"/>
          <w:w w:val="90"/>
          <w:sz w:val="28"/>
          <w:szCs w:val="28"/>
        </w:rPr>
      </w:pPr>
      <w:r>
        <w:rPr>
          <w:rFonts w:hint="eastAsia" w:ascii="宋体" w:hAnsi="宋体"/>
          <w:w w:val="90"/>
          <w:sz w:val="28"/>
          <w:szCs w:val="28"/>
        </w:rPr>
        <w:t>法定代表人：</w:t>
      </w:r>
      <w:r>
        <w:rPr>
          <w:rFonts w:ascii="宋体" w:hAnsi="宋体"/>
          <w:w w:val="90"/>
          <w:sz w:val="28"/>
          <w:szCs w:val="28"/>
        </w:rPr>
        <w:t xml:space="preserve">                           </w:t>
      </w:r>
    </w:p>
    <w:p>
      <w:pPr>
        <w:pStyle w:val="34"/>
        <w:spacing w:line="560" w:lineRule="exact"/>
        <w:ind w:left="0"/>
        <w:jc w:val="left"/>
        <w:rPr>
          <w:rFonts w:ascii="宋体"/>
          <w:w w:val="90"/>
          <w:sz w:val="28"/>
          <w:szCs w:val="28"/>
        </w:rPr>
      </w:pPr>
      <w:r>
        <w:rPr>
          <w:rFonts w:hint="eastAsia" w:ascii="宋体" w:hAnsi="宋体"/>
          <w:w w:val="90"/>
          <w:sz w:val="28"/>
          <w:szCs w:val="28"/>
        </w:rPr>
        <w:t>委托代理人：</w:t>
      </w:r>
      <w:r>
        <w:rPr>
          <w:rFonts w:ascii="宋体" w:hAnsi="宋体"/>
          <w:w w:val="90"/>
          <w:sz w:val="28"/>
          <w:szCs w:val="28"/>
        </w:rPr>
        <w:t xml:space="preserve">                     </w:t>
      </w:r>
    </w:p>
    <w:p>
      <w:pPr>
        <w:pStyle w:val="34"/>
        <w:spacing w:line="560" w:lineRule="exact"/>
        <w:ind w:left="0"/>
        <w:jc w:val="left"/>
        <w:rPr>
          <w:rFonts w:ascii="宋体"/>
          <w:color w:val="000000"/>
          <w:w w:val="90"/>
          <w:sz w:val="28"/>
          <w:szCs w:val="28"/>
        </w:rPr>
      </w:pPr>
      <w:r>
        <w:rPr>
          <w:rFonts w:hint="eastAsia" w:ascii="宋体" w:hAnsi="宋体"/>
          <w:color w:val="000000"/>
          <w:w w:val="90"/>
          <w:sz w:val="28"/>
          <w:szCs w:val="28"/>
        </w:rPr>
        <w:t>地址：</w:t>
      </w:r>
      <w:r>
        <w:rPr>
          <w:rFonts w:hint="eastAsia" w:ascii="宋体" w:hAnsi="宋体"/>
          <w:spacing w:val="-5"/>
          <w:kern w:val="2"/>
          <w:sz w:val="28"/>
          <w:szCs w:val="28"/>
        </w:rPr>
        <w:t>四川省达州市马踏洞新区龙马大道与鱼泉路交叉口处新政务服务大楼</w:t>
      </w:r>
      <w:r>
        <w:rPr>
          <w:rFonts w:ascii="宋体" w:hAnsi="宋体"/>
          <w:color w:val="000000"/>
          <w:w w:val="90"/>
          <w:sz w:val="28"/>
          <w:szCs w:val="28"/>
        </w:rPr>
        <w:t xml:space="preserve">                         </w:t>
      </w:r>
    </w:p>
    <w:p>
      <w:pPr>
        <w:pStyle w:val="34"/>
        <w:spacing w:line="560" w:lineRule="exact"/>
        <w:ind w:left="0"/>
        <w:jc w:val="left"/>
        <w:rPr>
          <w:rFonts w:ascii="宋体"/>
          <w:w w:val="90"/>
          <w:sz w:val="28"/>
          <w:szCs w:val="28"/>
        </w:rPr>
      </w:pPr>
      <w:r>
        <w:rPr>
          <w:rFonts w:hint="eastAsia" w:ascii="宋体" w:hAnsi="宋体"/>
          <w:w w:val="90"/>
          <w:sz w:val="28"/>
          <w:szCs w:val="28"/>
        </w:rPr>
        <w:t>联系电话：</w:t>
      </w:r>
      <w:r>
        <w:rPr>
          <w:rFonts w:ascii="宋体" w:hAnsi="宋体"/>
          <w:w w:val="90"/>
          <w:sz w:val="28"/>
          <w:szCs w:val="28"/>
        </w:rPr>
        <w:t xml:space="preserve">0818-3331933           </w:t>
      </w:r>
    </w:p>
    <w:p>
      <w:pPr>
        <w:pStyle w:val="34"/>
        <w:spacing w:line="560" w:lineRule="exact"/>
        <w:ind w:left="0"/>
        <w:jc w:val="left"/>
        <w:rPr>
          <w:rFonts w:ascii="宋体"/>
          <w:w w:val="90"/>
          <w:sz w:val="28"/>
          <w:szCs w:val="28"/>
        </w:rPr>
      </w:pPr>
      <w:r>
        <w:rPr>
          <w:rFonts w:hint="eastAsia" w:ascii="宋体" w:hAnsi="宋体"/>
          <w:w w:val="90"/>
          <w:sz w:val="28"/>
          <w:szCs w:val="28"/>
        </w:rPr>
        <w:t>竞得人：</w:t>
      </w:r>
      <w:r>
        <w:rPr>
          <w:rFonts w:ascii="宋体" w:hAnsi="宋体"/>
          <w:w w:val="90"/>
          <w:sz w:val="28"/>
          <w:szCs w:val="28"/>
        </w:rPr>
        <w:t xml:space="preserve">               </w:t>
      </w:r>
    </w:p>
    <w:p>
      <w:pPr>
        <w:pStyle w:val="34"/>
        <w:spacing w:line="560" w:lineRule="exact"/>
        <w:ind w:left="0"/>
        <w:jc w:val="left"/>
        <w:rPr>
          <w:rFonts w:ascii="宋体"/>
          <w:w w:val="90"/>
          <w:sz w:val="28"/>
          <w:szCs w:val="28"/>
        </w:rPr>
      </w:pPr>
      <w:r>
        <w:rPr>
          <w:rFonts w:hint="eastAsia" w:ascii="宋体" w:hAnsi="宋体"/>
          <w:w w:val="90"/>
          <w:sz w:val="28"/>
          <w:szCs w:val="28"/>
        </w:rPr>
        <w:t>法定代表人：</w:t>
      </w:r>
      <w:r>
        <w:rPr>
          <w:rFonts w:ascii="宋体" w:hAnsi="宋体"/>
          <w:w w:val="90"/>
          <w:sz w:val="28"/>
          <w:szCs w:val="28"/>
        </w:rPr>
        <w:t xml:space="preserve">                    </w:t>
      </w:r>
    </w:p>
    <w:p>
      <w:pPr>
        <w:pStyle w:val="34"/>
        <w:spacing w:line="560" w:lineRule="exact"/>
        <w:ind w:left="0"/>
        <w:jc w:val="left"/>
        <w:rPr>
          <w:rFonts w:ascii="宋体"/>
          <w:color w:val="000000"/>
          <w:w w:val="90"/>
          <w:sz w:val="28"/>
          <w:szCs w:val="28"/>
        </w:rPr>
      </w:pPr>
      <w:r>
        <w:rPr>
          <w:rFonts w:hint="eastAsia" w:ascii="宋体" w:hAnsi="宋体"/>
          <w:w w:val="90"/>
          <w:sz w:val="28"/>
          <w:szCs w:val="28"/>
        </w:rPr>
        <w:t>委托代理人：</w:t>
      </w:r>
      <w:r>
        <w:rPr>
          <w:rFonts w:ascii="宋体" w:hAnsi="宋体"/>
          <w:w w:val="90"/>
          <w:sz w:val="28"/>
          <w:szCs w:val="28"/>
        </w:rPr>
        <w:t xml:space="preserve">                    </w:t>
      </w:r>
      <w:r>
        <w:rPr>
          <w:rFonts w:ascii="宋体" w:hAnsi="宋体"/>
          <w:color w:val="000000"/>
          <w:w w:val="90"/>
          <w:sz w:val="28"/>
          <w:szCs w:val="28"/>
        </w:rPr>
        <w:t xml:space="preserve">                  </w:t>
      </w:r>
    </w:p>
    <w:p>
      <w:pPr>
        <w:pStyle w:val="34"/>
        <w:spacing w:line="560" w:lineRule="exact"/>
        <w:ind w:left="0"/>
        <w:jc w:val="left"/>
        <w:rPr>
          <w:rFonts w:ascii="宋体"/>
          <w:w w:val="90"/>
          <w:sz w:val="28"/>
          <w:szCs w:val="28"/>
        </w:rPr>
      </w:pPr>
      <w:r>
        <w:rPr>
          <w:rFonts w:hint="eastAsia" w:ascii="宋体" w:hAnsi="宋体"/>
          <w:w w:val="90"/>
          <w:sz w:val="28"/>
          <w:szCs w:val="28"/>
        </w:rPr>
        <w:t>联系电话：</w:t>
      </w:r>
      <w:r>
        <w:rPr>
          <w:rFonts w:ascii="宋体" w:hAnsi="宋体"/>
          <w:w w:val="90"/>
          <w:sz w:val="28"/>
          <w:szCs w:val="28"/>
        </w:rPr>
        <w:t xml:space="preserve">         </w:t>
      </w:r>
    </w:p>
    <w:p>
      <w:pPr>
        <w:pStyle w:val="34"/>
        <w:spacing w:line="560" w:lineRule="exact"/>
        <w:ind w:left="0"/>
        <w:jc w:val="left"/>
        <w:rPr>
          <w:rFonts w:ascii="宋体"/>
          <w:w w:val="90"/>
          <w:sz w:val="28"/>
          <w:szCs w:val="28"/>
        </w:rPr>
      </w:pPr>
    </w:p>
    <w:p>
      <w:pPr>
        <w:pStyle w:val="34"/>
        <w:spacing w:line="560" w:lineRule="exact"/>
        <w:ind w:left="0"/>
        <w:jc w:val="left"/>
        <w:rPr>
          <w:rFonts w:ascii="宋体"/>
          <w:w w:val="90"/>
          <w:sz w:val="28"/>
          <w:szCs w:val="28"/>
        </w:rPr>
      </w:pPr>
      <w:r>
        <w:rPr>
          <w:rFonts w:hint="eastAsia" w:ascii="宋体" w:hAnsi="宋体"/>
          <w:w w:val="90"/>
          <w:sz w:val="28"/>
          <w:szCs w:val="28"/>
        </w:rPr>
        <w:t>公证员：</w:t>
      </w:r>
      <w:r>
        <w:rPr>
          <w:rFonts w:ascii="宋体" w:hAnsi="宋体"/>
          <w:w w:val="90"/>
          <w:sz w:val="28"/>
          <w:szCs w:val="28"/>
        </w:rPr>
        <w:t xml:space="preserve">               </w:t>
      </w:r>
    </w:p>
    <w:p>
      <w:pPr>
        <w:pStyle w:val="34"/>
        <w:spacing w:line="560" w:lineRule="exact"/>
        <w:ind w:left="0"/>
        <w:jc w:val="left"/>
        <w:rPr>
          <w:rFonts w:ascii="宋体"/>
          <w:color w:val="000000"/>
          <w:w w:val="90"/>
          <w:sz w:val="28"/>
          <w:szCs w:val="28"/>
        </w:rPr>
      </w:pPr>
      <w:r>
        <w:rPr>
          <w:rFonts w:hint="eastAsia" w:ascii="宋体" w:hAnsi="宋体"/>
          <w:w w:val="90"/>
          <w:sz w:val="28"/>
          <w:szCs w:val="28"/>
        </w:rPr>
        <w:t>联系电话：</w:t>
      </w:r>
      <w:r>
        <w:rPr>
          <w:rFonts w:ascii="宋体" w:hAnsi="宋体"/>
          <w:w w:val="90"/>
          <w:sz w:val="28"/>
          <w:szCs w:val="28"/>
        </w:rPr>
        <w:t xml:space="preserve">                                       </w:t>
      </w:r>
      <w:r>
        <w:rPr>
          <w:rFonts w:ascii="宋体" w:hAnsi="宋体"/>
          <w:color w:val="000000"/>
          <w:w w:val="90"/>
          <w:sz w:val="28"/>
          <w:szCs w:val="28"/>
        </w:rPr>
        <w:t xml:space="preserve">                  </w:t>
      </w:r>
    </w:p>
    <w:p>
      <w:pPr>
        <w:jc w:val="left"/>
        <w:rPr>
          <w:rFonts w:ascii="黑体" w:eastAsia="黑体" w:cs="黑体"/>
          <w:sz w:val="32"/>
          <w:szCs w:val="32"/>
        </w:rPr>
      </w:pPr>
    </w:p>
    <w:p>
      <w:pPr>
        <w:pStyle w:val="34"/>
        <w:spacing w:line="560" w:lineRule="exact"/>
        <w:ind w:left="0" w:firstLine="5292" w:firstLineChars="2100"/>
        <w:jc w:val="left"/>
        <w:rPr>
          <w:rFonts w:ascii="宋体"/>
          <w:w w:val="90"/>
          <w:sz w:val="28"/>
          <w:szCs w:val="28"/>
        </w:rPr>
      </w:pPr>
      <w:r>
        <w:rPr>
          <w:rFonts w:hint="eastAsia" w:ascii="宋体" w:hAnsi="宋体"/>
          <w:w w:val="90"/>
          <w:sz w:val="28"/>
          <w:szCs w:val="28"/>
        </w:rPr>
        <w:t>签约时间：</w:t>
      </w:r>
      <w:r>
        <w:rPr>
          <w:rFonts w:ascii="宋体" w:hAnsi="宋体"/>
          <w:w w:val="90"/>
          <w:sz w:val="28"/>
          <w:szCs w:val="28"/>
        </w:rPr>
        <w:t xml:space="preserve">  </w:t>
      </w:r>
      <w:r>
        <w:rPr>
          <w:rFonts w:hint="eastAsia" w:ascii="宋体" w:hAnsi="宋体"/>
          <w:w w:val="90"/>
          <w:sz w:val="28"/>
          <w:szCs w:val="28"/>
        </w:rPr>
        <w:t>年</w:t>
      </w:r>
      <w:r>
        <w:rPr>
          <w:rFonts w:ascii="宋体" w:hAnsi="宋体"/>
          <w:w w:val="90"/>
          <w:sz w:val="28"/>
          <w:szCs w:val="28"/>
        </w:rPr>
        <w:t xml:space="preserve">  </w:t>
      </w:r>
      <w:r>
        <w:rPr>
          <w:rFonts w:hint="eastAsia" w:ascii="宋体" w:hAnsi="宋体"/>
          <w:w w:val="90"/>
          <w:sz w:val="28"/>
          <w:szCs w:val="28"/>
        </w:rPr>
        <w:t>月</w:t>
      </w:r>
      <w:r>
        <w:rPr>
          <w:rFonts w:ascii="宋体" w:hAnsi="宋体"/>
          <w:w w:val="90"/>
          <w:sz w:val="28"/>
          <w:szCs w:val="28"/>
        </w:rPr>
        <w:t xml:space="preserve">  </w:t>
      </w:r>
      <w:r>
        <w:rPr>
          <w:rFonts w:hint="eastAsia" w:ascii="宋体" w:hAnsi="宋体"/>
          <w:w w:val="90"/>
          <w:sz w:val="28"/>
          <w:szCs w:val="28"/>
        </w:rPr>
        <w:t>日</w:t>
      </w:r>
    </w:p>
    <w:p>
      <w:pPr>
        <w:jc w:val="left"/>
        <w:rPr>
          <w:rFonts w:ascii="黑体" w:eastAsia="黑体" w:cs="黑体"/>
          <w:sz w:val="32"/>
          <w:szCs w:val="32"/>
        </w:rPr>
      </w:pPr>
    </w:p>
    <w:p>
      <w:pPr>
        <w:jc w:val="left"/>
        <w:rPr>
          <w:rFonts w:hint="eastAsia" w:ascii="黑体" w:eastAsia="黑体" w:cs="黑体"/>
          <w:sz w:val="32"/>
          <w:szCs w:val="32"/>
          <w:lang w:val="en-US" w:eastAsia="zh-CN"/>
        </w:rPr>
      </w:pPr>
    </w:p>
    <w:p>
      <w:pPr>
        <w:jc w:val="left"/>
        <w:rPr>
          <w:rFonts w:hint="eastAsia" w:ascii="黑体" w:eastAsia="黑体" w:cs="黑体"/>
          <w:sz w:val="32"/>
          <w:szCs w:val="32"/>
          <w:lang w:val="en-US" w:eastAsia="zh-CN"/>
        </w:rPr>
      </w:pPr>
    </w:p>
    <w:p>
      <w:pPr>
        <w:jc w:val="left"/>
        <w:rPr>
          <w:rFonts w:hint="eastAsia" w:ascii="黑体" w:eastAsia="黑体" w:cs="黑体"/>
          <w:sz w:val="32"/>
          <w:szCs w:val="32"/>
          <w:lang w:val="en-US" w:eastAsia="zh-CN"/>
        </w:rPr>
      </w:pPr>
    </w:p>
    <w:p>
      <w:pPr>
        <w:jc w:val="left"/>
        <w:rPr>
          <w:rFonts w:hint="eastAsia" w:ascii="黑体" w:eastAsia="黑体" w:cs="黑体"/>
          <w:sz w:val="32"/>
          <w:szCs w:val="32"/>
          <w:lang w:val="en-US" w:eastAsia="zh-CN"/>
        </w:rPr>
      </w:pPr>
    </w:p>
    <w:p>
      <w:pPr>
        <w:jc w:val="left"/>
        <w:rPr>
          <w:rFonts w:hint="eastAsia" w:ascii="黑体" w:eastAsia="黑体" w:cs="黑体"/>
          <w:sz w:val="32"/>
          <w:szCs w:val="32"/>
          <w:lang w:val="en-US" w:eastAsia="zh-CN"/>
        </w:rPr>
      </w:pPr>
    </w:p>
    <w:p>
      <w:pPr>
        <w:jc w:val="left"/>
        <w:rPr>
          <w:rFonts w:hint="eastAsia" w:ascii="黑体" w:eastAsia="黑体" w:cs="黑体"/>
          <w:sz w:val="32"/>
          <w:szCs w:val="32"/>
          <w:lang w:val="en-US" w:eastAsia="zh-CN"/>
        </w:rPr>
      </w:pPr>
    </w:p>
    <w:p>
      <w:pPr>
        <w:jc w:val="left"/>
        <w:rPr>
          <w:rFonts w:hint="eastAsia" w:ascii="黑体" w:eastAsia="黑体" w:cs="黑体"/>
          <w:sz w:val="32"/>
          <w:szCs w:val="32"/>
          <w:lang w:val="en-US" w:eastAsia="zh-CN"/>
        </w:rPr>
      </w:pPr>
      <w:r>
        <w:rPr>
          <w:rFonts w:hint="eastAsia" w:ascii="黑体" w:eastAsia="黑体" w:cs="黑体"/>
          <w:sz w:val="32"/>
          <w:szCs w:val="32"/>
          <w:lang w:val="en-US" w:eastAsia="zh-CN"/>
        </w:rPr>
        <w:t>附件：</w:t>
      </w:r>
    </w:p>
    <w:p>
      <w:pPr>
        <w:adjustRightInd w:val="0"/>
        <w:snapToGrid w:val="0"/>
        <w:spacing w:line="360" w:lineRule="auto"/>
        <w:ind w:left="-540" w:leftChars="-257" w:right="-334" w:rightChars="-159" w:firstLine="286" w:firstLineChars="89"/>
        <w:jc w:val="center"/>
        <w:rPr>
          <w:b/>
          <w:bCs/>
          <w:color w:val="000000"/>
          <w:sz w:val="32"/>
          <w:szCs w:val="32"/>
        </w:rPr>
      </w:pPr>
    </w:p>
    <w:p>
      <w:pPr>
        <w:adjustRightInd w:val="0"/>
        <w:snapToGrid w:val="0"/>
        <w:spacing w:line="360" w:lineRule="auto"/>
        <w:ind w:left="-540" w:leftChars="-257" w:right="-334" w:rightChars="-159" w:firstLine="286" w:firstLineChars="89"/>
        <w:jc w:val="center"/>
        <w:rPr>
          <w:b/>
          <w:bCs/>
          <w:color w:val="000000"/>
          <w:sz w:val="32"/>
          <w:szCs w:val="32"/>
        </w:rPr>
      </w:pPr>
    </w:p>
    <w:p>
      <w:pPr>
        <w:jc w:val="center"/>
        <w:rPr>
          <w:b/>
          <w:bCs/>
          <w:color w:val="000000"/>
          <w:kern w:val="0"/>
          <w:sz w:val="36"/>
          <w:szCs w:val="36"/>
        </w:rPr>
      </w:pPr>
      <w:r>
        <w:rPr>
          <w:b/>
          <w:bCs/>
          <w:color w:val="000000"/>
          <w:kern w:val="0"/>
          <w:sz w:val="36"/>
          <w:szCs w:val="36"/>
        </w:rPr>
        <w:t>达州市达川区</w:t>
      </w:r>
      <w:r>
        <w:rPr>
          <w:rFonts w:hint="eastAsia"/>
          <w:b/>
          <w:bCs/>
          <w:color w:val="000000"/>
          <w:kern w:val="0"/>
          <w:sz w:val="36"/>
          <w:szCs w:val="36"/>
        </w:rPr>
        <w:t>石桥</w:t>
      </w:r>
      <w:r>
        <w:rPr>
          <w:b/>
          <w:bCs/>
          <w:color w:val="000000"/>
          <w:kern w:val="0"/>
          <w:sz w:val="36"/>
          <w:szCs w:val="36"/>
        </w:rPr>
        <w:t>镇</w:t>
      </w:r>
      <w:r>
        <w:rPr>
          <w:rFonts w:hint="eastAsia"/>
          <w:b/>
          <w:bCs/>
          <w:color w:val="000000"/>
          <w:kern w:val="0"/>
          <w:sz w:val="36"/>
          <w:szCs w:val="36"/>
        </w:rPr>
        <w:t>麻油沟</w:t>
      </w:r>
      <w:r>
        <w:rPr>
          <w:b/>
          <w:bCs/>
          <w:color w:val="000000"/>
          <w:kern w:val="0"/>
          <w:sz w:val="36"/>
          <w:szCs w:val="36"/>
        </w:rPr>
        <w:t>村</w:t>
      </w:r>
      <w:r>
        <w:rPr>
          <w:rFonts w:hint="eastAsia"/>
          <w:b/>
          <w:bCs/>
          <w:color w:val="000000"/>
          <w:kern w:val="0"/>
          <w:sz w:val="36"/>
          <w:szCs w:val="36"/>
        </w:rPr>
        <w:t>小儿坡页</w:t>
      </w:r>
      <w:r>
        <w:rPr>
          <w:b/>
          <w:bCs/>
          <w:color w:val="000000"/>
          <w:kern w:val="0"/>
          <w:sz w:val="36"/>
          <w:szCs w:val="36"/>
        </w:rPr>
        <w:t>岩矿</w:t>
      </w:r>
    </w:p>
    <w:p>
      <w:pPr>
        <w:jc w:val="center"/>
        <w:rPr>
          <w:b/>
          <w:bCs/>
          <w:color w:val="000000"/>
          <w:kern w:val="0"/>
          <w:sz w:val="52"/>
          <w:szCs w:val="52"/>
        </w:rPr>
      </w:pPr>
      <w:r>
        <w:rPr>
          <w:b/>
          <w:bCs/>
          <w:color w:val="000000"/>
          <w:kern w:val="0"/>
          <w:sz w:val="52"/>
          <w:szCs w:val="52"/>
        </w:rPr>
        <w:t>资源量核实报告</w:t>
      </w:r>
    </w:p>
    <w:p>
      <w:pPr>
        <w:ind w:firstLine="967" w:firstLineChars="344"/>
        <w:rPr>
          <w:b/>
          <w:bCs/>
          <w:color w:val="FF0000"/>
          <w:sz w:val="28"/>
        </w:rPr>
      </w:pPr>
      <w:bookmarkStart w:id="65" w:name="_GoBack"/>
      <w:bookmarkEnd w:id="65"/>
    </w:p>
    <w:p/>
    <w:p/>
    <w:p/>
    <w:p/>
    <w:p/>
    <w:p/>
    <w:p/>
    <w:p/>
    <w:p/>
    <w:p/>
    <w:p/>
    <w:p/>
    <w:p/>
    <w:p/>
    <w:p/>
    <w:p/>
    <w:p/>
    <w:p/>
    <w:p/>
    <w:p/>
    <w:p/>
    <w:p/>
    <w:p/>
    <w:p/>
    <w:p/>
    <w:p/>
    <w:p/>
    <w:p>
      <w:pPr>
        <w:jc w:val="center"/>
        <w:rPr>
          <w:b/>
          <w:bCs/>
          <w:color w:val="000000"/>
          <w:sz w:val="32"/>
          <w:szCs w:val="32"/>
        </w:rPr>
      </w:pPr>
      <w:r>
        <w:rPr>
          <w:b/>
          <w:bCs/>
          <w:color w:val="000000"/>
          <w:sz w:val="32"/>
          <w:szCs w:val="32"/>
        </w:rPr>
        <w:t>达州市达川区自然资源局</w:t>
      </w:r>
    </w:p>
    <w:p>
      <w:pPr>
        <w:jc w:val="center"/>
        <w:rPr>
          <w:b/>
          <w:bCs/>
          <w:color w:val="000000"/>
          <w:sz w:val="32"/>
          <w:szCs w:val="32"/>
        </w:rPr>
      </w:pPr>
      <w:r>
        <w:rPr>
          <w:b/>
          <w:bCs/>
          <w:color w:val="000000"/>
          <w:sz w:val="32"/>
          <w:szCs w:val="32"/>
        </w:rPr>
        <w:t>二</w:t>
      </w:r>
      <w:r>
        <w:rPr>
          <w:rFonts w:ascii="宋体" w:hAnsi="宋体"/>
          <w:b/>
          <w:bCs/>
          <w:color w:val="000000"/>
          <w:sz w:val="32"/>
          <w:szCs w:val="32"/>
        </w:rPr>
        <w:t>○</w:t>
      </w:r>
      <w:r>
        <w:rPr>
          <w:b/>
          <w:bCs/>
          <w:color w:val="000000"/>
          <w:sz w:val="32"/>
          <w:szCs w:val="32"/>
        </w:rPr>
        <w:t>二</w:t>
      </w:r>
      <w:r>
        <w:rPr>
          <w:rFonts w:hint="eastAsia" w:ascii="宋体" w:hAnsi="宋体"/>
          <w:b/>
          <w:bCs/>
          <w:color w:val="000000"/>
          <w:sz w:val="32"/>
          <w:szCs w:val="32"/>
        </w:rPr>
        <w:t>一</w:t>
      </w:r>
      <w:r>
        <w:rPr>
          <w:b/>
          <w:bCs/>
          <w:color w:val="000000"/>
          <w:sz w:val="32"/>
          <w:szCs w:val="32"/>
        </w:rPr>
        <w:t>年一月</w:t>
      </w:r>
    </w:p>
    <w:p>
      <w:pPr>
        <w:ind w:firstLine="1928" w:firstLineChars="600"/>
        <w:rPr>
          <w:b/>
          <w:bCs/>
          <w:color w:val="000000"/>
          <w:sz w:val="32"/>
          <w:szCs w:val="32"/>
        </w:rPr>
        <w:sectPr>
          <w:headerReference r:id="rId6" w:type="default"/>
          <w:footerReference r:id="rId7" w:type="even"/>
          <w:pgSz w:w="11907" w:h="16840"/>
          <w:pgMar w:top="1418" w:right="1134" w:bottom="1418" w:left="1701" w:header="851" w:footer="992" w:gutter="0"/>
          <w:pgNumType w:start="1"/>
          <w:cols w:space="720" w:num="1"/>
          <w:docGrid w:type="lines" w:linePitch="312" w:charSpace="-4108"/>
        </w:sectPr>
      </w:pPr>
    </w:p>
    <w:p>
      <w:pPr>
        <w:jc w:val="center"/>
        <w:rPr>
          <w:b/>
          <w:bCs/>
          <w:color w:val="000000"/>
          <w:sz w:val="28"/>
          <w:szCs w:val="28"/>
        </w:rPr>
      </w:pPr>
    </w:p>
    <w:p>
      <w:pPr>
        <w:adjustRightInd w:val="0"/>
        <w:snapToGrid w:val="0"/>
        <w:spacing w:line="360" w:lineRule="auto"/>
        <w:ind w:left="-540" w:leftChars="-257" w:right="-334" w:rightChars="-159" w:firstLine="393" w:firstLineChars="89"/>
        <w:jc w:val="center"/>
        <w:rPr>
          <w:b/>
          <w:bCs/>
          <w:color w:val="000000"/>
          <w:sz w:val="44"/>
          <w:szCs w:val="44"/>
        </w:rPr>
      </w:pPr>
    </w:p>
    <w:p>
      <w:pPr>
        <w:jc w:val="center"/>
        <w:rPr>
          <w:b/>
          <w:bCs/>
          <w:color w:val="000000"/>
          <w:kern w:val="0"/>
          <w:sz w:val="36"/>
          <w:szCs w:val="36"/>
        </w:rPr>
      </w:pPr>
      <w:r>
        <w:rPr>
          <w:b/>
          <w:bCs/>
          <w:color w:val="000000"/>
          <w:kern w:val="0"/>
          <w:sz w:val="36"/>
          <w:szCs w:val="36"/>
        </w:rPr>
        <w:t>达州市达川区</w:t>
      </w:r>
      <w:r>
        <w:rPr>
          <w:rFonts w:hint="eastAsia"/>
          <w:b/>
          <w:bCs/>
          <w:color w:val="000000"/>
          <w:kern w:val="0"/>
          <w:sz w:val="36"/>
          <w:szCs w:val="36"/>
        </w:rPr>
        <w:t>石桥</w:t>
      </w:r>
      <w:r>
        <w:rPr>
          <w:b/>
          <w:bCs/>
          <w:color w:val="000000"/>
          <w:kern w:val="0"/>
          <w:sz w:val="36"/>
          <w:szCs w:val="36"/>
        </w:rPr>
        <w:t>镇</w:t>
      </w:r>
      <w:r>
        <w:rPr>
          <w:rFonts w:hint="eastAsia"/>
          <w:b/>
          <w:bCs/>
          <w:color w:val="000000"/>
          <w:kern w:val="0"/>
          <w:sz w:val="36"/>
          <w:szCs w:val="36"/>
        </w:rPr>
        <w:t>麻油沟</w:t>
      </w:r>
      <w:r>
        <w:rPr>
          <w:b/>
          <w:bCs/>
          <w:color w:val="000000"/>
          <w:kern w:val="0"/>
          <w:sz w:val="36"/>
          <w:szCs w:val="36"/>
        </w:rPr>
        <w:t>村</w:t>
      </w:r>
      <w:r>
        <w:rPr>
          <w:rFonts w:hint="eastAsia"/>
          <w:b/>
          <w:bCs/>
          <w:color w:val="000000"/>
          <w:kern w:val="0"/>
          <w:sz w:val="36"/>
          <w:szCs w:val="36"/>
        </w:rPr>
        <w:t>小儿坡页</w:t>
      </w:r>
      <w:r>
        <w:rPr>
          <w:b/>
          <w:bCs/>
          <w:color w:val="000000"/>
          <w:kern w:val="0"/>
          <w:sz w:val="36"/>
          <w:szCs w:val="36"/>
        </w:rPr>
        <w:t>岩矿</w:t>
      </w:r>
    </w:p>
    <w:p>
      <w:pPr>
        <w:jc w:val="center"/>
        <w:rPr>
          <w:b/>
          <w:bCs/>
          <w:color w:val="000000"/>
          <w:kern w:val="0"/>
          <w:sz w:val="52"/>
          <w:szCs w:val="52"/>
        </w:rPr>
      </w:pPr>
      <w:r>
        <w:rPr>
          <w:b/>
          <w:bCs/>
          <w:color w:val="000000"/>
          <w:kern w:val="0"/>
          <w:sz w:val="52"/>
          <w:szCs w:val="52"/>
        </w:rPr>
        <w:t>资源量核实报告</w:t>
      </w:r>
    </w:p>
    <w:p/>
    <w:p>
      <w:pPr>
        <w:ind w:right="-85"/>
        <w:rPr>
          <w:b/>
          <w:bCs/>
          <w:color w:val="FF0000"/>
          <w:sz w:val="30"/>
        </w:rPr>
      </w:pPr>
    </w:p>
    <w:p>
      <w:pPr>
        <w:ind w:right="-85"/>
        <w:rPr>
          <w:b/>
          <w:bCs/>
          <w:color w:val="FF0000"/>
          <w:sz w:val="30"/>
        </w:rPr>
      </w:pPr>
    </w:p>
    <w:p>
      <w:pPr>
        <w:ind w:right="-85"/>
        <w:rPr>
          <w:b/>
          <w:bCs/>
          <w:color w:val="FF0000"/>
          <w:sz w:val="30"/>
        </w:rPr>
      </w:pPr>
    </w:p>
    <w:p>
      <w:pPr>
        <w:widowControl/>
        <w:adjustRightInd w:val="0"/>
        <w:snapToGrid w:val="0"/>
        <w:spacing w:line="480" w:lineRule="auto"/>
        <w:ind w:firstLine="1800" w:firstLineChars="600"/>
        <w:jc w:val="left"/>
        <w:rPr>
          <w:rFonts w:eastAsia="宋"/>
          <w:bCs/>
          <w:color w:val="000000"/>
          <w:kern w:val="0"/>
          <w:sz w:val="30"/>
          <w:szCs w:val="30"/>
          <w:lang w:bidi="ar"/>
        </w:rPr>
      </w:pPr>
      <w:r>
        <w:rPr>
          <w:bCs/>
          <w:color w:val="000000"/>
          <w:sz w:val="30"/>
          <w:szCs w:val="30"/>
        </w:rPr>
        <w:t>项目委托方：</w:t>
      </w:r>
      <w:r>
        <w:rPr>
          <w:rFonts w:hAnsi="宋" w:eastAsia="宋"/>
          <w:bCs/>
          <w:color w:val="000000"/>
          <w:kern w:val="0"/>
          <w:sz w:val="30"/>
          <w:szCs w:val="30"/>
          <w:lang w:bidi="ar"/>
        </w:rPr>
        <w:t>达州市达川区自然资源局</w:t>
      </w:r>
    </w:p>
    <w:p>
      <w:pPr>
        <w:widowControl/>
        <w:adjustRightInd w:val="0"/>
        <w:snapToGrid w:val="0"/>
        <w:spacing w:line="480" w:lineRule="auto"/>
        <w:ind w:firstLine="1800" w:firstLineChars="600"/>
        <w:jc w:val="left"/>
        <w:rPr>
          <w:bCs/>
          <w:color w:val="000000"/>
          <w:sz w:val="30"/>
          <w:szCs w:val="30"/>
        </w:rPr>
      </w:pPr>
      <w:r>
        <w:rPr>
          <w:bCs/>
          <w:color w:val="000000"/>
          <w:sz w:val="30"/>
          <w:szCs w:val="30"/>
        </w:rPr>
        <w:t>项目承担方：四川川联勘工程技术有限公司</w:t>
      </w:r>
    </w:p>
    <w:p>
      <w:pPr>
        <w:widowControl/>
        <w:adjustRightInd w:val="0"/>
        <w:snapToGrid w:val="0"/>
        <w:spacing w:line="480" w:lineRule="auto"/>
        <w:ind w:firstLine="1800" w:firstLineChars="600"/>
        <w:jc w:val="left"/>
        <w:rPr>
          <w:bCs/>
          <w:color w:val="000000"/>
          <w:sz w:val="30"/>
          <w:szCs w:val="30"/>
        </w:rPr>
      </w:pPr>
      <w:r>
        <w:rPr>
          <w:bCs/>
          <w:color w:val="000000"/>
          <w:sz w:val="30"/>
          <w:szCs w:val="30"/>
        </w:rPr>
        <w:t xml:space="preserve">项目负责人：  何  浩 </w:t>
      </w:r>
    </w:p>
    <w:p>
      <w:pPr>
        <w:widowControl/>
        <w:adjustRightInd w:val="0"/>
        <w:snapToGrid w:val="0"/>
        <w:spacing w:line="480" w:lineRule="auto"/>
        <w:ind w:firstLine="1800" w:firstLineChars="600"/>
        <w:jc w:val="left"/>
        <w:rPr>
          <w:rFonts w:hint="default" w:eastAsia="宋体"/>
          <w:bCs/>
          <w:color w:val="000000"/>
          <w:sz w:val="30"/>
          <w:szCs w:val="30"/>
          <w:lang w:val="en-US" w:eastAsia="zh-CN"/>
        </w:rPr>
      </w:pPr>
      <w:r>
        <w:rPr>
          <w:bCs/>
          <w:color w:val="000000"/>
          <w:sz w:val="30"/>
          <w:szCs w:val="30"/>
        </w:rPr>
        <w:t>编 制 人：    何浩</w:t>
      </w:r>
      <w:r>
        <w:rPr>
          <w:rFonts w:hint="eastAsia"/>
          <w:bCs/>
          <w:color w:val="000000"/>
          <w:sz w:val="30"/>
          <w:szCs w:val="30"/>
          <w:lang w:val="en-US" w:eastAsia="zh-CN"/>
        </w:rPr>
        <w:t xml:space="preserve">  潘星星  </w:t>
      </w:r>
    </w:p>
    <w:p>
      <w:pPr>
        <w:widowControl/>
        <w:adjustRightInd w:val="0"/>
        <w:snapToGrid w:val="0"/>
        <w:spacing w:line="480" w:lineRule="auto"/>
        <w:ind w:firstLine="1800" w:firstLineChars="600"/>
        <w:jc w:val="left"/>
        <w:rPr>
          <w:bCs/>
          <w:color w:val="000000"/>
          <w:sz w:val="30"/>
          <w:szCs w:val="30"/>
        </w:rPr>
      </w:pPr>
      <w:r>
        <w:rPr>
          <w:bCs/>
          <w:color w:val="000000"/>
          <w:sz w:val="30"/>
          <w:szCs w:val="30"/>
        </w:rPr>
        <w:t>审 核 人：    陈  刚</w:t>
      </w:r>
    </w:p>
    <w:p>
      <w:pPr>
        <w:widowControl/>
        <w:adjustRightInd w:val="0"/>
        <w:snapToGrid w:val="0"/>
        <w:spacing w:line="480" w:lineRule="auto"/>
        <w:ind w:firstLine="1800" w:firstLineChars="600"/>
        <w:jc w:val="left"/>
        <w:rPr>
          <w:bCs/>
          <w:color w:val="000000"/>
          <w:sz w:val="30"/>
          <w:szCs w:val="30"/>
        </w:rPr>
      </w:pPr>
      <w:r>
        <w:rPr>
          <w:bCs/>
          <w:color w:val="000000"/>
          <w:sz w:val="30"/>
          <w:szCs w:val="30"/>
        </w:rPr>
        <w:t>总工程师：    陈  刚</w:t>
      </w:r>
    </w:p>
    <w:p>
      <w:pPr>
        <w:widowControl/>
        <w:adjustRightInd w:val="0"/>
        <w:snapToGrid w:val="0"/>
        <w:spacing w:line="480" w:lineRule="auto"/>
        <w:ind w:firstLine="1800" w:firstLineChars="600"/>
        <w:jc w:val="left"/>
        <w:rPr>
          <w:bCs/>
          <w:color w:val="000000"/>
          <w:sz w:val="30"/>
          <w:szCs w:val="30"/>
        </w:rPr>
      </w:pPr>
      <w:r>
        <w:rPr>
          <w:bCs/>
          <w:color w:val="000000"/>
          <w:sz w:val="30"/>
          <w:szCs w:val="30"/>
        </w:rPr>
        <w:t>总 经 理：    潘力霞</w:t>
      </w:r>
    </w:p>
    <w:p>
      <w:pPr>
        <w:rPr>
          <w:sz w:val="24"/>
        </w:rPr>
      </w:pPr>
    </w:p>
    <w:p>
      <w:pPr>
        <w:rPr>
          <w:sz w:val="24"/>
        </w:rPr>
      </w:pPr>
    </w:p>
    <w:p>
      <w:pPr>
        <w:rPr>
          <w:sz w:val="24"/>
        </w:rPr>
      </w:pPr>
    </w:p>
    <w:p>
      <w:pPr>
        <w:widowControl/>
        <w:ind w:firstLine="1747" w:firstLineChars="600"/>
        <w:jc w:val="left"/>
      </w:pPr>
      <w:r>
        <w:rPr>
          <w:rFonts w:eastAsia="宋"/>
          <w:b/>
          <w:color w:val="000000"/>
          <w:kern w:val="0"/>
          <w:sz w:val="29"/>
          <w:szCs w:val="29"/>
          <w:lang w:bidi="ar"/>
        </w:rPr>
        <w:t xml:space="preserve"> </w:t>
      </w:r>
    </w:p>
    <w:p>
      <w:pPr>
        <w:widowControl/>
        <w:ind w:firstLine="1800" w:firstLineChars="600"/>
        <w:jc w:val="left"/>
        <w:rPr>
          <w:sz w:val="30"/>
          <w:szCs w:val="30"/>
        </w:rPr>
      </w:pPr>
      <w:r>
        <w:rPr>
          <w:rFonts w:hAnsi="宋" w:eastAsia="宋"/>
          <w:color w:val="000000"/>
          <w:kern w:val="0"/>
          <w:sz w:val="30"/>
          <w:szCs w:val="30"/>
          <w:lang w:bidi="ar"/>
        </w:rPr>
        <w:t>编制报告单位：四川川联勘工程技术有限公司</w:t>
      </w:r>
      <w:r>
        <w:rPr>
          <w:rFonts w:eastAsia="宋"/>
          <w:color w:val="000000"/>
          <w:kern w:val="0"/>
          <w:sz w:val="30"/>
          <w:szCs w:val="30"/>
          <w:lang w:bidi="ar"/>
        </w:rPr>
        <w:t xml:space="preserve"> </w:t>
      </w:r>
    </w:p>
    <w:p>
      <w:pPr>
        <w:widowControl/>
        <w:ind w:firstLine="1800" w:firstLineChars="600"/>
        <w:jc w:val="left"/>
        <w:rPr>
          <w:sz w:val="28"/>
          <w:szCs w:val="28"/>
        </w:rPr>
      </w:pPr>
      <w:r>
        <w:rPr>
          <w:rFonts w:hAnsi="宋" w:eastAsia="宋"/>
          <w:color w:val="000000"/>
          <w:kern w:val="0"/>
          <w:sz w:val="30"/>
          <w:szCs w:val="30"/>
          <w:lang w:bidi="ar"/>
        </w:rPr>
        <w:t>提交报告时间：二</w:t>
      </w:r>
      <w:r>
        <w:rPr>
          <w:rFonts w:ascii="宋体" w:hAnsi="宋体"/>
          <w:color w:val="000000"/>
          <w:kern w:val="0"/>
          <w:sz w:val="30"/>
          <w:szCs w:val="30"/>
          <w:lang w:bidi="ar"/>
        </w:rPr>
        <w:t>○</w:t>
      </w:r>
      <w:r>
        <w:rPr>
          <w:rFonts w:hAnsi="宋" w:eastAsia="宋"/>
          <w:color w:val="000000"/>
          <w:kern w:val="0"/>
          <w:sz w:val="30"/>
          <w:szCs w:val="30"/>
          <w:lang w:bidi="ar"/>
        </w:rPr>
        <w:t>二</w:t>
      </w:r>
      <w:r>
        <w:rPr>
          <w:rFonts w:hint="eastAsia" w:ascii="宋体" w:hAnsi="宋体"/>
          <w:color w:val="000000"/>
          <w:kern w:val="0"/>
          <w:sz w:val="30"/>
          <w:szCs w:val="30"/>
          <w:lang w:bidi="ar"/>
        </w:rPr>
        <w:t>一</w:t>
      </w:r>
      <w:r>
        <w:rPr>
          <w:rFonts w:hAnsi="宋" w:eastAsia="宋"/>
          <w:color w:val="000000"/>
          <w:kern w:val="0"/>
          <w:sz w:val="30"/>
          <w:szCs w:val="30"/>
          <w:lang w:bidi="ar"/>
        </w:rPr>
        <w:t>年</w:t>
      </w:r>
      <w:r>
        <w:rPr>
          <w:rFonts w:hint="eastAsia" w:hAnsi="宋" w:eastAsia="宋"/>
          <w:color w:val="000000"/>
          <w:kern w:val="0"/>
          <w:sz w:val="30"/>
          <w:szCs w:val="30"/>
          <w:lang w:bidi="ar"/>
        </w:rPr>
        <w:t>一</w:t>
      </w:r>
      <w:r>
        <w:rPr>
          <w:rFonts w:hAnsi="宋" w:eastAsia="宋"/>
          <w:color w:val="000000"/>
          <w:kern w:val="0"/>
          <w:sz w:val="30"/>
          <w:szCs w:val="30"/>
          <w:lang w:bidi="ar"/>
        </w:rPr>
        <w:t>月</w:t>
      </w:r>
    </w:p>
    <w:p>
      <w:pPr>
        <w:pStyle w:val="13"/>
        <w:jc w:val="center"/>
        <w:rPr>
          <w:color w:val="000000"/>
          <w:szCs w:val="30"/>
        </w:rPr>
      </w:pPr>
    </w:p>
    <w:p>
      <w:pPr>
        <w:pStyle w:val="13"/>
        <w:jc w:val="center"/>
        <w:rPr>
          <w:color w:val="000000"/>
          <w:szCs w:val="30"/>
        </w:rPr>
      </w:pPr>
      <w:r>
        <w:rPr>
          <w:color w:val="000000"/>
          <w:szCs w:val="30"/>
        </w:rPr>
        <w:t>目 录</w:t>
      </w:r>
    </w:p>
    <w:p>
      <w:pPr>
        <w:pStyle w:val="13"/>
        <w:tabs>
          <w:tab w:val="right" w:leader="dot" w:pos="9062"/>
        </w:tabs>
        <w:rPr>
          <w:b w:val="0"/>
          <w:bCs w:val="0"/>
          <w:caps w:val="0"/>
          <w:sz w:val="28"/>
          <w:szCs w:val="28"/>
        </w:rPr>
      </w:pPr>
      <w:r>
        <w:rPr>
          <w:b w:val="0"/>
          <w:bCs w:val="0"/>
          <w:caps w:val="0"/>
          <w:smallCaps/>
          <w:color w:val="0000FF"/>
          <w:sz w:val="28"/>
          <w:szCs w:val="28"/>
        </w:rPr>
        <w:fldChar w:fldCharType="begin"/>
      </w:r>
      <w:r>
        <w:rPr>
          <w:b w:val="0"/>
          <w:bCs w:val="0"/>
          <w:caps w:val="0"/>
          <w:smallCaps/>
          <w:color w:val="0000FF"/>
          <w:sz w:val="28"/>
          <w:szCs w:val="28"/>
        </w:rPr>
        <w:instrText xml:space="preserve"> TOC \o "1-2" \h \z \u </w:instrText>
      </w:r>
      <w:r>
        <w:rPr>
          <w:b w:val="0"/>
          <w:bCs w:val="0"/>
          <w:caps w:val="0"/>
          <w:smallCaps/>
          <w:color w:val="0000FF"/>
          <w:sz w:val="28"/>
          <w:szCs w:val="28"/>
        </w:rPr>
        <w:fldChar w:fldCharType="separate"/>
      </w:r>
      <w:r>
        <w:rPr>
          <w:rStyle w:val="23"/>
          <w:b w:val="0"/>
          <w:sz w:val="28"/>
          <w:szCs w:val="28"/>
        </w:rPr>
        <w:fldChar w:fldCharType="begin"/>
      </w:r>
      <w:r>
        <w:rPr>
          <w:rStyle w:val="23"/>
          <w:b w:val="0"/>
          <w:sz w:val="28"/>
          <w:szCs w:val="28"/>
        </w:rPr>
        <w:instrText xml:space="preserve"> </w:instrText>
      </w:r>
      <w:r>
        <w:rPr>
          <w:b w:val="0"/>
          <w:sz w:val="28"/>
          <w:szCs w:val="28"/>
        </w:rPr>
        <w:instrText xml:space="preserve">HYPERLINK \l "_Toc59802127"</w:instrText>
      </w:r>
      <w:r>
        <w:rPr>
          <w:rStyle w:val="23"/>
          <w:b w:val="0"/>
          <w:sz w:val="28"/>
          <w:szCs w:val="28"/>
        </w:rPr>
        <w:instrText xml:space="preserve"> </w:instrText>
      </w:r>
      <w:r>
        <w:rPr>
          <w:rStyle w:val="23"/>
          <w:b w:val="0"/>
          <w:sz w:val="28"/>
          <w:szCs w:val="28"/>
        </w:rPr>
        <w:fldChar w:fldCharType="separate"/>
      </w:r>
      <w:r>
        <w:rPr>
          <w:rStyle w:val="23"/>
          <w:b w:val="0"/>
          <w:sz w:val="28"/>
          <w:szCs w:val="28"/>
        </w:rPr>
        <w:t xml:space="preserve">1 </w:t>
      </w:r>
      <w:r>
        <w:rPr>
          <w:rStyle w:val="23"/>
          <w:rFonts w:hint="eastAsia"/>
          <w:b w:val="0"/>
          <w:sz w:val="28"/>
          <w:szCs w:val="28"/>
        </w:rPr>
        <w:t>概况</w:t>
      </w:r>
      <w:r>
        <w:rPr>
          <w:b w:val="0"/>
          <w:sz w:val="28"/>
          <w:szCs w:val="28"/>
        </w:rPr>
        <w:tab/>
      </w:r>
      <w:r>
        <w:rPr>
          <w:b w:val="0"/>
          <w:sz w:val="28"/>
          <w:szCs w:val="28"/>
        </w:rPr>
        <w:fldChar w:fldCharType="begin"/>
      </w:r>
      <w:r>
        <w:rPr>
          <w:b w:val="0"/>
          <w:sz w:val="28"/>
          <w:szCs w:val="28"/>
        </w:rPr>
        <w:instrText xml:space="preserve"> PAGEREF _Toc59802127 \h </w:instrText>
      </w:r>
      <w:r>
        <w:rPr>
          <w:b w:val="0"/>
          <w:sz w:val="28"/>
          <w:szCs w:val="28"/>
        </w:rPr>
        <w:fldChar w:fldCharType="separate"/>
      </w:r>
      <w:r>
        <w:rPr>
          <w:b w:val="0"/>
          <w:sz w:val="28"/>
          <w:szCs w:val="28"/>
        </w:rPr>
        <w:t>1</w:t>
      </w:r>
      <w:r>
        <w:rPr>
          <w:b w:val="0"/>
          <w:sz w:val="28"/>
          <w:szCs w:val="28"/>
        </w:rPr>
        <w:fldChar w:fldCharType="end"/>
      </w:r>
      <w:r>
        <w:rPr>
          <w:rStyle w:val="23"/>
          <w:b w:val="0"/>
          <w:sz w:val="28"/>
          <w:szCs w:val="28"/>
        </w:rPr>
        <w:fldChar w:fldCharType="end"/>
      </w:r>
    </w:p>
    <w:p>
      <w:pPr>
        <w:pStyle w:val="14"/>
        <w:rPr>
          <w:smallCaps w:val="0"/>
          <w:sz w:val="21"/>
          <w:szCs w:val="24"/>
        </w:rPr>
      </w:pPr>
      <w:r>
        <w:rPr>
          <w:rStyle w:val="23"/>
        </w:rPr>
        <w:fldChar w:fldCharType="begin"/>
      </w:r>
      <w:r>
        <w:rPr>
          <w:rStyle w:val="23"/>
        </w:rPr>
        <w:instrText xml:space="preserve"> </w:instrText>
      </w:r>
      <w:r>
        <w:instrText xml:space="preserve">HYPERLINK \l "_Toc59802128"</w:instrText>
      </w:r>
      <w:r>
        <w:rPr>
          <w:rStyle w:val="23"/>
        </w:rPr>
        <w:instrText xml:space="preserve"> </w:instrText>
      </w:r>
      <w:r>
        <w:rPr>
          <w:rStyle w:val="23"/>
        </w:rPr>
        <w:fldChar w:fldCharType="separate"/>
      </w:r>
      <w:r>
        <w:rPr>
          <w:rStyle w:val="23"/>
        </w:rPr>
        <w:t xml:space="preserve">1.1 </w:t>
      </w:r>
      <w:r>
        <w:rPr>
          <w:rStyle w:val="23"/>
          <w:rFonts w:hint="eastAsia"/>
        </w:rPr>
        <w:t>概况</w:t>
      </w:r>
      <w:r>
        <w:tab/>
      </w:r>
      <w:r>
        <w:fldChar w:fldCharType="begin"/>
      </w:r>
      <w:r>
        <w:instrText xml:space="preserve"> PAGEREF _Toc59802128 \h </w:instrText>
      </w:r>
      <w:r>
        <w:fldChar w:fldCharType="separate"/>
      </w:r>
      <w:r>
        <w:t>1</w:t>
      </w:r>
      <w:r>
        <w:fldChar w:fldCharType="end"/>
      </w:r>
      <w:r>
        <w:rPr>
          <w:rStyle w:val="23"/>
        </w:rPr>
        <w:fldChar w:fldCharType="end"/>
      </w:r>
    </w:p>
    <w:p>
      <w:pPr>
        <w:pStyle w:val="14"/>
        <w:rPr>
          <w:smallCaps w:val="0"/>
          <w:sz w:val="21"/>
          <w:szCs w:val="24"/>
        </w:rPr>
      </w:pPr>
      <w:r>
        <w:rPr>
          <w:rStyle w:val="23"/>
        </w:rPr>
        <w:fldChar w:fldCharType="begin"/>
      </w:r>
      <w:r>
        <w:rPr>
          <w:rStyle w:val="23"/>
        </w:rPr>
        <w:instrText xml:space="preserve"> </w:instrText>
      </w:r>
      <w:r>
        <w:instrText xml:space="preserve">HYPERLINK \l "_Toc59802129"</w:instrText>
      </w:r>
      <w:r>
        <w:rPr>
          <w:rStyle w:val="23"/>
        </w:rPr>
        <w:instrText xml:space="preserve"> </w:instrText>
      </w:r>
      <w:r>
        <w:rPr>
          <w:rStyle w:val="23"/>
        </w:rPr>
        <w:fldChar w:fldCharType="separate"/>
      </w:r>
      <w:r>
        <w:rPr>
          <w:rStyle w:val="23"/>
        </w:rPr>
        <w:t xml:space="preserve">1.2 </w:t>
      </w:r>
      <w:r>
        <w:rPr>
          <w:rStyle w:val="23"/>
          <w:rFonts w:hint="eastAsia"/>
        </w:rPr>
        <w:t>工作依据</w:t>
      </w:r>
      <w:r>
        <w:tab/>
      </w:r>
      <w:r>
        <w:fldChar w:fldCharType="begin"/>
      </w:r>
      <w:r>
        <w:instrText xml:space="preserve"> PAGEREF _Toc59802129 \h </w:instrText>
      </w:r>
      <w:r>
        <w:fldChar w:fldCharType="separate"/>
      </w:r>
      <w:r>
        <w:t>1</w:t>
      </w:r>
      <w:r>
        <w:fldChar w:fldCharType="end"/>
      </w:r>
      <w:r>
        <w:rPr>
          <w:rStyle w:val="23"/>
        </w:rPr>
        <w:fldChar w:fldCharType="end"/>
      </w:r>
    </w:p>
    <w:p>
      <w:pPr>
        <w:pStyle w:val="14"/>
        <w:rPr>
          <w:smallCaps w:val="0"/>
          <w:sz w:val="21"/>
          <w:szCs w:val="24"/>
        </w:rPr>
      </w:pPr>
      <w:r>
        <w:rPr>
          <w:rStyle w:val="23"/>
        </w:rPr>
        <w:fldChar w:fldCharType="begin"/>
      </w:r>
      <w:r>
        <w:rPr>
          <w:rStyle w:val="23"/>
        </w:rPr>
        <w:instrText xml:space="preserve"> </w:instrText>
      </w:r>
      <w:r>
        <w:instrText xml:space="preserve">HYPERLINK \l "_Toc59802130"</w:instrText>
      </w:r>
      <w:r>
        <w:rPr>
          <w:rStyle w:val="23"/>
        </w:rPr>
        <w:instrText xml:space="preserve"> </w:instrText>
      </w:r>
      <w:r>
        <w:rPr>
          <w:rStyle w:val="23"/>
        </w:rPr>
        <w:fldChar w:fldCharType="separate"/>
      </w:r>
      <w:r>
        <w:rPr>
          <w:rStyle w:val="23"/>
        </w:rPr>
        <w:t xml:space="preserve">1.3 </w:t>
      </w:r>
      <w:r>
        <w:rPr>
          <w:rStyle w:val="23"/>
          <w:rFonts w:hint="eastAsia"/>
        </w:rPr>
        <w:t>位置、交通</w:t>
      </w:r>
      <w:r>
        <w:tab/>
      </w:r>
      <w:r>
        <w:fldChar w:fldCharType="begin"/>
      </w:r>
      <w:r>
        <w:instrText xml:space="preserve"> PAGEREF _Toc59802130 \h </w:instrText>
      </w:r>
      <w:r>
        <w:fldChar w:fldCharType="separate"/>
      </w:r>
      <w:r>
        <w:t>1</w:t>
      </w:r>
      <w:r>
        <w:fldChar w:fldCharType="end"/>
      </w:r>
      <w:r>
        <w:rPr>
          <w:rStyle w:val="23"/>
        </w:rPr>
        <w:fldChar w:fldCharType="end"/>
      </w:r>
    </w:p>
    <w:p>
      <w:pPr>
        <w:pStyle w:val="14"/>
        <w:rPr>
          <w:smallCaps w:val="0"/>
          <w:sz w:val="21"/>
          <w:szCs w:val="24"/>
        </w:rPr>
      </w:pPr>
      <w:r>
        <w:rPr>
          <w:rStyle w:val="23"/>
        </w:rPr>
        <w:fldChar w:fldCharType="begin"/>
      </w:r>
      <w:r>
        <w:rPr>
          <w:rStyle w:val="23"/>
        </w:rPr>
        <w:instrText xml:space="preserve"> </w:instrText>
      </w:r>
      <w:r>
        <w:instrText xml:space="preserve">HYPERLINK \l "_Toc59802131"</w:instrText>
      </w:r>
      <w:r>
        <w:rPr>
          <w:rStyle w:val="23"/>
        </w:rPr>
        <w:instrText xml:space="preserve"> </w:instrText>
      </w:r>
      <w:r>
        <w:rPr>
          <w:rStyle w:val="23"/>
        </w:rPr>
        <w:fldChar w:fldCharType="separate"/>
      </w:r>
      <w:r>
        <w:rPr>
          <w:rStyle w:val="23"/>
        </w:rPr>
        <w:t xml:space="preserve">1.4 </w:t>
      </w:r>
      <w:r>
        <w:rPr>
          <w:rStyle w:val="23"/>
          <w:rFonts w:hint="eastAsia"/>
        </w:rPr>
        <w:t>拟设矿权情况</w:t>
      </w:r>
      <w:r>
        <w:tab/>
      </w:r>
      <w:r>
        <w:fldChar w:fldCharType="begin"/>
      </w:r>
      <w:r>
        <w:instrText xml:space="preserve"> PAGEREF _Toc59802131 \h </w:instrText>
      </w:r>
      <w:r>
        <w:fldChar w:fldCharType="separate"/>
      </w:r>
      <w:r>
        <w:t>2</w:t>
      </w:r>
      <w:r>
        <w:fldChar w:fldCharType="end"/>
      </w:r>
      <w:r>
        <w:rPr>
          <w:rStyle w:val="23"/>
        </w:rPr>
        <w:fldChar w:fldCharType="end"/>
      </w:r>
    </w:p>
    <w:p>
      <w:pPr>
        <w:pStyle w:val="14"/>
        <w:rPr>
          <w:smallCaps w:val="0"/>
          <w:sz w:val="21"/>
          <w:szCs w:val="24"/>
        </w:rPr>
      </w:pPr>
      <w:r>
        <w:rPr>
          <w:rStyle w:val="23"/>
        </w:rPr>
        <w:fldChar w:fldCharType="begin"/>
      </w:r>
      <w:r>
        <w:rPr>
          <w:rStyle w:val="23"/>
        </w:rPr>
        <w:instrText xml:space="preserve"> </w:instrText>
      </w:r>
      <w:r>
        <w:instrText xml:space="preserve">HYPERLINK \l "_Toc59802132"</w:instrText>
      </w:r>
      <w:r>
        <w:rPr>
          <w:rStyle w:val="23"/>
        </w:rPr>
        <w:instrText xml:space="preserve"> </w:instrText>
      </w:r>
      <w:r>
        <w:rPr>
          <w:rStyle w:val="23"/>
        </w:rPr>
        <w:fldChar w:fldCharType="separate"/>
      </w:r>
      <w:r>
        <w:rPr>
          <w:rStyle w:val="23"/>
        </w:rPr>
        <w:t xml:space="preserve">1.5 </w:t>
      </w:r>
      <w:r>
        <w:rPr>
          <w:rStyle w:val="23"/>
          <w:rFonts w:hint="eastAsia"/>
        </w:rPr>
        <w:t>矿山设计、开采和资源利用概况</w:t>
      </w:r>
      <w:r>
        <w:tab/>
      </w:r>
      <w:r>
        <w:fldChar w:fldCharType="begin"/>
      </w:r>
      <w:r>
        <w:instrText xml:space="preserve"> PAGEREF _Toc59802132 \h </w:instrText>
      </w:r>
      <w:r>
        <w:fldChar w:fldCharType="separate"/>
      </w:r>
      <w:r>
        <w:t>3</w:t>
      </w:r>
      <w:r>
        <w:fldChar w:fldCharType="end"/>
      </w:r>
      <w:r>
        <w:rPr>
          <w:rStyle w:val="23"/>
        </w:rPr>
        <w:fldChar w:fldCharType="end"/>
      </w:r>
    </w:p>
    <w:p>
      <w:pPr>
        <w:pStyle w:val="14"/>
        <w:rPr>
          <w:smallCaps w:val="0"/>
          <w:sz w:val="21"/>
          <w:szCs w:val="24"/>
        </w:rPr>
      </w:pPr>
      <w:r>
        <w:rPr>
          <w:rStyle w:val="23"/>
        </w:rPr>
        <w:fldChar w:fldCharType="begin"/>
      </w:r>
      <w:r>
        <w:rPr>
          <w:rStyle w:val="23"/>
        </w:rPr>
        <w:instrText xml:space="preserve"> </w:instrText>
      </w:r>
      <w:r>
        <w:instrText xml:space="preserve">HYPERLINK \l "_Toc59802133"</w:instrText>
      </w:r>
      <w:r>
        <w:rPr>
          <w:rStyle w:val="23"/>
        </w:rPr>
        <w:instrText xml:space="preserve"> </w:instrText>
      </w:r>
      <w:r>
        <w:rPr>
          <w:rStyle w:val="23"/>
        </w:rPr>
        <w:fldChar w:fldCharType="separate"/>
      </w:r>
      <w:r>
        <w:rPr>
          <w:rStyle w:val="23"/>
        </w:rPr>
        <w:t xml:space="preserve">1.6 </w:t>
      </w:r>
      <w:r>
        <w:rPr>
          <w:rStyle w:val="23"/>
          <w:rFonts w:hint="eastAsia"/>
        </w:rPr>
        <w:t>以往地质工作</w:t>
      </w:r>
      <w:r>
        <w:tab/>
      </w:r>
      <w:r>
        <w:fldChar w:fldCharType="begin"/>
      </w:r>
      <w:r>
        <w:instrText xml:space="preserve"> PAGEREF _Toc59802133 \h </w:instrText>
      </w:r>
      <w:r>
        <w:fldChar w:fldCharType="separate"/>
      </w:r>
      <w:r>
        <w:t>3</w:t>
      </w:r>
      <w:r>
        <w:fldChar w:fldCharType="end"/>
      </w:r>
      <w:r>
        <w:rPr>
          <w:rStyle w:val="23"/>
        </w:rPr>
        <w:fldChar w:fldCharType="end"/>
      </w:r>
    </w:p>
    <w:p>
      <w:pPr>
        <w:pStyle w:val="14"/>
        <w:rPr>
          <w:smallCaps w:val="0"/>
          <w:sz w:val="21"/>
          <w:szCs w:val="24"/>
        </w:rPr>
      </w:pPr>
      <w:r>
        <w:rPr>
          <w:rStyle w:val="23"/>
        </w:rPr>
        <w:fldChar w:fldCharType="begin"/>
      </w:r>
      <w:r>
        <w:rPr>
          <w:rStyle w:val="23"/>
        </w:rPr>
        <w:instrText xml:space="preserve"> </w:instrText>
      </w:r>
      <w:r>
        <w:instrText xml:space="preserve">HYPERLINK \l "_Toc59802134"</w:instrText>
      </w:r>
      <w:r>
        <w:rPr>
          <w:rStyle w:val="23"/>
        </w:rPr>
        <w:instrText xml:space="preserve"> </w:instrText>
      </w:r>
      <w:r>
        <w:rPr>
          <w:rStyle w:val="23"/>
        </w:rPr>
        <w:fldChar w:fldCharType="separate"/>
      </w:r>
      <w:r>
        <w:rPr>
          <w:rStyle w:val="23"/>
        </w:rPr>
        <w:t xml:space="preserve">1.7 </w:t>
      </w:r>
      <w:r>
        <w:rPr>
          <w:rStyle w:val="23"/>
          <w:rFonts w:hint="eastAsia"/>
        </w:rPr>
        <w:t>本次工作情况</w:t>
      </w:r>
      <w:r>
        <w:tab/>
      </w:r>
      <w:r>
        <w:fldChar w:fldCharType="begin"/>
      </w:r>
      <w:r>
        <w:instrText xml:space="preserve"> PAGEREF _Toc59802134 \h </w:instrText>
      </w:r>
      <w:r>
        <w:fldChar w:fldCharType="separate"/>
      </w:r>
      <w:r>
        <w:t>3</w:t>
      </w:r>
      <w:r>
        <w:fldChar w:fldCharType="end"/>
      </w:r>
      <w:r>
        <w:rPr>
          <w:rStyle w:val="23"/>
        </w:rPr>
        <w:fldChar w:fldCharType="end"/>
      </w:r>
    </w:p>
    <w:p>
      <w:pPr>
        <w:pStyle w:val="13"/>
        <w:tabs>
          <w:tab w:val="right" w:leader="dot" w:pos="9062"/>
        </w:tabs>
        <w:rPr>
          <w:b w:val="0"/>
          <w:bCs w:val="0"/>
          <w:caps w:val="0"/>
          <w:sz w:val="28"/>
          <w:szCs w:val="28"/>
        </w:rPr>
      </w:pPr>
      <w:r>
        <w:rPr>
          <w:rStyle w:val="23"/>
          <w:b w:val="0"/>
          <w:sz w:val="28"/>
          <w:szCs w:val="28"/>
        </w:rPr>
        <w:fldChar w:fldCharType="begin"/>
      </w:r>
      <w:r>
        <w:rPr>
          <w:rStyle w:val="23"/>
          <w:b w:val="0"/>
          <w:sz w:val="28"/>
          <w:szCs w:val="28"/>
        </w:rPr>
        <w:instrText xml:space="preserve"> </w:instrText>
      </w:r>
      <w:r>
        <w:rPr>
          <w:b w:val="0"/>
          <w:sz w:val="28"/>
          <w:szCs w:val="28"/>
        </w:rPr>
        <w:instrText xml:space="preserve">HYPERLINK \l "_Toc59802135"</w:instrText>
      </w:r>
      <w:r>
        <w:rPr>
          <w:rStyle w:val="23"/>
          <w:b w:val="0"/>
          <w:sz w:val="28"/>
          <w:szCs w:val="28"/>
        </w:rPr>
        <w:instrText xml:space="preserve"> </w:instrText>
      </w:r>
      <w:r>
        <w:rPr>
          <w:rStyle w:val="23"/>
          <w:b w:val="0"/>
          <w:sz w:val="28"/>
          <w:szCs w:val="28"/>
        </w:rPr>
        <w:fldChar w:fldCharType="separate"/>
      </w:r>
      <w:r>
        <w:rPr>
          <w:rStyle w:val="23"/>
          <w:b w:val="0"/>
          <w:sz w:val="28"/>
          <w:szCs w:val="28"/>
        </w:rPr>
        <w:t xml:space="preserve">2 </w:t>
      </w:r>
      <w:r>
        <w:rPr>
          <w:rStyle w:val="23"/>
          <w:rFonts w:hint="eastAsia"/>
          <w:b w:val="0"/>
          <w:sz w:val="28"/>
          <w:szCs w:val="28"/>
        </w:rPr>
        <w:t>矿区地质特征</w:t>
      </w:r>
      <w:r>
        <w:rPr>
          <w:b w:val="0"/>
          <w:sz w:val="28"/>
          <w:szCs w:val="28"/>
        </w:rPr>
        <w:tab/>
      </w:r>
      <w:r>
        <w:rPr>
          <w:b w:val="0"/>
          <w:sz w:val="28"/>
          <w:szCs w:val="28"/>
        </w:rPr>
        <w:fldChar w:fldCharType="begin"/>
      </w:r>
      <w:r>
        <w:rPr>
          <w:b w:val="0"/>
          <w:sz w:val="28"/>
          <w:szCs w:val="28"/>
        </w:rPr>
        <w:instrText xml:space="preserve"> PAGEREF _Toc59802135 \h </w:instrText>
      </w:r>
      <w:r>
        <w:rPr>
          <w:b w:val="0"/>
          <w:sz w:val="28"/>
          <w:szCs w:val="28"/>
        </w:rPr>
        <w:fldChar w:fldCharType="separate"/>
      </w:r>
      <w:r>
        <w:rPr>
          <w:b w:val="0"/>
          <w:sz w:val="28"/>
          <w:szCs w:val="28"/>
        </w:rPr>
        <w:t>4</w:t>
      </w:r>
      <w:r>
        <w:rPr>
          <w:b w:val="0"/>
          <w:sz w:val="28"/>
          <w:szCs w:val="28"/>
        </w:rPr>
        <w:fldChar w:fldCharType="end"/>
      </w:r>
      <w:r>
        <w:rPr>
          <w:rStyle w:val="23"/>
          <w:b w:val="0"/>
          <w:sz w:val="28"/>
          <w:szCs w:val="28"/>
        </w:rPr>
        <w:fldChar w:fldCharType="end"/>
      </w:r>
    </w:p>
    <w:p>
      <w:pPr>
        <w:pStyle w:val="14"/>
        <w:rPr>
          <w:smallCaps w:val="0"/>
          <w:sz w:val="21"/>
          <w:szCs w:val="24"/>
        </w:rPr>
      </w:pPr>
      <w:r>
        <w:rPr>
          <w:rStyle w:val="23"/>
        </w:rPr>
        <w:fldChar w:fldCharType="begin"/>
      </w:r>
      <w:r>
        <w:rPr>
          <w:rStyle w:val="23"/>
        </w:rPr>
        <w:instrText xml:space="preserve"> </w:instrText>
      </w:r>
      <w:r>
        <w:instrText xml:space="preserve">HYPERLINK \l "_Toc59802136"</w:instrText>
      </w:r>
      <w:r>
        <w:rPr>
          <w:rStyle w:val="23"/>
        </w:rPr>
        <w:instrText xml:space="preserve"> </w:instrText>
      </w:r>
      <w:r>
        <w:rPr>
          <w:rStyle w:val="23"/>
        </w:rPr>
        <w:fldChar w:fldCharType="separate"/>
      </w:r>
      <w:r>
        <w:rPr>
          <w:rStyle w:val="23"/>
        </w:rPr>
        <w:t xml:space="preserve">2.1 </w:t>
      </w:r>
      <w:r>
        <w:rPr>
          <w:rStyle w:val="23"/>
          <w:rFonts w:hint="eastAsia"/>
        </w:rPr>
        <w:t>矿区地层</w:t>
      </w:r>
      <w:r>
        <w:tab/>
      </w:r>
      <w:r>
        <w:fldChar w:fldCharType="begin"/>
      </w:r>
      <w:r>
        <w:instrText xml:space="preserve"> PAGEREF _Toc59802136 \h </w:instrText>
      </w:r>
      <w:r>
        <w:fldChar w:fldCharType="separate"/>
      </w:r>
      <w:r>
        <w:t>4</w:t>
      </w:r>
      <w:r>
        <w:fldChar w:fldCharType="end"/>
      </w:r>
      <w:r>
        <w:rPr>
          <w:rStyle w:val="23"/>
        </w:rPr>
        <w:fldChar w:fldCharType="end"/>
      </w:r>
    </w:p>
    <w:p>
      <w:pPr>
        <w:pStyle w:val="14"/>
        <w:rPr>
          <w:smallCaps w:val="0"/>
          <w:sz w:val="21"/>
          <w:szCs w:val="24"/>
        </w:rPr>
      </w:pPr>
      <w:r>
        <w:rPr>
          <w:rStyle w:val="23"/>
        </w:rPr>
        <w:fldChar w:fldCharType="begin"/>
      </w:r>
      <w:r>
        <w:rPr>
          <w:rStyle w:val="23"/>
        </w:rPr>
        <w:instrText xml:space="preserve"> </w:instrText>
      </w:r>
      <w:r>
        <w:instrText xml:space="preserve">HYPERLINK \l "_Toc59802137"</w:instrText>
      </w:r>
      <w:r>
        <w:rPr>
          <w:rStyle w:val="23"/>
        </w:rPr>
        <w:instrText xml:space="preserve"> </w:instrText>
      </w:r>
      <w:r>
        <w:rPr>
          <w:rStyle w:val="23"/>
        </w:rPr>
        <w:fldChar w:fldCharType="separate"/>
      </w:r>
      <w:r>
        <w:rPr>
          <w:rStyle w:val="23"/>
        </w:rPr>
        <w:t xml:space="preserve">2.2 </w:t>
      </w:r>
      <w:r>
        <w:rPr>
          <w:rStyle w:val="23"/>
          <w:rFonts w:hint="eastAsia"/>
        </w:rPr>
        <w:t>构</w:t>
      </w:r>
      <w:r>
        <w:rPr>
          <w:rStyle w:val="23"/>
        </w:rPr>
        <w:t xml:space="preserve">  </w:t>
      </w:r>
      <w:r>
        <w:rPr>
          <w:rStyle w:val="23"/>
          <w:rFonts w:hint="eastAsia"/>
        </w:rPr>
        <w:t>造</w:t>
      </w:r>
      <w:r>
        <w:tab/>
      </w:r>
      <w:r>
        <w:fldChar w:fldCharType="begin"/>
      </w:r>
      <w:r>
        <w:instrText xml:space="preserve"> PAGEREF _Toc59802137 \h </w:instrText>
      </w:r>
      <w:r>
        <w:fldChar w:fldCharType="separate"/>
      </w:r>
      <w:r>
        <w:t>4</w:t>
      </w:r>
      <w:r>
        <w:fldChar w:fldCharType="end"/>
      </w:r>
      <w:r>
        <w:rPr>
          <w:rStyle w:val="23"/>
        </w:rPr>
        <w:fldChar w:fldCharType="end"/>
      </w:r>
    </w:p>
    <w:p>
      <w:pPr>
        <w:pStyle w:val="14"/>
        <w:rPr>
          <w:smallCaps w:val="0"/>
          <w:sz w:val="21"/>
          <w:szCs w:val="24"/>
        </w:rPr>
      </w:pPr>
      <w:r>
        <w:rPr>
          <w:rStyle w:val="23"/>
        </w:rPr>
        <w:fldChar w:fldCharType="begin"/>
      </w:r>
      <w:r>
        <w:rPr>
          <w:rStyle w:val="23"/>
        </w:rPr>
        <w:instrText xml:space="preserve"> </w:instrText>
      </w:r>
      <w:r>
        <w:instrText xml:space="preserve">HYPERLINK \l "_Toc59802138"</w:instrText>
      </w:r>
      <w:r>
        <w:rPr>
          <w:rStyle w:val="23"/>
        </w:rPr>
        <w:instrText xml:space="preserve"> </w:instrText>
      </w:r>
      <w:r>
        <w:rPr>
          <w:rStyle w:val="23"/>
        </w:rPr>
        <w:fldChar w:fldCharType="separate"/>
      </w:r>
      <w:r>
        <w:rPr>
          <w:rStyle w:val="23"/>
        </w:rPr>
        <w:t xml:space="preserve">2.3 </w:t>
      </w:r>
      <w:r>
        <w:rPr>
          <w:rStyle w:val="23"/>
          <w:rFonts w:hint="eastAsia"/>
        </w:rPr>
        <w:t>矿层特征</w:t>
      </w:r>
      <w:r>
        <w:tab/>
      </w:r>
      <w:r>
        <w:fldChar w:fldCharType="begin"/>
      </w:r>
      <w:r>
        <w:instrText xml:space="preserve"> PAGEREF _Toc59802138 \h </w:instrText>
      </w:r>
      <w:r>
        <w:fldChar w:fldCharType="separate"/>
      </w:r>
      <w:r>
        <w:t>5</w:t>
      </w:r>
      <w:r>
        <w:fldChar w:fldCharType="end"/>
      </w:r>
      <w:r>
        <w:rPr>
          <w:rStyle w:val="23"/>
        </w:rPr>
        <w:fldChar w:fldCharType="end"/>
      </w:r>
    </w:p>
    <w:p>
      <w:pPr>
        <w:pStyle w:val="14"/>
        <w:rPr>
          <w:smallCaps w:val="0"/>
          <w:sz w:val="21"/>
          <w:szCs w:val="24"/>
        </w:rPr>
      </w:pPr>
      <w:r>
        <w:rPr>
          <w:rStyle w:val="23"/>
        </w:rPr>
        <w:fldChar w:fldCharType="begin"/>
      </w:r>
      <w:r>
        <w:rPr>
          <w:rStyle w:val="23"/>
        </w:rPr>
        <w:instrText xml:space="preserve"> </w:instrText>
      </w:r>
      <w:r>
        <w:instrText xml:space="preserve">HYPERLINK \l "_Toc59802139"</w:instrText>
      </w:r>
      <w:r>
        <w:rPr>
          <w:rStyle w:val="23"/>
        </w:rPr>
        <w:instrText xml:space="preserve"> </w:instrText>
      </w:r>
      <w:r>
        <w:rPr>
          <w:rStyle w:val="23"/>
        </w:rPr>
        <w:fldChar w:fldCharType="separate"/>
      </w:r>
      <w:r>
        <w:rPr>
          <w:rStyle w:val="23"/>
        </w:rPr>
        <w:t xml:space="preserve">2.4 </w:t>
      </w:r>
      <w:r>
        <w:rPr>
          <w:rStyle w:val="23"/>
          <w:rFonts w:hint="eastAsia"/>
        </w:rPr>
        <w:t>围岩特征</w:t>
      </w:r>
      <w:r>
        <w:tab/>
      </w:r>
      <w:r>
        <w:fldChar w:fldCharType="begin"/>
      </w:r>
      <w:r>
        <w:instrText xml:space="preserve"> PAGEREF _Toc59802139 \h </w:instrText>
      </w:r>
      <w:r>
        <w:fldChar w:fldCharType="separate"/>
      </w:r>
      <w:r>
        <w:t>6</w:t>
      </w:r>
      <w:r>
        <w:fldChar w:fldCharType="end"/>
      </w:r>
      <w:r>
        <w:rPr>
          <w:rStyle w:val="23"/>
        </w:rPr>
        <w:fldChar w:fldCharType="end"/>
      </w:r>
    </w:p>
    <w:p>
      <w:pPr>
        <w:pStyle w:val="13"/>
        <w:tabs>
          <w:tab w:val="right" w:leader="dot" w:pos="9062"/>
        </w:tabs>
        <w:rPr>
          <w:b w:val="0"/>
          <w:bCs w:val="0"/>
          <w:caps w:val="0"/>
          <w:sz w:val="28"/>
          <w:szCs w:val="28"/>
        </w:rPr>
      </w:pPr>
      <w:r>
        <w:rPr>
          <w:rStyle w:val="23"/>
          <w:b w:val="0"/>
          <w:sz w:val="28"/>
          <w:szCs w:val="28"/>
        </w:rPr>
        <w:fldChar w:fldCharType="begin"/>
      </w:r>
      <w:r>
        <w:rPr>
          <w:rStyle w:val="23"/>
          <w:b w:val="0"/>
          <w:sz w:val="28"/>
          <w:szCs w:val="28"/>
        </w:rPr>
        <w:instrText xml:space="preserve"> </w:instrText>
      </w:r>
      <w:r>
        <w:rPr>
          <w:b w:val="0"/>
          <w:sz w:val="28"/>
          <w:szCs w:val="28"/>
        </w:rPr>
        <w:instrText xml:space="preserve">HYPERLINK \l "_Toc59802140"</w:instrText>
      </w:r>
      <w:r>
        <w:rPr>
          <w:rStyle w:val="23"/>
          <w:b w:val="0"/>
          <w:sz w:val="28"/>
          <w:szCs w:val="28"/>
        </w:rPr>
        <w:instrText xml:space="preserve"> </w:instrText>
      </w:r>
      <w:r>
        <w:rPr>
          <w:rStyle w:val="23"/>
          <w:b w:val="0"/>
          <w:sz w:val="28"/>
          <w:szCs w:val="28"/>
        </w:rPr>
        <w:fldChar w:fldCharType="separate"/>
      </w:r>
      <w:r>
        <w:rPr>
          <w:rStyle w:val="23"/>
          <w:b w:val="0"/>
          <w:sz w:val="28"/>
          <w:szCs w:val="28"/>
        </w:rPr>
        <w:t>3</w:t>
      </w:r>
      <w:r>
        <w:rPr>
          <w:rStyle w:val="23"/>
          <w:rFonts w:hint="eastAsia"/>
          <w:b w:val="0"/>
          <w:sz w:val="28"/>
          <w:szCs w:val="28"/>
        </w:rPr>
        <w:t>矿石加工技术性能</w:t>
      </w:r>
      <w:r>
        <w:rPr>
          <w:b w:val="0"/>
          <w:sz w:val="28"/>
          <w:szCs w:val="28"/>
        </w:rPr>
        <w:tab/>
      </w:r>
      <w:r>
        <w:rPr>
          <w:b w:val="0"/>
          <w:sz w:val="28"/>
          <w:szCs w:val="28"/>
        </w:rPr>
        <w:fldChar w:fldCharType="begin"/>
      </w:r>
      <w:r>
        <w:rPr>
          <w:b w:val="0"/>
          <w:sz w:val="28"/>
          <w:szCs w:val="28"/>
        </w:rPr>
        <w:instrText xml:space="preserve"> PAGEREF _Toc59802140 \h </w:instrText>
      </w:r>
      <w:r>
        <w:rPr>
          <w:b w:val="0"/>
          <w:sz w:val="28"/>
          <w:szCs w:val="28"/>
        </w:rPr>
        <w:fldChar w:fldCharType="separate"/>
      </w:r>
      <w:r>
        <w:rPr>
          <w:b w:val="0"/>
          <w:sz w:val="28"/>
          <w:szCs w:val="28"/>
        </w:rPr>
        <w:t>7</w:t>
      </w:r>
      <w:r>
        <w:rPr>
          <w:b w:val="0"/>
          <w:sz w:val="28"/>
          <w:szCs w:val="28"/>
        </w:rPr>
        <w:fldChar w:fldCharType="end"/>
      </w:r>
      <w:r>
        <w:rPr>
          <w:rStyle w:val="23"/>
          <w:b w:val="0"/>
          <w:sz w:val="28"/>
          <w:szCs w:val="28"/>
        </w:rPr>
        <w:fldChar w:fldCharType="end"/>
      </w:r>
    </w:p>
    <w:p>
      <w:pPr>
        <w:pStyle w:val="13"/>
        <w:tabs>
          <w:tab w:val="right" w:leader="dot" w:pos="9062"/>
        </w:tabs>
        <w:rPr>
          <w:b w:val="0"/>
          <w:bCs w:val="0"/>
          <w:caps w:val="0"/>
          <w:sz w:val="28"/>
          <w:szCs w:val="28"/>
        </w:rPr>
      </w:pPr>
      <w:r>
        <w:rPr>
          <w:rStyle w:val="23"/>
          <w:b w:val="0"/>
          <w:sz w:val="28"/>
          <w:szCs w:val="28"/>
        </w:rPr>
        <w:fldChar w:fldCharType="begin"/>
      </w:r>
      <w:r>
        <w:rPr>
          <w:rStyle w:val="23"/>
          <w:b w:val="0"/>
          <w:sz w:val="28"/>
          <w:szCs w:val="28"/>
        </w:rPr>
        <w:instrText xml:space="preserve"> </w:instrText>
      </w:r>
      <w:r>
        <w:rPr>
          <w:b w:val="0"/>
          <w:sz w:val="28"/>
          <w:szCs w:val="28"/>
        </w:rPr>
        <w:instrText xml:space="preserve">HYPERLINK \l "_Toc59802141"</w:instrText>
      </w:r>
      <w:r>
        <w:rPr>
          <w:rStyle w:val="23"/>
          <w:b w:val="0"/>
          <w:sz w:val="28"/>
          <w:szCs w:val="28"/>
        </w:rPr>
        <w:instrText xml:space="preserve"> </w:instrText>
      </w:r>
      <w:r>
        <w:rPr>
          <w:rStyle w:val="23"/>
          <w:b w:val="0"/>
          <w:sz w:val="28"/>
          <w:szCs w:val="28"/>
        </w:rPr>
        <w:fldChar w:fldCharType="separate"/>
      </w:r>
      <w:r>
        <w:rPr>
          <w:rStyle w:val="23"/>
          <w:b w:val="0"/>
          <w:sz w:val="28"/>
          <w:szCs w:val="28"/>
        </w:rPr>
        <w:t xml:space="preserve">4 </w:t>
      </w:r>
      <w:r>
        <w:rPr>
          <w:rStyle w:val="23"/>
          <w:rFonts w:hint="eastAsia"/>
          <w:b w:val="0"/>
          <w:sz w:val="28"/>
          <w:szCs w:val="28"/>
        </w:rPr>
        <w:t>矿山开采技术条件</w:t>
      </w:r>
      <w:r>
        <w:rPr>
          <w:b w:val="0"/>
          <w:sz w:val="28"/>
          <w:szCs w:val="28"/>
        </w:rPr>
        <w:tab/>
      </w:r>
      <w:r>
        <w:rPr>
          <w:b w:val="0"/>
          <w:sz w:val="28"/>
          <w:szCs w:val="28"/>
        </w:rPr>
        <w:fldChar w:fldCharType="begin"/>
      </w:r>
      <w:r>
        <w:rPr>
          <w:b w:val="0"/>
          <w:sz w:val="28"/>
          <w:szCs w:val="28"/>
        </w:rPr>
        <w:instrText xml:space="preserve"> PAGEREF _Toc59802141 \h </w:instrText>
      </w:r>
      <w:r>
        <w:rPr>
          <w:b w:val="0"/>
          <w:sz w:val="28"/>
          <w:szCs w:val="28"/>
        </w:rPr>
        <w:fldChar w:fldCharType="separate"/>
      </w:r>
      <w:r>
        <w:rPr>
          <w:b w:val="0"/>
          <w:sz w:val="28"/>
          <w:szCs w:val="28"/>
        </w:rPr>
        <w:t>7</w:t>
      </w:r>
      <w:r>
        <w:rPr>
          <w:b w:val="0"/>
          <w:sz w:val="28"/>
          <w:szCs w:val="28"/>
        </w:rPr>
        <w:fldChar w:fldCharType="end"/>
      </w:r>
      <w:r>
        <w:rPr>
          <w:rStyle w:val="23"/>
          <w:b w:val="0"/>
          <w:sz w:val="28"/>
          <w:szCs w:val="28"/>
        </w:rPr>
        <w:fldChar w:fldCharType="end"/>
      </w:r>
    </w:p>
    <w:p>
      <w:pPr>
        <w:pStyle w:val="14"/>
        <w:rPr>
          <w:smallCaps w:val="0"/>
          <w:sz w:val="21"/>
          <w:szCs w:val="24"/>
        </w:rPr>
      </w:pPr>
      <w:r>
        <w:rPr>
          <w:rStyle w:val="23"/>
        </w:rPr>
        <w:fldChar w:fldCharType="begin"/>
      </w:r>
      <w:r>
        <w:rPr>
          <w:rStyle w:val="23"/>
        </w:rPr>
        <w:instrText xml:space="preserve"> </w:instrText>
      </w:r>
      <w:r>
        <w:instrText xml:space="preserve">HYPERLINK \l "_Toc59802142"</w:instrText>
      </w:r>
      <w:r>
        <w:rPr>
          <w:rStyle w:val="23"/>
        </w:rPr>
        <w:instrText xml:space="preserve"> </w:instrText>
      </w:r>
      <w:r>
        <w:rPr>
          <w:rStyle w:val="23"/>
        </w:rPr>
        <w:fldChar w:fldCharType="separate"/>
      </w:r>
      <w:r>
        <w:rPr>
          <w:rStyle w:val="23"/>
        </w:rPr>
        <w:t xml:space="preserve">4.1 </w:t>
      </w:r>
      <w:r>
        <w:rPr>
          <w:rStyle w:val="23"/>
          <w:rFonts w:hint="eastAsia"/>
        </w:rPr>
        <w:t>水文地质条件</w:t>
      </w:r>
      <w:r>
        <w:tab/>
      </w:r>
      <w:r>
        <w:fldChar w:fldCharType="begin"/>
      </w:r>
      <w:r>
        <w:instrText xml:space="preserve"> PAGEREF _Toc59802142 \h </w:instrText>
      </w:r>
      <w:r>
        <w:fldChar w:fldCharType="separate"/>
      </w:r>
      <w:r>
        <w:t>7</w:t>
      </w:r>
      <w:r>
        <w:fldChar w:fldCharType="end"/>
      </w:r>
      <w:r>
        <w:rPr>
          <w:rStyle w:val="23"/>
        </w:rPr>
        <w:fldChar w:fldCharType="end"/>
      </w:r>
    </w:p>
    <w:p>
      <w:pPr>
        <w:pStyle w:val="14"/>
        <w:rPr>
          <w:smallCaps w:val="0"/>
          <w:sz w:val="21"/>
          <w:szCs w:val="24"/>
        </w:rPr>
      </w:pPr>
      <w:r>
        <w:rPr>
          <w:rStyle w:val="23"/>
        </w:rPr>
        <w:fldChar w:fldCharType="begin"/>
      </w:r>
      <w:r>
        <w:rPr>
          <w:rStyle w:val="23"/>
        </w:rPr>
        <w:instrText xml:space="preserve"> </w:instrText>
      </w:r>
      <w:r>
        <w:instrText xml:space="preserve">HYPERLINK \l "_Toc59802143"</w:instrText>
      </w:r>
      <w:r>
        <w:rPr>
          <w:rStyle w:val="23"/>
        </w:rPr>
        <w:instrText xml:space="preserve"> </w:instrText>
      </w:r>
      <w:r>
        <w:rPr>
          <w:rStyle w:val="23"/>
        </w:rPr>
        <w:fldChar w:fldCharType="separate"/>
      </w:r>
      <w:r>
        <w:rPr>
          <w:rStyle w:val="23"/>
        </w:rPr>
        <w:t xml:space="preserve">4.2 </w:t>
      </w:r>
      <w:r>
        <w:rPr>
          <w:rStyle w:val="23"/>
          <w:rFonts w:hint="eastAsia"/>
        </w:rPr>
        <w:t>工程地质条件</w:t>
      </w:r>
      <w:r>
        <w:tab/>
      </w:r>
      <w:r>
        <w:fldChar w:fldCharType="begin"/>
      </w:r>
      <w:r>
        <w:instrText xml:space="preserve"> PAGEREF _Toc59802143 \h </w:instrText>
      </w:r>
      <w:r>
        <w:fldChar w:fldCharType="separate"/>
      </w:r>
      <w:r>
        <w:t>7</w:t>
      </w:r>
      <w:r>
        <w:fldChar w:fldCharType="end"/>
      </w:r>
      <w:r>
        <w:rPr>
          <w:rStyle w:val="23"/>
        </w:rPr>
        <w:fldChar w:fldCharType="end"/>
      </w:r>
    </w:p>
    <w:p>
      <w:pPr>
        <w:pStyle w:val="14"/>
        <w:rPr>
          <w:smallCaps w:val="0"/>
          <w:sz w:val="21"/>
          <w:szCs w:val="24"/>
        </w:rPr>
      </w:pPr>
      <w:r>
        <w:rPr>
          <w:rStyle w:val="23"/>
        </w:rPr>
        <w:fldChar w:fldCharType="begin"/>
      </w:r>
      <w:r>
        <w:rPr>
          <w:rStyle w:val="23"/>
        </w:rPr>
        <w:instrText xml:space="preserve"> </w:instrText>
      </w:r>
      <w:r>
        <w:instrText xml:space="preserve">HYPERLINK \l "_Toc59802144"</w:instrText>
      </w:r>
      <w:r>
        <w:rPr>
          <w:rStyle w:val="23"/>
        </w:rPr>
        <w:instrText xml:space="preserve"> </w:instrText>
      </w:r>
      <w:r>
        <w:rPr>
          <w:rStyle w:val="23"/>
        </w:rPr>
        <w:fldChar w:fldCharType="separate"/>
      </w:r>
      <w:r>
        <w:rPr>
          <w:rStyle w:val="23"/>
        </w:rPr>
        <w:t xml:space="preserve">4.3 </w:t>
      </w:r>
      <w:r>
        <w:rPr>
          <w:rStyle w:val="23"/>
          <w:rFonts w:hint="eastAsia"/>
        </w:rPr>
        <w:t>环境地质条件</w:t>
      </w:r>
      <w:r>
        <w:tab/>
      </w:r>
      <w:r>
        <w:fldChar w:fldCharType="begin"/>
      </w:r>
      <w:r>
        <w:instrText xml:space="preserve"> PAGEREF _Toc59802144 \h </w:instrText>
      </w:r>
      <w:r>
        <w:fldChar w:fldCharType="separate"/>
      </w:r>
      <w:r>
        <w:t>7</w:t>
      </w:r>
      <w:r>
        <w:fldChar w:fldCharType="end"/>
      </w:r>
      <w:r>
        <w:rPr>
          <w:rStyle w:val="23"/>
        </w:rPr>
        <w:fldChar w:fldCharType="end"/>
      </w:r>
    </w:p>
    <w:p>
      <w:pPr>
        <w:pStyle w:val="14"/>
        <w:rPr>
          <w:smallCaps w:val="0"/>
          <w:sz w:val="21"/>
          <w:szCs w:val="24"/>
        </w:rPr>
      </w:pPr>
      <w:r>
        <w:rPr>
          <w:rStyle w:val="23"/>
        </w:rPr>
        <w:fldChar w:fldCharType="begin"/>
      </w:r>
      <w:r>
        <w:rPr>
          <w:rStyle w:val="23"/>
        </w:rPr>
        <w:instrText xml:space="preserve"> </w:instrText>
      </w:r>
      <w:r>
        <w:instrText xml:space="preserve">HYPERLINK \l "_Toc59802145"</w:instrText>
      </w:r>
      <w:r>
        <w:rPr>
          <w:rStyle w:val="23"/>
        </w:rPr>
        <w:instrText xml:space="preserve"> </w:instrText>
      </w:r>
      <w:r>
        <w:rPr>
          <w:rStyle w:val="23"/>
        </w:rPr>
        <w:fldChar w:fldCharType="separate"/>
      </w:r>
      <w:r>
        <w:rPr>
          <w:rStyle w:val="23"/>
        </w:rPr>
        <w:t xml:space="preserve">4.4 </w:t>
      </w:r>
      <w:r>
        <w:rPr>
          <w:rStyle w:val="23"/>
          <w:rFonts w:hint="eastAsia"/>
        </w:rPr>
        <w:t>开采技术条件小结</w:t>
      </w:r>
      <w:r>
        <w:tab/>
      </w:r>
      <w:r>
        <w:fldChar w:fldCharType="begin"/>
      </w:r>
      <w:r>
        <w:instrText xml:space="preserve"> PAGEREF _Toc59802145 \h </w:instrText>
      </w:r>
      <w:r>
        <w:fldChar w:fldCharType="separate"/>
      </w:r>
      <w:r>
        <w:t>8</w:t>
      </w:r>
      <w:r>
        <w:fldChar w:fldCharType="end"/>
      </w:r>
      <w:r>
        <w:rPr>
          <w:rStyle w:val="23"/>
        </w:rPr>
        <w:fldChar w:fldCharType="end"/>
      </w:r>
    </w:p>
    <w:p>
      <w:pPr>
        <w:pStyle w:val="13"/>
        <w:tabs>
          <w:tab w:val="right" w:leader="dot" w:pos="9062"/>
        </w:tabs>
        <w:rPr>
          <w:b w:val="0"/>
          <w:bCs w:val="0"/>
          <w:caps w:val="0"/>
          <w:sz w:val="28"/>
          <w:szCs w:val="28"/>
        </w:rPr>
      </w:pPr>
      <w:r>
        <w:rPr>
          <w:rStyle w:val="23"/>
          <w:b w:val="0"/>
          <w:sz w:val="28"/>
          <w:szCs w:val="28"/>
        </w:rPr>
        <w:fldChar w:fldCharType="begin"/>
      </w:r>
      <w:r>
        <w:rPr>
          <w:rStyle w:val="23"/>
          <w:b w:val="0"/>
          <w:sz w:val="28"/>
          <w:szCs w:val="28"/>
        </w:rPr>
        <w:instrText xml:space="preserve"> </w:instrText>
      </w:r>
      <w:r>
        <w:rPr>
          <w:b w:val="0"/>
          <w:sz w:val="28"/>
          <w:szCs w:val="28"/>
        </w:rPr>
        <w:instrText xml:space="preserve">HYPERLINK \l "_Toc59802146"</w:instrText>
      </w:r>
      <w:r>
        <w:rPr>
          <w:rStyle w:val="23"/>
          <w:b w:val="0"/>
          <w:sz w:val="28"/>
          <w:szCs w:val="28"/>
        </w:rPr>
        <w:instrText xml:space="preserve"> </w:instrText>
      </w:r>
      <w:r>
        <w:rPr>
          <w:rStyle w:val="23"/>
          <w:b w:val="0"/>
          <w:sz w:val="28"/>
          <w:szCs w:val="28"/>
        </w:rPr>
        <w:fldChar w:fldCharType="separate"/>
      </w:r>
      <w:r>
        <w:rPr>
          <w:rStyle w:val="23"/>
          <w:b w:val="0"/>
          <w:sz w:val="28"/>
          <w:szCs w:val="28"/>
        </w:rPr>
        <w:t xml:space="preserve">5  </w:t>
      </w:r>
      <w:r>
        <w:rPr>
          <w:rStyle w:val="23"/>
          <w:rFonts w:hint="eastAsia"/>
          <w:b w:val="0"/>
          <w:sz w:val="28"/>
          <w:szCs w:val="28"/>
        </w:rPr>
        <w:t>核实地质工作</w:t>
      </w:r>
      <w:r>
        <w:rPr>
          <w:b w:val="0"/>
          <w:sz w:val="28"/>
          <w:szCs w:val="28"/>
        </w:rPr>
        <w:tab/>
      </w:r>
      <w:r>
        <w:rPr>
          <w:b w:val="0"/>
          <w:sz w:val="28"/>
          <w:szCs w:val="28"/>
        </w:rPr>
        <w:fldChar w:fldCharType="begin"/>
      </w:r>
      <w:r>
        <w:rPr>
          <w:b w:val="0"/>
          <w:sz w:val="28"/>
          <w:szCs w:val="28"/>
        </w:rPr>
        <w:instrText xml:space="preserve"> PAGEREF _Toc59802146 \h </w:instrText>
      </w:r>
      <w:r>
        <w:rPr>
          <w:b w:val="0"/>
          <w:sz w:val="28"/>
          <w:szCs w:val="28"/>
        </w:rPr>
        <w:fldChar w:fldCharType="separate"/>
      </w:r>
      <w:r>
        <w:rPr>
          <w:b w:val="0"/>
          <w:sz w:val="28"/>
          <w:szCs w:val="28"/>
        </w:rPr>
        <w:t>8</w:t>
      </w:r>
      <w:r>
        <w:rPr>
          <w:b w:val="0"/>
          <w:sz w:val="28"/>
          <w:szCs w:val="28"/>
        </w:rPr>
        <w:fldChar w:fldCharType="end"/>
      </w:r>
      <w:r>
        <w:rPr>
          <w:rStyle w:val="23"/>
          <w:b w:val="0"/>
          <w:sz w:val="28"/>
          <w:szCs w:val="28"/>
        </w:rPr>
        <w:fldChar w:fldCharType="end"/>
      </w:r>
    </w:p>
    <w:p>
      <w:pPr>
        <w:pStyle w:val="14"/>
        <w:rPr>
          <w:smallCaps w:val="0"/>
          <w:sz w:val="21"/>
          <w:szCs w:val="24"/>
        </w:rPr>
      </w:pPr>
      <w:r>
        <w:rPr>
          <w:rStyle w:val="23"/>
        </w:rPr>
        <w:fldChar w:fldCharType="begin"/>
      </w:r>
      <w:r>
        <w:rPr>
          <w:rStyle w:val="23"/>
        </w:rPr>
        <w:instrText xml:space="preserve"> </w:instrText>
      </w:r>
      <w:r>
        <w:instrText xml:space="preserve">HYPERLINK \l "_Toc59802147"</w:instrText>
      </w:r>
      <w:r>
        <w:rPr>
          <w:rStyle w:val="23"/>
        </w:rPr>
        <w:instrText xml:space="preserve"> </w:instrText>
      </w:r>
      <w:r>
        <w:rPr>
          <w:rStyle w:val="23"/>
        </w:rPr>
        <w:fldChar w:fldCharType="separate"/>
      </w:r>
      <w:r>
        <w:rPr>
          <w:rStyle w:val="23"/>
        </w:rPr>
        <w:t xml:space="preserve">5.1 </w:t>
      </w:r>
      <w:r>
        <w:rPr>
          <w:rStyle w:val="23"/>
          <w:rFonts w:hint="eastAsia"/>
        </w:rPr>
        <w:t>核实方法</w:t>
      </w:r>
      <w:r>
        <w:tab/>
      </w:r>
      <w:r>
        <w:fldChar w:fldCharType="begin"/>
      </w:r>
      <w:r>
        <w:instrText xml:space="preserve"> PAGEREF _Toc59802147 \h </w:instrText>
      </w:r>
      <w:r>
        <w:fldChar w:fldCharType="separate"/>
      </w:r>
      <w:r>
        <w:t>8</w:t>
      </w:r>
      <w:r>
        <w:fldChar w:fldCharType="end"/>
      </w:r>
      <w:r>
        <w:rPr>
          <w:rStyle w:val="23"/>
        </w:rPr>
        <w:fldChar w:fldCharType="end"/>
      </w:r>
    </w:p>
    <w:p>
      <w:pPr>
        <w:pStyle w:val="14"/>
        <w:rPr>
          <w:smallCaps w:val="0"/>
          <w:sz w:val="21"/>
          <w:szCs w:val="24"/>
        </w:rPr>
      </w:pPr>
      <w:r>
        <w:rPr>
          <w:rStyle w:val="23"/>
        </w:rPr>
        <w:fldChar w:fldCharType="begin"/>
      </w:r>
      <w:r>
        <w:rPr>
          <w:rStyle w:val="23"/>
        </w:rPr>
        <w:instrText xml:space="preserve"> </w:instrText>
      </w:r>
      <w:r>
        <w:instrText xml:space="preserve">HYPERLINK \l "_Toc59802148"</w:instrText>
      </w:r>
      <w:r>
        <w:rPr>
          <w:rStyle w:val="23"/>
        </w:rPr>
        <w:instrText xml:space="preserve"> </w:instrText>
      </w:r>
      <w:r>
        <w:rPr>
          <w:rStyle w:val="23"/>
        </w:rPr>
        <w:fldChar w:fldCharType="separate"/>
      </w:r>
      <w:r>
        <w:rPr>
          <w:rStyle w:val="23"/>
        </w:rPr>
        <w:t xml:space="preserve">5.2 </w:t>
      </w:r>
      <w:r>
        <w:rPr>
          <w:rStyle w:val="23"/>
          <w:rFonts w:hint="eastAsia"/>
        </w:rPr>
        <w:t>质量评述</w:t>
      </w:r>
      <w:r>
        <w:tab/>
      </w:r>
      <w:r>
        <w:fldChar w:fldCharType="begin"/>
      </w:r>
      <w:r>
        <w:instrText xml:space="preserve"> PAGEREF _Toc59802148 \h </w:instrText>
      </w:r>
      <w:r>
        <w:fldChar w:fldCharType="separate"/>
      </w:r>
      <w:r>
        <w:t>9</w:t>
      </w:r>
      <w:r>
        <w:fldChar w:fldCharType="end"/>
      </w:r>
      <w:r>
        <w:rPr>
          <w:rStyle w:val="23"/>
        </w:rPr>
        <w:fldChar w:fldCharType="end"/>
      </w:r>
    </w:p>
    <w:p>
      <w:pPr>
        <w:pStyle w:val="13"/>
        <w:tabs>
          <w:tab w:val="right" w:leader="dot" w:pos="9062"/>
        </w:tabs>
        <w:rPr>
          <w:b w:val="0"/>
          <w:bCs w:val="0"/>
          <w:caps w:val="0"/>
          <w:sz w:val="28"/>
          <w:szCs w:val="28"/>
        </w:rPr>
      </w:pPr>
      <w:r>
        <w:rPr>
          <w:rStyle w:val="23"/>
          <w:b w:val="0"/>
          <w:sz w:val="28"/>
          <w:szCs w:val="28"/>
        </w:rPr>
        <w:fldChar w:fldCharType="begin"/>
      </w:r>
      <w:r>
        <w:rPr>
          <w:rStyle w:val="23"/>
          <w:b w:val="0"/>
          <w:sz w:val="28"/>
          <w:szCs w:val="28"/>
        </w:rPr>
        <w:instrText xml:space="preserve"> </w:instrText>
      </w:r>
      <w:r>
        <w:rPr>
          <w:b w:val="0"/>
          <w:sz w:val="28"/>
          <w:szCs w:val="28"/>
        </w:rPr>
        <w:instrText xml:space="preserve">HYPERLINK \l "_Toc59802149"</w:instrText>
      </w:r>
      <w:r>
        <w:rPr>
          <w:rStyle w:val="23"/>
          <w:b w:val="0"/>
          <w:sz w:val="28"/>
          <w:szCs w:val="28"/>
        </w:rPr>
        <w:instrText xml:space="preserve"> </w:instrText>
      </w:r>
      <w:r>
        <w:rPr>
          <w:rStyle w:val="23"/>
          <w:b w:val="0"/>
          <w:sz w:val="28"/>
          <w:szCs w:val="28"/>
        </w:rPr>
        <w:fldChar w:fldCharType="separate"/>
      </w:r>
      <w:r>
        <w:rPr>
          <w:rStyle w:val="23"/>
          <w:b w:val="0"/>
          <w:sz w:val="28"/>
          <w:szCs w:val="28"/>
        </w:rPr>
        <w:t xml:space="preserve">6 </w:t>
      </w:r>
      <w:r>
        <w:rPr>
          <w:rStyle w:val="23"/>
          <w:rFonts w:hint="eastAsia"/>
          <w:b w:val="0"/>
          <w:sz w:val="28"/>
          <w:szCs w:val="28"/>
        </w:rPr>
        <w:t>资源储量估算</w:t>
      </w:r>
      <w:r>
        <w:rPr>
          <w:b w:val="0"/>
          <w:sz w:val="28"/>
          <w:szCs w:val="28"/>
        </w:rPr>
        <w:tab/>
      </w:r>
      <w:r>
        <w:rPr>
          <w:b w:val="0"/>
          <w:sz w:val="28"/>
          <w:szCs w:val="28"/>
        </w:rPr>
        <w:fldChar w:fldCharType="begin"/>
      </w:r>
      <w:r>
        <w:rPr>
          <w:b w:val="0"/>
          <w:sz w:val="28"/>
          <w:szCs w:val="28"/>
        </w:rPr>
        <w:instrText xml:space="preserve"> PAGEREF _Toc59802149 \h </w:instrText>
      </w:r>
      <w:r>
        <w:rPr>
          <w:b w:val="0"/>
          <w:sz w:val="28"/>
          <w:szCs w:val="28"/>
        </w:rPr>
        <w:fldChar w:fldCharType="separate"/>
      </w:r>
      <w:r>
        <w:rPr>
          <w:b w:val="0"/>
          <w:sz w:val="28"/>
          <w:szCs w:val="28"/>
        </w:rPr>
        <w:t>9</w:t>
      </w:r>
      <w:r>
        <w:rPr>
          <w:b w:val="0"/>
          <w:sz w:val="28"/>
          <w:szCs w:val="28"/>
        </w:rPr>
        <w:fldChar w:fldCharType="end"/>
      </w:r>
      <w:r>
        <w:rPr>
          <w:rStyle w:val="23"/>
          <w:b w:val="0"/>
          <w:sz w:val="28"/>
          <w:szCs w:val="28"/>
        </w:rPr>
        <w:fldChar w:fldCharType="end"/>
      </w:r>
    </w:p>
    <w:p>
      <w:pPr>
        <w:pStyle w:val="14"/>
        <w:rPr>
          <w:smallCaps w:val="0"/>
          <w:sz w:val="21"/>
          <w:szCs w:val="24"/>
        </w:rPr>
      </w:pPr>
      <w:r>
        <w:rPr>
          <w:rStyle w:val="23"/>
        </w:rPr>
        <w:fldChar w:fldCharType="begin"/>
      </w:r>
      <w:r>
        <w:rPr>
          <w:rStyle w:val="23"/>
        </w:rPr>
        <w:instrText xml:space="preserve"> </w:instrText>
      </w:r>
      <w:r>
        <w:instrText xml:space="preserve">HYPERLINK \l "_Toc59802150"</w:instrText>
      </w:r>
      <w:r>
        <w:rPr>
          <w:rStyle w:val="23"/>
        </w:rPr>
        <w:instrText xml:space="preserve"> </w:instrText>
      </w:r>
      <w:r>
        <w:rPr>
          <w:rStyle w:val="23"/>
        </w:rPr>
        <w:fldChar w:fldCharType="separate"/>
      </w:r>
      <w:r>
        <w:rPr>
          <w:rStyle w:val="23"/>
        </w:rPr>
        <w:t xml:space="preserve">6.1 </w:t>
      </w:r>
      <w:r>
        <w:rPr>
          <w:rStyle w:val="23"/>
          <w:rFonts w:hint="eastAsia"/>
        </w:rPr>
        <w:t>估算范围、对象</w:t>
      </w:r>
      <w:r>
        <w:tab/>
      </w:r>
      <w:r>
        <w:fldChar w:fldCharType="begin"/>
      </w:r>
      <w:r>
        <w:instrText xml:space="preserve"> PAGEREF _Toc59802150 \h </w:instrText>
      </w:r>
      <w:r>
        <w:fldChar w:fldCharType="separate"/>
      </w:r>
      <w:r>
        <w:t>9</w:t>
      </w:r>
      <w:r>
        <w:fldChar w:fldCharType="end"/>
      </w:r>
      <w:r>
        <w:rPr>
          <w:rStyle w:val="23"/>
        </w:rPr>
        <w:fldChar w:fldCharType="end"/>
      </w:r>
    </w:p>
    <w:p>
      <w:pPr>
        <w:pStyle w:val="14"/>
        <w:rPr>
          <w:smallCaps w:val="0"/>
          <w:sz w:val="21"/>
          <w:szCs w:val="24"/>
        </w:rPr>
      </w:pPr>
      <w:r>
        <w:rPr>
          <w:rStyle w:val="23"/>
        </w:rPr>
        <w:fldChar w:fldCharType="begin"/>
      </w:r>
      <w:r>
        <w:rPr>
          <w:rStyle w:val="23"/>
        </w:rPr>
        <w:instrText xml:space="preserve"> </w:instrText>
      </w:r>
      <w:r>
        <w:instrText xml:space="preserve">HYPERLINK \l "_Toc59802151"</w:instrText>
      </w:r>
      <w:r>
        <w:rPr>
          <w:rStyle w:val="23"/>
        </w:rPr>
        <w:instrText xml:space="preserve"> </w:instrText>
      </w:r>
      <w:r>
        <w:rPr>
          <w:rStyle w:val="23"/>
        </w:rPr>
        <w:fldChar w:fldCharType="separate"/>
      </w:r>
      <w:r>
        <w:rPr>
          <w:rStyle w:val="23"/>
        </w:rPr>
        <w:t xml:space="preserve">6.2 </w:t>
      </w:r>
      <w:r>
        <w:rPr>
          <w:rStyle w:val="23"/>
          <w:rFonts w:hint="eastAsia"/>
        </w:rPr>
        <w:t>工业指标</w:t>
      </w:r>
      <w:r>
        <w:tab/>
      </w:r>
      <w:r>
        <w:fldChar w:fldCharType="begin"/>
      </w:r>
      <w:r>
        <w:instrText xml:space="preserve"> PAGEREF _Toc59802151 \h </w:instrText>
      </w:r>
      <w:r>
        <w:fldChar w:fldCharType="separate"/>
      </w:r>
      <w:r>
        <w:t>9</w:t>
      </w:r>
      <w:r>
        <w:fldChar w:fldCharType="end"/>
      </w:r>
      <w:r>
        <w:rPr>
          <w:rStyle w:val="23"/>
        </w:rPr>
        <w:fldChar w:fldCharType="end"/>
      </w:r>
    </w:p>
    <w:p>
      <w:pPr>
        <w:pStyle w:val="14"/>
        <w:rPr>
          <w:smallCaps w:val="0"/>
          <w:sz w:val="21"/>
          <w:szCs w:val="24"/>
        </w:rPr>
      </w:pPr>
      <w:r>
        <w:rPr>
          <w:rStyle w:val="23"/>
        </w:rPr>
        <w:fldChar w:fldCharType="begin"/>
      </w:r>
      <w:r>
        <w:rPr>
          <w:rStyle w:val="23"/>
        </w:rPr>
        <w:instrText xml:space="preserve"> </w:instrText>
      </w:r>
      <w:r>
        <w:instrText xml:space="preserve">HYPERLINK \l "_Toc59802152"</w:instrText>
      </w:r>
      <w:r>
        <w:rPr>
          <w:rStyle w:val="23"/>
        </w:rPr>
        <w:instrText xml:space="preserve"> </w:instrText>
      </w:r>
      <w:r>
        <w:rPr>
          <w:rStyle w:val="23"/>
        </w:rPr>
        <w:fldChar w:fldCharType="separate"/>
      </w:r>
      <w:r>
        <w:rPr>
          <w:rStyle w:val="23"/>
        </w:rPr>
        <w:t xml:space="preserve">6.3 </w:t>
      </w:r>
      <w:r>
        <w:rPr>
          <w:rStyle w:val="23"/>
          <w:rFonts w:hint="eastAsia"/>
        </w:rPr>
        <w:t>估算方法</w:t>
      </w:r>
      <w:r>
        <w:tab/>
      </w:r>
      <w:r>
        <w:fldChar w:fldCharType="begin"/>
      </w:r>
      <w:r>
        <w:instrText xml:space="preserve"> PAGEREF _Toc59802152 \h </w:instrText>
      </w:r>
      <w:r>
        <w:fldChar w:fldCharType="separate"/>
      </w:r>
      <w:r>
        <w:t>9</w:t>
      </w:r>
      <w:r>
        <w:fldChar w:fldCharType="end"/>
      </w:r>
      <w:r>
        <w:rPr>
          <w:rStyle w:val="23"/>
        </w:rPr>
        <w:fldChar w:fldCharType="end"/>
      </w:r>
    </w:p>
    <w:p>
      <w:pPr>
        <w:pStyle w:val="14"/>
        <w:rPr>
          <w:smallCaps w:val="0"/>
          <w:sz w:val="21"/>
          <w:szCs w:val="24"/>
        </w:rPr>
      </w:pPr>
      <w:r>
        <w:rPr>
          <w:rStyle w:val="23"/>
        </w:rPr>
        <w:fldChar w:fldCharType="begin"/>
      </w:r>
      <w:r>
        <w:rPr>
          <w:rStyle w:val="23"/>
        </w:rPr>
        <w:instrText xml:space="preserve"> </w:instrText>
      </w:r>
      <w:r>
        <w:instrText xml:space="preserve">HYPERLINK \l "_Toc59802153"</w:instrText>
      </w:r>
      <w:r>
        <w:rPr>
          <w:rStyle w:val="23"/>
        </w:rPr>
        <w:instrText xml:space="preserve"> </w:instrText>
      </w:r>
      <w:r>
        <w:rPr>
          <w:rStyle w:val="23"/>
        </w:rPr>
        <w:fldChar w:fldCharType="separate"/>
      </w:r>
      <w:r>
        <w:rPr>
          <w:rStyle w:val="23"/>
        </w:rPr>
        <w:t xml:space="preserve">6.3 </w:t>
      </w:r>
      <w:r>
        <w:rPr>
          <w:rStyle w:val="23"/>
          <w:rFonts w:hint="eastAsia"/>
        </w:rPr>
        <w:t>资源储量估算参数确定</w:t>
      </w:r>
      <w:r>
        <w:tab/>
      </w:r>
      <w:r>
        <w:fldChar w:fldCharType="begin"/>
      </w:r>
      <w:r>
        <w:instrText xml:space="preserve"> PAGEREF _Toc59802153 \h </w:instrText>
      </w:r>
      <w:r>
        <w:fldChar w:fldCharType="separate"/>
      </w:r>
      <w:r>
        <w:t>10</w:t>
      </w:r>
      <w:r>
        <w:fldChar w:fldCharType="end"/>
      </w:r>
      <w:r>
        <w:rPr>
          <w:rStyle w:val="23"/>
        </w:rPr>
        <w:fldChar w:fldCharType="end"/>
      </w:r>
    </w:p>
    <w:p>
      <w:pPr>
        <w:pStyle w:val="14"/>
        <w:rPr>
          <w:smallCaps w:val="0"/>
          <w:sz w:val="21"/>
          <w:szCs w:val="24"/>
        </w:rPr>
      </w:pPr>
      <w:r>
        <w:rPr>
          <w:rStyle w:val="23"/>
        </w:rPr>
        <w:fldChar w:fldCharType="begin"/>
      </w:r>
      <w:r>
        <w:rPr>
          <w:rStyle w:val="23"/>
        </w:rPr>
        <w:instrText xml:space="preserve"> </w:instrText>
      </w:r>
      <w:r>
        <w:instrText xml:space="preserve">HYPERLINK \l "_Toc59802154"</w:instrText>
      </w:r>
      <w:r>
        <w:rPr>
          <w:rStyle w:val="23"/>
        </w:rPr>
        <w:instrText xml:space="preserve"> </w:instrText>
      </w:r>
      <w:r>
        <w:rPr>
          <w:rStyle w:val="23"/>
        </w:rPr>
        <w:fldChar w:fldCharType="separate"/>
      </w:r>
      <w:r>
        <w:rPr>
          <w:rStyle w:val="23"/>
        </w:rPr>
        <w:t xml:space="preserve">6.4 </w:t>
      </w:r>
      <w:r>
        <w:rPr>
          <w:rStyle w:val="23"/>
          <w:rFonts w:hint="eastAsia"/>
        </w:rPr>
        <w:t>矿体</w:t>
      </w:r>
      <w:r>
        <w:rPr>
          <w:rStyle w:val="23"/>
        </w:rPr>
        <w:t>(</w:t>
      </w:r>
      <w:r>
        <w:rPr>
          <w:rStyle w:val="23"/>
          <w:rFonts w:hint="eastAsia"/>
        </w:rPr>
        <w:t>层</w:t>
      </w:r>
      <w:r>
        <w:rPr>
          <w:rStyle w:val="23"/>
        </w:rPr>
        <w:t>)</w:t>
      </w:r>
      <w:r>
        <w:rPr>
          <w:rStyle w:val="23"/>
          <w:rFonts w:hint="eastAsia"/>
        </w:rPr>
        <w:t>圈定原则</w:t>
      </w:r>
      <w:r>
        <w:tab/>
      </w:r>
      <w:r>
        <w:fldChar w:fldCharType="begin"/>
      </w:r>
      <w:r>
        <w:instrText xml:space="preserve"> PAGEREF _Toc59802154 \h </w:instrText>
      </w:r>
      <w:r>
        <w:fldChar w:fldCharType="separate"/>
      </w:r>
      <w:r>
        <w:t>11</w:t>
      </w:r>
      <w:r>
        <w:fldChar w:fldCharType="end"/>
      </w:r>
      <w:r>
        <w:rPr>
          <w:rStyle w:val="23"/>
        </w:rPr>
        <w:fldChar w:fldCharType="end"/>
      </w:r>
    </w:p>
    <w:p>
      <w:pPr>
        <w:pStyle w:val="14"/>
        <w:rPr>
          <w:smallCaps w:val="0"/>
          <w:sz w:val="21"/>
          <w:szCs w:val="24"/>
        </w:rPr>
      </w:pPr>
      <w:r>
        <w:rPr>
          <w:rStyle w:val="23"/>
        </w:rPr>
        <w:fldChar w:fldCharType="begin"/>
      </w:r>
      <w:r>
        <w:rPr>
          <w:rStyle w:val="23"/>
        </w:rPr>
        <w:instrText xml:space="preserve"> </w:instrText>
      </w:r>
      <w:r>
        <w:instrText xml:space="preserve">HYPERLINK \l "_Toc59802155"</w:instrText>
      </w:r>
      <w:r>
        <w:rPr>
          <w:rStyle w:val="23"/>
        </w:rPr>
        <w:instrText xml:space="preserve"> </w:instrText>
      </w:r>
      <w:r>
        <w:rPr>
          <w:rStyle w:val="23"/>
        </w:rPr>
        <w:fldChar w:fldCharType="separate"/>
      </w:r>
      <w:r>
        <w:rPr>
          <w:rStyle w:val="23"/>
        </w:rPr>
        <w:t xml:space="preserve">6.5 </w:t>
      </w:r>
      <w:r>
        <w:rPr>
          <w:rStyle w:val="23"/>
          <w:rFonts w:hint="eastAsia"/>
        </w:rPr>
        <w:t>采空区边界圈定</w:t>
      </w:r>
      <w:r>
        <w:tab/>
      </w:r>
      <w:r>
        <w:fldChar w:fldCharType="begin"/>
      </w:r>
      <w:r>
        <w:instrText xml:space="preserve"> PAGEREF _Toc59802155 \h </w:instrText>
      </w:r>
      <w:r>
        <w:fldChar w:fldCharType="separate"/>
      </w:r>
      <w:r>
        <w:t>11</w:t>
      </w:r>
      <w:r>
        <w:fldChar w:fldCharType="end"/>
      </w:r>
      <w:r>
        <w:rPr>
          <w:rStyle w:val="23"/>
        </w:rPr>
        <w:fldChar w:fldCharType="end"/>
      </w:r>
    </w:p>
    <w:p>
      <w:pPr>
        <w:pStyle w:val="14"/>
        <w:rPr>
          <w:smallCaps w:val="0"/>
          <w:sz w:val="21"/>
          <w:szCs w:val="24"/>
        </w:rPr>
      </w:pPr>
      <w:r>
        <w:rPr>
          <w:rStyle w:val="23"/>
        </w:rPr>
        <w:fldChar w:fldCharType="begin"/>
      </w:r>
      <w:r>
        <w:rPr>
          <w:rStyle w:val="23"/>
        </w:rPr>
        <w:instrText xml:space="preserve"> </w:instrText>
      </w:r>
      <w:r>
        <w:instrText xml:space="preserve">HYPERLINK \l "_Toc59802156"</w:instrText>
      </w:r>
      <w:r>
        <w:rPr>
          <w:rStyle w:val="23"/>
        </w:rPr>
        <w:instrText xml:space="preserve"> </w:instrText>
      </w:r>
      <w:r>
        <w:rPr>
          <w:rStyle w:val="23"/>
        </w:rPr>
        <w:fldChar w:fldCharType="separate"/>
      </w:r>
      <w:r>
        <w:rPr>
          <w:rStyle w:val="23"/>
        </w:rPr>
        <w:t xml:space="preserve">6.6 </w:t>
      </w:r>
      <w:r>
        <w:rPr>
          <w:rStyle w:val="23"/>
          <w:rFonts w:hint="eastAsia"/>
        </w:rPr>
        <w:t>资源储量类型确定</w:t>
      </w:r>
      <w:r>
        <w:tab/>
      </w:r>
      <w:r>
        <w:fldChar w:fldCharType="begin"/>
      </w:r>
      <w:r>
        <w:instrText xml:space="preserve"> PAGEREF _Toc59802156 \h </w:instrText>
      </w:r>
      <w:r>
        <w:fldChar w:fldCharType="separate"/>
      </w:r>
      <w:r>
        <w:t>11</w:t>
      </w:r>
      <w:r>
        <w:fldChar w:fldCharType="end"/>
      </w:r>
      <w:r>
        <w:rPr>
          <w:rStyle w:val="23"/>
        </w:rPr>
        <w:fldChar w:fldCharType="end"/>
      </w:r>
    </w:p>
    <w:p>
      <w:pPr>
        <w:pStyle w:val="14"/>
        <w:rPr>
          <w:smallCaps w:val="0"/>
          <w:sz w:val="21"/>
          <w:szCs w:val="24"/>
        </w:rPr>
      </w:pPr>
      <w:r>
        <w:rPr>
          <w:rStyle w:val="23"/>
        </w:rPr>
        <w:fldChar w:fldCharType="begin"/>
      </w:r>
      <w:r>
        <w:rPr>
          <w:rStyle w:val="23"/>
        </w:rPr>
        <w:instrText xml:space="preserve"> </w:instrText>
      </w:r>
      <w:r>
        <w:instrText xml:space="preserve">HYPERLINK \l "_Toc59802157"</w:instrText>
      </w:r>
      <w:r>
        <w:rPr>
          <w:rStyle w:val="23"/>
        </w:rPr>
        <w:instrText xml:space="preserve"> </w:instrText>
      </w:r>
      <w:r>
        <w:rPr>
          <w:rStyle w:val="23"/>
        </w:rPr>
        <w:fldChar w:fldCharType="separate"/>
      </w:r>
      <w:r>
        <w:rPr>
          <w:rStyle w:val="23"/>
        </w:rPr>
        <w:t xml:space="preserve">6.6 </w:t>
      </w:r>
      <w:r>
        <w:rPr>
          <w:rStyle w:val="23"/>
          <w:rFonts w:hint="eastAsia"/>
        </w:rPr>
        <w:t>估算结果</w:t>
      </w:r>
      <w:r>
        <w:tab/>
      </w:r>
      <w:r>
        <w:fldChar w:fldCharType="begin"/>
      </w:r>
      <w:r>
        <w:instrText xml:space="preserve"> PAGEREF _Toc59802157 \h </w:instrText>
      </w:r>
      <w:r>
        <w:fldChar w:fldCharType="separate"/>
      </w:r>
      <w:r>
        <w:t>11</w:t>
      </w:r>
      <w:r>
        <w:fldChar w:fldCharType="end"/>
      </w:r>
      <w:r>
        <w:rPr>
          <w:rStyle w:val="23"/>
        </w:rPr>
        <w:fldChar w:fldCharType="end"/>
      </w:r>
    </w:p>
    <w:p>
      <w:pPr>
        <w:pStyle w:val="13"/>
        <w:tabs>
          <w:tab w:val="right" w:leader="dot" w:pos="9062"/>
        </w:tabs>
        <w:rPr>
          <w:b w:val="0"/>
          <w:bCs w:val="0"/>
          <w:caps w:val="0"/>
          <w:sz w:val="28"/>
          <w:szCs w:val="28"/>
        </w:rPr>
      </w:pPr>
      <w:r>
        <w:rPr>
          <w:rStyle w:val="23"/>
          <w:b w:val="0"/>
          <w:sz w:val="28"/>
          <w:szCs w:val="28"/>
        </w:rPr>
        <w:fldChar w:fldCharType="begin"/>
      </w:r>
      <w:r>
        <w:rPr>
          <w:rStyle w:val="23"/>
          <w:b w:val="0"/>
          <w:sz w:val="28"/>
          <w:szCs w:val="28"/>
        </w:rPr>
        <w:instrText xml:space="preserve"> </w:instrText>
      </w:r>
      <w:r>
        <w:rPr>
          <w:b w:val="0"/>
          <w:sz w:val="28"/>
          <w:szCs w:val="28"/>
        </w:rPr>
        <w:instrText xml:space="preserve">HYPERLINK \l "_Toc59802158"</w:instrText>
      </w:r>
      <w:r>
        <w:rPr>
          <w:rStyle w:val="23"/>
          <w:b w:val="0"/>
          <w:sz w:val="28"/>
          <w:szCs w:val="28"/>
        </w:rPr>
        <w:instrText xml:space="preserve"> </w:instrText>
      </w:r>
      <w:r>
        <w:rPr>
          <w:rStyle w:val="23"/>
          <w:b w:val="0"/>
          <w:sz w:val="28"/>
          <w:szCs w:val="28"/>
        </w:rPr>
        <w:fldChar w:fldCharType="separate"/>
      </w:r>
      <w:r>
        <w:rPr>
          <w:rStyle w:val="23"/>
          <w:b w:val="0"/>
          <w:sz w:val="28"/>
          <w:szCs w:val="28"/>
        </w:rPr>
        <w:t xml:space="preserve">7  </w:t>
      </w:r>
      <w:r>
        <w:rPr>
          <w:rStyle w:val="23"/>
          <w:rFonts w:hint="eastAsia"/>
          <w:b w:val="0"/>
          <w:sz w:val="28"/>
          <w:szCs w:val="28"/>
        </w:rPr>
        <w:t>矿山经济意义研究</w:t>
      </w:r>
      <w:r>
        <w:rPr>
          <w:b w:val="0"/>
          <w:sz w:val="28"/>
          <w:szCs w:val="28"/>
        </w:rPr>
        <w:tab/>
      </w:r>
      <w:r>
        <w:rPr>
          <w:b w:val="0"/>
          <w:sz w:val="28"/>
          <w:szCs w:val="28"/>
        </w:rPr>
        <w:fldChar w:fldCharType="begin"/>
      </w:r>
      <w:r>
        <w:rPr>
          <w:b w:val="0"/>
          <w:sz w:val="28"/>
          <w:szCs w:val="28"/>
        </w:rPr>
        <w:instrText xml:space="preserve"> PAGEREF _Toc59802158 \h </w:instrText>
      </w:r>
      <w:r>
        <w:rPr>
          <w:b w:val="0"/>
          <w:sz w:val="28"/>
          <w:szCs w:val="28"/>
        </w:rPr>
        <w:fldChar w:fldCharType="separate"/>
      </w:r>
      <w:r>
        <w:rPr>
          <w:b w:val="0"/>
          <w:sz w:val="28"/>
          <w:szCs w:val="28"/>
        </w:rPr>
        <w:t>13</w:t>
      </w:r>
      <w:r>
        <w:rPr>
          <w:b w:val="0"/>
          <w:sz w:val="28"/>
          <w:szCs w:val="28"/>
        </w:rPr>
        <w:fldChar w:fldCharType="end"/>
      </w:r>
      <w:r>
        <w:rPr>
          <w:rStyle w:val="23"/>
          <w:b w:val="0"/>
          <w:sz w:val="28"/>
          <w:szCs w:val="28"/>
        </w:rPr>
        <w:fldChar w:fldCharType="end"/>
      </w:r>
    </w:p>
    <w:p>
      <w:pPr>
        <w:pStyle w:val="14"/>
        <w:rPr>
          <w:smallCaps w:val="0"/>
          <w:sz w:val="21"/>
          <w:szCs w:val="24"/>
        </w:rPr>
      </w:pPr>
      <w:r>
        <w:rPr>
          <w:rStyle w:val="23"/>
        </w:rPr>
        <w:fldChar w:fldCharType="begin"/>
      </w:r>
      <w:r>
        <w:rPr>
          <w:rStyle w:val="23"/>
        </w:rPr>
        <w:instrText xml:space="preserve"> </w:instrText>
      </w:r>
      <w:r>
        <w:instrText xml:space="preserve">HYPERLINK \l "_Toc59802159"</w:instrText>
      </w:r>
      <w:r>
        <w:rPr>
          <w:rStyle w:val="23"/>
        </w:rPr>
        <w:instrText xml:space="preserve"> </w:instrText>
      </w:r>
      <w:r>
        <w:rPr>
          <w:rStyle w:val="23"/>
        </w:rPr>
        <w:fldChar w:fldCharType="separate"/>
      </w:r>
      <w:r>
        <w:rPr>
          <w:rStyle w:val="23"/>
        </w:rPr>
        <w:t xml:space="preserve">7.1 </w:t>
      </w:r>
      <w:r>
        <w:rPr>
          <w:rStyle w:val="23"/>
          <w:rFonts w:hint="eastAsia"/>
        </w:rPr>
        <w:t>矿床开发需求及市场情况</w:t>
      </w:r>
      <w:r>
        <w:tab/>
      </w:r>
      <w:r>
        <w:fldChar w:fldCharType="begin"/>
      </w:r>
      <w:r>
        <w:instrText xml:space="preserve"> PAGEREF _Toc59802159 \h </w:instrText>
      </w:r>
      <w:r>
        <w:fldChar w:fldCharType="separate"/>
      </w:r>
      <w:r>
        <w:t>13</w:t>
      </w:r>
      <w:r>
        <w:fldChar w:fldCharType="end"/>
      </w:r>
      <w:r>
        <w:rPr>
          <w:rStyle w:val="23"/>
        </w:rPr>
        <w:fldChar w:fldCharType="end"/>
      </w:r>
    </w:p>
    <w:p>
      <w:pPr>
        <w:pStyle w:val="14"/>
        <w:rPr>
          <w:smallCaps w:val="0"/>
          <w:sz w:val="21"/>
          <w:szCs w:val="24"/>
        </w:rPr>
      </w:pPr>
      <w:r>
        <w:rPr>
          <w:rStyle w:val="23"/>
        </w:rPr>
        <w:fldChar w:fldCharType="begin"/>
      </w:r>
      <w:r>
        <w:rPr>
          <w:rStyle w:val="23"/>
        </w:rPr>
        <w:instrText xml:space="preserve"> </w:instrText>
      </w:r>
      <w:r>
        <w:instrText xml:space="preserve">HYPERLINK \l "_Toc59802160"</w:instrText>
      </w:r>
      <w:r>
        <w:rPr>
          <w:rStyle w:val="23"/>
        </w:rPr>
        <w:instrText xml:space="preserve"> </w:instrText>
      </w:r>
      <w:r>
        <w:rPr>
          <w:rStyle w:val="23"/>
        </w:rPr>
        <w:fldChar w:fldCharType="separate"/>
      </w:r>
      <w:r>
        <w:rPr>
          <w:rStyle w:val="23"/>
        </w:rPr>
        <w:t xml:space="preserve">7.2 </w:t>
      </w:r>
      <w:r>
        <w:rPr>
          <w:rStyle w:val="23"/>
          <w:rFonts w:hint="eastAsia"/>
        </w:rPr>
        <w:t>矿产开发经济效益概述</w:t>
      </w:r>
      <w:r>
        <w:tab/>
      </w:r>
      <w:r>
        <w:fldChar w:fldCharType="begin"/>
      </w:r>
      <w:r>
        <w:instrText xml:space="preserve"> PAGEREF _Toc59802160 \h </w:instrText>
      </w:r>
      <w:r>
        <w:fldChar w:fldCharType="separate"/>
      </w:r>
      <w:r>
        <w:t>13</w:t>
      </w:r>
      <w:r>
        <w:fldChar w:fldCharType="end"/>
      </w:r>
      <w:r>
        <w:rPr>
          <w:rStyle w:val="23"/>
        </w:rPr>
        <w:fldChar w:fldCharType="end"/>
      </w:r>
    </w:p>
    <w:p>
      <w:pPr>
        <w:pStyle w:val="13"/>
        <w:tabs>
          <w:tab w:val="right" w:leader="dot" w:pos="9062"/>
        </w:tabs>
        <w:rPr>
          <w:b w:val="0"/>
          <w:bCs w:val="0"/>
          <w:caps w:val="0"/>
          <w:sz w:val="28"/>
          <w:szCs w:val="28"/>
        </w:rPr>
      </w:pPr>
      <w:r>
        <w:rPr>
          <w:rStyle w:val="23"/>
          <w:b w:val="0"/>
          <w:sz w:val="28"/>
          <w:szCs w:val="28"/>
        </w:rPr>
        <w:fldChar w:fldCharType="begin"/>
      </w:r>
      <w:r>
        <w:rPr>
          <w:rStyle w:val="23"/>
          <w:b w:val="0"/>
          <w:sz w:val="28"/>
          <w:szCs w:val="28"/>
        </w:rPr>
        <w:instrText xml:space="preserve"> </w:instrText>
      </w:r>
      <w:r>
        <w:rPr>
          <w:b w:val="0"/>
          <w:sz w:val="28"/>
          <w:szCs w:val="28"/>
        </w:rPr>
        <w:instrText xml:space="preserve">HYPERLINK \l "_Toc59802161"</w:instrText>
      </w:r>
      <w:r>
        <w:rPr>
          <w:rStyle w:val="23"/>
          <w:b w:val="0"/>
          <w:sz w:val="28"/>
          <w:szCs w:val="28"/>
        </w:rPr>
        <w:instrText xml:space="preserve"> </w:instrText>
      </w:r>
      <w:r>
        <w:rPr>
          <w:rStyle w:val="23"/>
          <w:b w:val="0"/>
          <w:sz w:val="28"/>
          <w:szCs w:val="28"/>
        </w:rPr>
        <w:fldChar w:fldCharType="separate"/>
      </w:r>
      <w:r>
        <w:rPr>
          <w:rStyle w:val="23"/>
          <w:b w:val="0"/>
          <w:sz w:val="28"/>
          <w:szCs w:val="28"/>
        </w:rPr>
        <w:t xml:space="preserve">8 </w:t>
      </w:r>
      <w:r>
        <w:rPr>
          <w:rStyle w:val="23"/>
          <w:rFonts w:hint="eastAsia"/>
          <w:b w:val="0"/>
          <w:sz w:val="28"/>
          <w:szCs w:val="28"/>
        </w:rPr>
        <w:t>结论</w:t>
      </w:r>
      <w:r>
        <w:rPr>
          <w:b w:val="0"/>
          <w:sz w:val="28"/>
          <w:szCs w:val="28"/>
        </w:rPr>
        <w:tab/>
      </w:r>
      <w:r>
        <w:rPr>
          <w:b w:val="0"/>
          <w:sz w:val="28"/>
          <w:szCs w:val="28"/>
        </w:rPr>
        <w:fldChar w:fldCharType="begin"/>
      </w:r>
      <w:r>
        <w:rPr>
          <w:b w:val="0"/>
          <w:sz w:val="28"/>
          <w:szCs w:val="28"/>
        </w:rPr>
        <w:instrText xml:space="preserve"> PAGEREF _Toc59802161 \h </w:instrText>
      </w:r>
      <w:r>
        <w:rPr>
          <w:b w:val="0"/>
          <w:sz w:val="28"/>
          <w:szCs w:val="28"/>
        </w:rPr>
        <w:fldChar w:fldCharType="separate"/>
      </w:r>
      <w:r>
        <w:rPr>
          <w:b w:val="0"/>
          <w:sz w:val="28"/>
          <w:szCs w:val="28"/>
        </w:rPr>
        <w:t>13</w:t>
      </w:r>
      <w:r>
        <w:rPr>
          <w:b w:val="0"/>
          <w:sz w:val="28"/>
          <w:szCs w:val="28"/>
        </w:rPr>
        <w:fldChar w:fldCharType="end"/>
      </w:r>
      <w:r>
        <w:rPr>
          <w:rStyle w:val="23"/>
          <w:b w:val="0"/>
          <w:sz w:val="28"/>
          <w:szCs w:val="28"/>
        </w:rPr>
        <w:fldChar w:fldCharType="end"/>
      </w:r>
    </w:p>
    <w:p>
      <w:pPr>
        <w:pStyle w:val="14"/>
        <w:rPr>
          <w:smallCaps w:val="0"/>
          <w:sz w:val="21"/>
          <w:szCs w:val="24"/>
        </w:rPr>
      </w:pPr>
      <w:r>
        <w:rPr>
          <w:rStyle w:val="23"/>
        </w:rPr>
        <w:fldChar w:fldCharType="begin"/>
      </w:r>
      <w:r>
        <w:rPr>
          <w:rStyle w:val="23"/>
        </w:rPr>
        <w:instrText xml:space="preserve"> </w:instrText>
      </w:r>
      <w:r>
        <w:instrText xml:space="preserve">HYPERLINK \l "_Toc59802162"</w:instrText>
      </w:r>
      <w:r>
        <w:rPr>
          <w:rStyle w:val="23"/>
        </w:rPr>
        <w:instrText xml:space="preserve"> </w:instrText>
      </w:r>
      <w:r>
        <w:rPr>
          <w:rStyle w:val="23"/>
        </w:rPr>
        <w:fldChar w:fldCharType="separate"/>
      </w:r>
      <w:r>
        <w:rPr>
          <w:rStyle w:val="23"/>
        </w:rPr>
        <w:t xml:space="preserve">8.1 </w:t>
      </w:r>
      <w:r>
        <w:rPr>
          <w:rStyle w:val="23"/>
          <w:rFonts w:hint="eastAsia"/>
        </w:rPr>
        <w:t>主要成果</w:t>
      </w:r>
      <w:r>
        <w:tab/>
      </w:r>
      <w:r>
        <w:fldChar w:fldCharType="begin"/>
      </w:r>
      <w:r>
        <w:instrText xml:space="preserve"> PAGEREF _Toc59802162 \h </w:instrText>
      </w:r>
      <w:r>
        <w:fldChar w:fldCharType="separate"/>
      </w:r>
      <w:r>
        <w:t>14</w:t>
      </w:r>
      <w:r>
        <w:fldChar w:fldCharType="end"/>
      </w:r>
      <w:r>
        <w:rPr>
          <w:rStyle w:val="23"/>
        </w:rPr>
        <w:fldChar w:fldCharType="end"/>
      </w:r>
    </w:p>
    <w:p>
      <w:pPr>
        <w:pStyle w:val="14"/>
        <w:rPr>
          <w:smallCaps w:val="0"/>
          <w:sz w:val="21"/>
          <w:szCs w:val="24"/>
        </w:rPr>
      </w:pPr>
      <w:r>
        <w:rPr>
          <w:rStyle w:val="23"/>
        </w:rPr>
        <w:fldChar w:fldCharType="begin"/>
      </w:r>
      <w:r>
        <w:rPr>
          <w:rStyle w:val="23"/>
        </w:rPr>
        <w:instrText xml:space="preserve"> </w:instrText>
      </w:r>
      <w:r>
        <w:instrText xml:space="preserve">HYPERLINK \l "_Toc59802163"</w:instrText>
      </w:r>
      <w:r>
        <w:rPr>
          <w:rStyle w:val="23"/>
        </w:rPr>
        <w:instrText xml:space="preserve"> </w:instrText>
      </w:r>
      <w:r>
        <w:rPr>
          <w:rStyle w:val="23"/>
        </w:rPr>
        <w:fldChar w:fldCharType="separate"/>
      </w:r>
      <w:r>
        <w:rPr>
          <w:rStyle w:val="23"/>
        </w:rPr>
        <w:t xml:space="preserve">8.2 </w:t>
      </w:r>
      <w:r>
        <w:rPr>
          <w:rStyle w:val="23"/>
          <w:rFonts w:hint="eastAsia"/>
        </w:rPr>
        <w:t>建议</w:t>
      </w:r>
      <w:r>
        <w:tab/>
      </w:r>
      <w:r>
        <w:fldChar w:fldCharType="begin"/>
      </w:r>
      <w:r>
        <w:instrText xml:space="preserve"> PAGEREF _Toc59802163 \h </w:instrText>
      </w:r>
      <w:r>
        <w:fldChar w:fldCharType="separate"/>
      </w:r>
      <w:r>
        <w:t>14</w:t>
      </w:r>
      <w:r>
        <w:fldChar w:fldCharType="end"/>
      </w:r>
      <w:r>
        <w:rPr>
          <w:rStyle w:val="23"/>
        </w:rPr>
        <w:fldChar w:fldCharType="end"/>
      </w:r>
    </w:p>
    <w:p>
      <w:pPr>
        <w:spacing w:line="320" w:lineRule="exact"/>
        <w:jc w:val="left"/>
        <w:rPr>
          <w:bCs/>
          <w:caps/>
          <w:smallCaps/>
          <w:color w:val="0000FF"/>
          <w:sz w:val="28"/>
          <w:szCs w:val="28"/>
        </w:rPr>
        <w:sectPr>
          <w:footerReference r:id="rId8" w:type="default"/>
          <w:pgSz w:w="11907" w:h="16840"/>
          <w:pgMar w:top="1418" w:right="1134" w:bottom="1418" w:left="1701" w:header="851" w:footer="992" w:gutter="0"/>
          <w:pgNumType w:start="1"/>
          <w:cols w:space="720" w:num="1"/>
          <w:titlePg/>
          <w:docGrid w:type="lines" w:linePitch="312" w:charSpace="-4108"/>
        </w:sectPr>
      </w:pPr>
      <w:r>
        <w:rPr>
          <w:bCs/>
          <w:caps/>
          <w:smallCaps/>
          <w:color w:val="0000FF"/>
          <w:sz w:val="28"/>
          <w:szCs w:val="28"/>
        </w:rPr>
        <w:fldChar w:fldCharType="end"/>
      </w:r>
    </w:p>
    <w:p>
      <w:pPr>
        <w:pStyle w:val="14"/>
        <w:ind w:left="0" w:firstLine="4518" w:firstLineChars="1500"/>
        <w:jc w:val="both"/>
        <w:rPr>
          <w:b/>
          <w:smallCaps w:val="0"/>
          <w:sz w:val="30"/>
          <w:szCs w:val="30"/>
        </w:rPr>
      </w:pPr>
      <w:r>
        <w:rPr>
          <w:b/>
          <w:smallCaps w:val="0"/>
          <w:sz w:val="30"/>
          <w:szCs w:val="30"/>
        </w:rPr>
        <w:t>附图</w:t>
      </w:r>
    </w:p>
    <w:p>
      <w:pPr>
        <w:rPr>
          <w:sz w:val="28"/>
          <w:szCs w:val="28"/>
        </w:rPr>
      </w:pPr>
      <w:r>
        <w:rPr>
          <w:rFonts w:hAnsi="宋体"/>
          <w:sz w:val="28"/>
          <w:szCs w:val="28"/>
        </w:rPr>
        <w:t>顺序号</w:t>
      </w:r>
      <w:r>
        <w:rPr>
          <w:sz w:val="28"/>
          <w:szCs w:val="28"/>
        </w:rPr>
        <w:t xml:space="preserve">  </w:t>
      </w:r>
      <w:r>
        <w:rPr>
          <w:rFonts w:hAnsi="宋体"/>
          <w:sz w:val="28"/>
          <w:szCs w:val="28"/>
        </w:rPr>
        <w:t>图号</w:t>
      </w:r>
      <w:r>
        <w:rPr>
          <w:sz w:val="28"/>
          <w:szCs w:val="28"/>
        </w:rPr>
        <w:t xml:space="preserve">           </w:t>
      </w:r>
      <w:r>
        <w:rPr>
          <w:rFonts w:hAnsi="宋体"/>
          <w:sz w:val="28"/>
          <w:szCs w:val="28"/>
        </w:rPr>
        <w:t>图</w:t>
      </w:r>
      <w:r>
        <w:rPr>
          <w:sz w:val="28"/>
          <w:szCs w:val="28"/>
        </w:rPr>
        <w:t xml:space="preserve">           </w:t>
      </w:r>
      <w:r>
        <w:rPr>
          <w:rFonts w:hAnsi="宋体"/>
          <w:sz w:val="28"/>
          <w:szCs w:val="28"/>
        </w:rPr>
        <w:t>名</w:t>
      </w:r>
      <w:r>
        <w:rPr>
          <w:sz w:val="28"/>
          <w:szCs w:val="28"/>
        </w:rPr>
        <w:t xml:space="preserve">                    </w:t>
      </w:r>
      <w:r>
        <w:rPr>
          <w:rFonts w:hAnsi="宋体"/>
          <w:sz w:val="28"/>
          <w:szCs w:val="28"/>
        </w:rPr>
        <w:t>比例尺</w:t>
      </w:r>
    </w:p>
    <w:p>
      <w:pPr>
        <w:rPr>
          <w:sz w:val="28"/>
          <w:szCs w:val="28"/>
        </w:rPr>
      </w:pPr>
      <w:r>
        <w:rPr>
          <w:sz w:val="28"/>
          <w:szCs w:val="28"/>
        </w:rPr>
        <w:t xml:space="preserve">1        1    </w:t>
      </w:r>
      <w:r>
        <w:rPr>
          <w:rFonts w:hAnsi="宋体"/>
          <w:sz w:val="28"/>
          <w:szCs w:val="28"/>
        </w:rPr>
        <w:t>达州市达川区</w:t>
      </w:r>
      <w:r>
        <w:rPr>
          <w:rFonts w:hint="eastAsia" w:hAnsi="宋体"/>
          <w:sz w:val="28"/>
          <w:szCs w:val="28"/>
        </w:rPr>
        <w:t>石桥</w:t>
      </w:r>
      <w:r>
        <w:rPr>
          <w:rFonts w:hAnsi="宋体"/>
          <w:sz w:val="28"/>
          <w:szCs w:val="28"/>
        </w:rPr>
        <w:t>镇</w:t>
      </w:r>
      <w:r>
        <w:rPr>
          <w:rFonts w:hint="eastAsia" w:hAnsi="宋体"/>
          <w:sz w:val="28"/>
          <w:szCs w:val="28"/>
        </w:rPr>
        <w:t>麻油沟</w:t>
      </w:r>
      <w:r>
        <w:rPr>
          <w:rFonts w:hAnsi="宋体"/>
          <w:sz w:val="28"/>
          <w:szCs w:val="28"/>
        </w:rPr>
        <w:t>村</w:t>
      </w:r>
      <w:r>
        <w:rPr>
          <w:rFonts w:hint="eastAsia" w:hAnsi="宋体"/>
          <w:sz w:val="28"/>
          <w:szCs w:val="28"/>
        </w:rPr>
        <w:t>小儿坡页岩矿</w:t>
      </w:r>
      <w:r>
        <w:rPr>
          <w:rFonts w:hAnsi="宋体"/>
          <w:sz w:val="28"/>
          <w:szCs w:val="28"/>
        </w:rPr>
        <w:t>地形</w:t>
      </w:r>
    </w:p>
    <w:p>
      <w:pPr>
        <w:ind w:firstLine="1960" w:firstLineChars="700"/>
        <w:rPr>
          <w:sz w:val="28"/>
          <w:szCs w:val="28"/>
        </w:rPr>
      </w:pPr>
      <w:r>
        <w:rPr>
          <w:rFonts w:hAnsi="宋体"/>
          <w:sz w:val="28"/>
          <w:szCs w:val="28"/>
        </w:rPr>
        <w:t>地质及拟设置矿权范围图</w:t>
      </w:r>
      <w:r>
        <w:rPr>
          <w:rFonts w:hint="eastAsia" w:hAnsi="宋体"/>
          <w:sz w:val="28"/>
          <w:szCs w:val="28"/>
        </w:rPr>
        <w:t xml:space="preserve">                      </w:t>
      </w:r>
      <w:r>
        <w:rPr>
          <w:sz w:val="28"/>
          <w:szCs w:val="28"/>
        </w:rPr>
        <w:t>1:2000</w:t>
      </w:r>
    </w:p>
    <w:p>
      <w:pPr>
        <w:rPr>
          <w:rFonts w:hint="eastAsia"/>
          <w:sz w:val="28"/>
          <w:szCs w:val="28"/>
        </w:rPr>
      </w:pPr>
      <w:r>
        <w:rPr>
          <w:sz w:val="28"/>
          <w:szCs w:val="28"/>
        </w:rPr>
        <w:t xml:space="preserve">2       2    </w:t>
      </w:r>
      <w:r>
        <w:rPr>
          <w:rFonts w:hAnsi="宋体"/>
          <w:sz w:val="28"/>
          <w:szCs w:val="28"/>
        </w:rPr>
        <w:t>达州市达川区</w:t>
      </w:r>
      <w:r>
        <w:rPr>
          <w:rFonts w:hint="eastAsia" w:hAnsi="宋体"/>
          <w:sz w:val="28"/>
          <w:szCs w:val="28"/>
        </w:rPr>
        <w:t>石桥</w:t>
      </w:r>
      <w:r>
        <w:rPr>
          <w:rFonts w:hAnsi="宋体"/>
          <w:sz w:val="28"/>
          <w:szCs w:val="28"/>
        </w:rPr>
        <w:t>镇</w:t>
      </w:r>
      <w:r>
        <w:rPr>
          <w:rFonts w:hint="eastAsia" w:hAnsi="宋体"/>
          <w:sz w:val="28"/>
          <w:szCs w:val="28"/>
        </w:rPr>
        <w:t>麻油沟</w:t>
      </w:r>
      <w:r>
        <w:rPr>
          <w:rFonts w:hAnsi="宋体"/>
          <w:sz w:val="28"/>
          <w:szCs w:val="28"/>
        </w:rPr>
        <w:t>村</w:t>
      </w:r>
      <w:r>
        <w:rPr>
          <w:rFonts w:hint="eastAsia" w:hAnsi="宋体"/>
          <w:sz w:val="28"/>
          <w:szCs w:val="28"/>
        </w:rPr>
        <w:t>小儿坡页岩矿</w:t>
      </w:r>
      <w:r>
        <w:rPr>
          <w:sz w:val="28"/>
          <w:szCs w:val="28"/>
        </w:rPr>
        <w:t>1-1′</w:t>
      </w:r>
    </w:p>
    <w:p>
      <w:pPr>
        <w:rPr>
          <w:sz w:val="28"/>
          <w:szCs w:val="28"/>
        </w:rPr>
      </w:pPr>
      <w:r>
        <w:rPr>
          <w:sz w:val="28"/>
          <w:szCs w:val="28"/>
        </w:rPr>
        <w:t xml:space="preserve">              </w:t>
      </w:r>
      <w:r>
        <w:rPr>
          <w:rFonts w:hAnsi="宋体"/>
          <w:sz w:val="28"/>
          <w:szCs w:val="28"/>
        </w:rPr>
        <w:t>～</w:t>
      </w:r>
      <w:r>
        <w:rPr>
          <w:rFonts w:hint="eastAsia"/>
          <w:sz w:val="28"/>
          <w:szCs w:val="28"/>
        </w:rPr>
        <w:t>5</w:t>
      </w:r>
      <w:r>
        <w:rPr>
          <w:sz w:val="28"/>
          <w:szCs w:val="28"/>
        </w:rPr>
        <w:t>-</w:t>
      </w:r>
      <w:r>
        <w:rPr>
          <w:rFonts w:hint="eastAsia"/>
          <w:sz w:val="28"/>
          <w:szCs w:val="28"/>
        </w:rPr>
        <w:t>5</w:t>
      </w:r>
      <w:r>
        <w:rPr>
          <w:sz w:val="28"/>
          <w:szCs w:val="28"/>
        </w:rPr>
        <w:t>′</w:t>
      </w:r>
      <w:r>
        <w:rPr>
          <w:rFonts w:hAnsi="宋体"/>
          <w:sz w:val="28"/>
          <w:szCs w:val="28"/>
        </w:rPr>
        <w:t>地质及资源量估算断面图</w:t>
      </w:r>
      <w:r>
        <w:rPr>
          <w:rFonts w:hint="eastAsia" w:hAnsi="宋体"/>
          <w:sz w:val="28"/>
          <w:szCs w:val="28"/>
        </w:rPr>
        <w:t xml:space="preserve">                 </w:t>
      </w:r>
      <w:r>
        <w:rPr>
          <w:sz w:val="28"/>
          <w:szCs w:val="28"/>
        </w:rPr>
        <w:t>1:2000</w:t>
      </w:r>
    </w:p>
    <w:p>
      <w:pPr>
        <w:rPr>
          <w:sz w:val="28"/>
          <w:szCs w:val="28"/>
        </w:rPr>
      </w:pPr>
      <w:r>
        <w:rPr>
          <w:rFonts w:hint="eastAsia"/>
          <w:sz w:val="28"/>
          <w:szCs w:val="28"/>
        </w:rPr>
        <w:t>3</w:t>
      </w:r>
      <w:r>
        <w:rPr>
          <w:sz w:val="28"/>
          <w:szCs w:val="28"/>
        </w:rPr>
        <w:t xml:space="preserve">       </w:t>
      </w:r>
      <w:r>
        <w:rPr>
          <w:rFonts w:hint="eastAsia"/>
          <w:sz w:val="28"/>
          <w:szCs w:val="28"/>
        </w:rPr>
        <w:t>3</w:t>
      </w:r>
      <w:r>
        <w:rPr>
          <w:sz w:val="28"/>
          <w:szCs w:val="28"/>
        </w:rPr>
        <w:t xml:space="preserve">    </w:t>
      </w:r>
      <w:r>
        <w:rPr>
          <w:rFonts w:hAnsi="宋体"/>
          <w:sz w:val="28"/>
          <w:szCs w:val="28"/>
        </w:rPr>
        <w:t>达州市达川区</w:t>
      </w:r>
      <w:r>
        <w:rPr>
          <w:rFonts w:hint="eastAsia" w:hAnsi="宋体"/>
          <w:sz w:val="28"/>
          <w:szCs w:val="28"/>
        </w:rPr>
        <w:t>石桥</w:t>
      </w:r>
      <w:r>
        <w:rPr>
          <w:rFonts w:hAnsi="宋体"/>
          <w:sz w:val="28"/>
          <w:szCs w:val="28"/>
        </w:rPr>
        <w:t>镇</w:t>
      </w:r>
      <w:r>
        <w:rPr>
          <w:rFonts w:hint="eastAsia" w:hAnsi="宋体"/>
          <w:sz w:val="28"/>
          <w:szCs w:val="28"/>
        </w:rPr>
        <w:t>麻油沟</w:t>
      </w:r>
      <w:r>
        <w:rPr>
          <w:rFonts w:hAnsi="宋体"/>
          <w:sz w:val="28"/>
          <w:szCs w:val="28"/>
        </w:rPr>
        <w:t>村</w:t>
      </w:r>
      <w:r>
        <w:rPr>
          <w:rFonts w:hint="eastAsia" w:hAnsi="宋体"/>
          <w:sz w:val="28"/>
          <w:szCs w:val="28"/>
        </w:rPr>
        <w:t>小儿坡页岩矿</w:t>
      </w:r>
      <w:r>
        <w:rPr>
          <w:rFonts w:hAnsi="宋体"/>
          <w:sz w:val="28"/>
          <w:szCs w:val="28"/>
        </w:rPr>
        <w:t>资源量</w:t>
      </w:r>
    </w:p>
    <w:p>
      <w:pPr>
        <w:rPr>
          <w:sz w:val="28"/>
          <w:szCs w:val="28"/>
        </w:rPr>
      </w:pPr>
      <w:r>
        <w:rPr>
          <w:sz w:val="28"/>
          <w:szCs w:val="28"/>
        </w:rPr>
        <w:t xml:space="preserve">             </w:t>
      </w:r>
      <w:r>
        <w:rPr>
          <w:rFonts w:hint="eastAsia"/>
          <w:sz w:val="28"/>
          <w:szCs w:val="28"/>
        </w:rPr>
        <w:t xml:space="preserve"> </w:t>
      </w:r>
      <w:r>
        <w:rPr>
          <w:rFonts w:hAnsi="宋体"/>
          <w:sz w:val="28"/>
          <w:szCs w:val="28"/>
        </w:rPr>
        <w:t>估算图</w:t>
      </w:r>
      <w:r>
        <w:rPr>
          <w:rFonts w:hint="eastAsia" w:hAnsi="宋体"/>
          <w:sz w:val="28"/>
          <w:szCs w:val="28"/>
        </w:rPr>
        <w:t xml:space="preserve">                                      </w:t>
      </w:r>
      <w:r>
        <w:rPr>
          <w:sz w:val="28"/>
          <w:szCs w:val="28"/>
        </w:rPr>
        <w:t>1:2000</w:t>
      </w:r>
    </w:p>
    <w:p>
      <w:pPr>
        <w:rPr>
          <w:sz w:val="28"/>
          <w:szCs w:val="28"/>
        </w:rPr>
      </w:pPr>
    </w:p>
    <w:p>
      <w:pPr>
        <w:jc w:val="center"/>
        <w:rPr>
          <w:b/>
          <w:sz w:val="30"/>
          <w:szCs w:val="30"/>
        </w:rPr>
      </w:pPr>
      <w:r>
        <w:rPr>
          <w:b/>
          <w:sz w:val="30"/>
          <w:szCs w:val="30"/>
        </w:rPr>
        <w:t>附件</w:t>
      </w:r>
    </w:p>
    <w:p>
      <w:pPr>
        <w:ind w:firstLine="570"/>
        <w:rPr>
          <w:sz w:val="28"/>
          <w:szCs w:val="28"/>
        </w:rPr>
      </w:pPr>
      <w:r>
        <w:rPr>
          <w:sz w:val="28"/>
          <w:szCs w:val="28"/>
        </w:rPr>
        <w:t xml:space="preserve">1. </w:t>
      </w:r>
      <w:r>
        <w:rPr>
          <w:rFonts w:hAnsi="宋体"/>
          <w:sz w:val="28"/>
          <w:szCs w:val="28"/>
        </w:rPr>
        <w:t>委托书</w:t>
      </w:r>
    </w:p>
    <w:p>
      <w:pPr>
        <w:ind w:firstLine="570"/>
        <w:rPr>
          <w:sz w:val="28"/>
          <w:szCs w:val="28"/>
        </w:rPr>
      </w:pPr>
      <w:r>
        <w:rPr>
          <w:sz w:val="28"/>
          <w:szCs w:val="28"/>
        </w:rPr>
        <w:t xml:space="preserve">2. </w:t>
      </w:r>
      <w:r>
        <w:rPr>
          <w:rFonts w:hAnsi="宋体"/>
          <w:sz w:val="28"/>
          <w:szCs w:val="28"/>
        </w:rPr>
        <w:t>承诺书</w:t>
      </w:r>
    </w:p>
    <w:p>
      <w:pPr>
        <w:ind w:firstLine="537" w:firstLineChars="192"/>
        <w:rPr>
          <w:sz w:val="28"/>
          <w:szCs w:val="28"/>
        </w:rPr>
      </w:pPr>
      <w:r>
        <w:rPr>
          <w:sz w:val="28"/>
          <w:szCs w:val="28"/>
        </w:rPr>
        <w:t xml:space="preserve">3. </w:t>
      </w:r>
      <w:r>
        <w:rPr>
          <w:rFonts w:hAnsi="宋体"/>
          <w:sz w:val="28"/>
          <w:szCs w:val="28"/>
        </w:rPr>
        <w:t>自审意见</w:t>
      </w:r>
    </w:p>
    <w:p>
      <w:pPr>
        <w:spacing w:line="320" w:lineRule="exact"/>
        <w:ind w:firstLine="560" w:firstLineChars="200"/>
        <w:jc w:val="left"/>
        <w:rPr>
          <w:rFonts w:hint="eastAsia"/>
          <w:bCs/>
          <w:caps/>
          <w:smallCaps/>
          <w:color w:val="0000FF"/>
          <w:sz w:val="28"/>
          <w:szCs w:val="28"/>
        </w:rPr>
      </w:pPr>
      <w:r>
        <w:rPr>
          <w:sz w:val="28"/>
          <w:szCs w:val="28"/>
        </w:rPr>
        <w:t xml:space="preserve">4. </w:t>
      </w:r>
      <w:r>
        <w:rPr>
          <w:rFonts w:hAnsi="宋体"/>
          <w:sz w:val="28"/>
          <w:szCs w:val="28"/>
        </w:rPr>
        <w:t>评审意见</w:t>
      </w:r>
    </w:p>
    <w:p>
      <w:pPr>
        <w:spacing w:line="320" w:lineRule="exact"/>
        <w:jc w:val="left"/>
        <w:rPr>
          <w:rFonts w:hint="eastAsia"/>
          <w:bCs/>
          <w:caps/>
          <w:smallCaps/>
          <w:color w:val="0000FF"/>
        </w:rPr>
        <w:sectPr>
          <w:footerReference r:id="rId9" w:type="default"/>
          <w:pgSz w:w="11907" w:h="16840"/>
          <w:pgMar w:top="1418" w:right="1134" w:bottom="1418" w:left="1701" w:header="851" w:footer="992" w:gutter="0"/>
          <w:pgNumType w:start="1"/>
          <w:cols w:space="720" w:num="1"/>
          <w:titlePg/>
          <w:docGrid w:type="lines" w:linePitch="312" w:charSpace="-4108"/>
        </w:sectPr>
      </w:pPr>
    </w:p>
    <w:p>
      <w:pPr>
        <w:pStyle w:val="2"/>
        <w:spacing w:before="0" w:after="0" w:line="240" w:lineRule="auto"/>
        <w:ind w:right="105" w:rightChars="50"/>
        <w:jc w:val="left"/>
        <w:rPr>
          <w:rStyle w:val="23"/>
          <w:color w:val="000000"/>
          <w:sz w:val="32"/>
          <w:szCs w:val="32"/>
        </w:rPr>
      </w:pPr>
      <w:bookmarkStart w:id="2" w:name="_Toc59802127"/>
      <w:r>
        <w:rPr>
          <w:rStyle w:val="23"/>
          <w:color w:val="000000"/>
          <w:sz w:val="32"/>
          <w:szCs w:val="32"/>
        </w:rPr>
        <w:t>1 概况</w:t>
      </w:r>
      <w:bookmarkEnd w:id="2"/>
    </w:p>
    <w:p>
      <w:pPr>
        <w:pStyle w:val="3"/>
        <w:spacing w:before="0" w:after="0" w:line="240" w:lineRule="auto"/>
        <w:rPr>
          <w:rStyle w:val="23"/>
          <w:rFonts w:ascii="Times New Roman" w:hAnsi="Times New Roman" w:eastAsia="宋体"/>
          <w:color w:val="000000"/>
          <w:sz w:val="30"/>
          <w:szCs w:val="30"/>
        </w:rPr>
      </w:pPr>
      <w:bookmarkStart w:id="3" w:name="_Toc59802128"/>
      <w:r>
        <w:rPr>
          <w:rStyle w:val="23"/>
          <w:rFonts w:ascii="Times New Roman" w:hAnsi="Times New Roman" w:eastAsia="宋体"/>
          <w:color w:val="000000"/>
          <w:sz w:val="30"/>
          <w:szCs w:val="30"/>
        </w:rPr>
        <w:t>1.1 概况</w:t>
      </w:r>
      <w:bookmarkEnd w:id="3"/>
    </w:p>
    <w:p>
      <w:pPr>
        <w:pStyle w:val="16"/>
        <w:widowControl/>
        <w:spacing w:before="0" w:beforeAutospacing="0" w:after="0" w:afterAutospacing="0"/>
        <w:ind w:firstLine="560" w:firstLineChars="200"/>
        <w:rPr>
          <w:color w:val="000000"/>
          <w:sz w:val="28"/>
          <w:szCs w:val="28"/>
        </w:rPr>
      </w:pPr>
      <w:r>
        <w:rPr>
          <w:rFonts w:hAnsi="宋体"/>
          <w:sz w:val="28"/>
          <w:szCs w:val="28"/>
        </w:rPr>
        <w:t>达州市达川区政府为了保障供应达州市地区重点建设需要，拟在铁山以西投建大型综合建筑用砂石土产品深加工产业园，为配套砂石土原料，保障区内建设项目砂石料需求，积极推进矿产资源合理开发利用，促进达川区地方经济发展</w:t>
      </w:r>
      <w:r>
        <w:rPr>
          <w:rFonts w:hint="eastAsia" w:hAnsi="宋体"/>
          <w:sz w:val="28"/>
          <w:szCs w:val="28"/>
        </w:rPr>
        <w:t>，</w:t>
      </w:r>
      <w:r>
        <w:rPr>
          <w:rFonts w:hAnsi="宋体"/>
          <w:sz w:val="28"/>
          <w:szCs w:val="28"/>
        </w:rPr>
        <w:t>按照</w:t>
      </w:r>
      <w:bookmarkStart w:id="4" w:name="OLE_LINK15"/>
      <w:bookmarkStart w:id="5" w:name="OLE_LINK11"/>
      <w:r>
        <w:rPr>
          <w:rFonts w:hAnsi="宋体"/>
          <w:sz w:val="28"/>
          <w:szCs w:val="28"/>
        </w:rPr>
        <w:t>《中华人民共和国矿产资源法》</w:t>
      </w:r>
      <w:bookmarkEnd w:id="4"/>
      <w:bookmarkEnd w:id="5"/>
      <w:r>
        <w:rPr>
          <w:rFonts w:hAnsi="宋体"/>
          <w:sz w:val="28"/>
          <w:szCs w:val="28"/>
        </w:rPr>
        <w:t>，《</w:t>
      </w:r>
      <w:r>
        <w:rPr>
          <w:rFonts w:hint="eastAsia" w:hAnsi="宋体"/>
          <w:sz w:val="28"/>
          <w:szCs w:val="28"/>
        </w:rPr>
        <w:t>四川省自然资源厅关于综合施策保障建筑用砂石资源供应的通知</w:t>
      </w:r>
      <w:r>
        <w:rPr>
          <w:rFonts w:hAnsi="宋体"/>
          <w:sz w:val="28"/>
          <w:szCs w:val="28"/>
        </w:rPr>
        <w:t>》</w:t>
      </w:r>
      <w:r>
        <w:rPr>
          <w:rFonts w:hint="eastAsia" w:hAnsi="宋体"/>
          <w:sz w:val="28"/>
          <w:szCs w:val="28"/>
        </w:rPr>
        <w:t>(川自然资发[2020] 17号)</w:t>
      </w:r>
      <w:r>
        <w:rPr>
          <w:rFonts w:hAnsi="宋体"/>
          <w:sz w:val="28"/>
          <w:szCs w:val="28"/>
        </w:rPr>
        <w:t>，达州市达川区自然资源局拟在铁山以西投放一定数量的砂石土类采矿权，并依法有偿出让，达州市达川区石</w:t>
      </w:r>
      <w:r>
        <w:rPr>
          <w:rFonts w:hint="eastAsia" w:hAnsi="宋体"/>
          <w:sz w:val="28"/>
          <w:szCs w:val="28"/>
        </w:rPr>
        <w:t>桥</w:t>
      </w:r>
      <w:r>
        <w:rPr>
          <w:rFonts w:hAnsi="宋体"/>
          <w:sz w:val="28"/>
          <w:szCs w:val="28"/>
        </w:rPr>
        <w:t>镇</w:t>
      </w:r>
      <w:r>
        <w:rPr>
          <w:rFonts w:hint="eastAsia" w:hAnsi="宋体"/>
          <w:sz w:val="28"/>
          <w:szCs w:val="28"/>
        </w:rPr>
        <w:t>麻油沟</w:t>
      </w:r>
      <w:r>
        <w:rPr>
          <w:rFonts w:hAnsi="宋体"/>
          <w:sz w:val="28"/>
          <w:szCs w:val="28"/>
        </w:rPr>
        <w:t>村</w:t>
      </w:r>
      <w:r>
        <w:rPr>
          <w:rFonts w:hint="eastAsia" w:hAnsi="宋体"/>
          <w:sz w:val="28"/>
          <w:szCs w:val="28"/>
        </w:rPr>
        <w:t>小儿坡</w:t>
      </w:r>
      <w:r>
        <w:rPr>
          <w:rFonts w:hAnsi="宋体"/>
          <w:sz w:val="28"/>
          <w:szCs w:val="28"/>
        </w:rPr>
        <w:t>页岩矿为其中之一。为此，达州市达川区自然资源局特委托四川川联勘工程技术有限公司</w:t>
      </w:r>
      <w:r>
        <w:rPr>
          <w:sz w:val="28"/>
          <w:szCs w:val="28"/>
        </w:rPr>
        <w:t>(</w:t>
      </w:r>
      <w:r>
        <w:rPr>
          <w:rFonts w:hAnsi="宋体"/>
          <w:sz w:val="28"/>
          <w:szCs w:val="28"/>
        </w:rPr>
        <w:t>以下简称</w:t>
      </w:r>
      <w:r>
        <w:rPr>
          <w:sz w:val="28"/>
          <w:szCs w:val="28"/>
        </w:rPr>
        <w:t>“</w:t>
      </w:r>
      <w:r>
        <w:rPr>
          <w:rFonts w:hint="eastAsia" w:hAnsi="宋体"/>
          <w:sz w:val="28"/>
          <w:szCs w:val="28"/>
        </w:rPr>
        <w:t>川联勘</w:t>
      </w:r>
      <w:r>
        <w:rPr>
          <w:rFonts w:hAnsi="宋体"/>
          <w:sz w:val="28"/>
          <w:szCs w:val="28"/>
        </w:rPr>
        <w:t>公司</w:t>
      </w:r>
      <w:r>
        <w:rPr>
          <w:sz w:val="28"/>
          <w:szCs w:val="28"/>
        </w:rPr>
        <w:t>”)</w:t>
      </w:r>
      <w:r>
        <w:rPr>
          <w:rFonts w:hAnsi="宋体"/>
          <w:sz w:val="28"/>
          <w:szCs w:val="28"/>
        </w:rPr>
        <w:t>对</w:t>
      </w:r>
      <w:r>
        <w:rPr>
          <w:rFonts w:hint="eastAsia" w:hAnsi="宋体"/>
          <w:sz w:val="28"/>
          <w:szCs w:val="28"/>
        </w:rPr>
        <w:t>小儿坡</w:t>
      </w:r>
      <w:r>
        <w:rPr>
          <w:rFonts w:hAnsi="宋体"/>
          <w:sz w:val="28"/>
          <w:szCs w:val="28"/>
        </w:rPr>
        <w:t>页岩矿进行矿产资源量核实工作，为采矿权招拍挂工作和办理采矿许可证提供提供依据。</w:t>
      </w:r>
    </w:p>
    <w:p>
      <w:pPr>
        <w:pStyle w:val="3"/>
        <w:spacing w:before="0" w:after="0" w:line="240" w:lineRule="auto"/>
        <w:rPr>
          <w:rStyle w:val="23"/>
          <w:rFonts w:ascii="Times New Roman" w:hAnsi="Times New Roman" w:eastAsia="宋体"/>
          <w:color w:val="000000"/>
          <w:sz w:val="30"/>
          <w:szCs w:val="30"/>
        </w:rPr>
      </w:pPr>
      <w:bookmarkStart w:id="6" w:name="_Toc59802129"/>
      <w:r>
        <w:rPr>
          <w:rStyle w:val="23"/>
          <w:rFonts w:ascii="Times New Roman" w:hAnsi="Times New Roman" w:eastAsia="宋体"/>
          <w:color w:val="000000"/>
          <w:sz w:val="30"/>
          <w:szCs w:val="30"/>
        </w:rPr>
        <w:t>1.2 工作依据</w:t>
      </w:r>
      <w:bookmarkEnd w:id="6"/>
    </w:p>
    <w:p>
      <w:pPr>
        <w:ind w:firstLine="560" w:firstLineChars="200"/>
        <w:rPr>
          <w:sz w:val="28"/>
          <w:lang w:val="zh-CN"/>
        </w:rPr>
      </w:pPr>
      <w:r>
        <w:rPr>
          <w:sz w:val="28"/>
          <w:lang w:val="zh-CN"/>
        </w:rPr>
        <w:t>(1)</w:t>
      </w:r>
      <w:r>
        <w:rPr>
          <w:rFonts w:hAnsi="宋体"/>
          <w:sz w:val="28"/>
          <w:lang w:val="zh-CN"/>
        </w:rPr>
        <w:t>矿山资源量核实任务委托书；</w:t>
      </w:r>
    </w:p>
    <w:p>
      <w:pPr>
        <w:ind w:firstLine="560" w:firstLineChars="200"/>
        <w:rPr>
          <w:rFonts w:hint="eastAsia" w:hAnsi="宋体"/>
          <w:sz w:val="28"/>
          <w:lang w:val="zh-CN"/>
        </w:rPr>
      </w:pPr>
      <w:r>
        <w:rPr>
          <w:sz w:val="28"/>
          <w:lang w:val="zh-CN"/>
        </w:rPr>
        <w:t>(</w:t>
      </w:r>
      <w:r>
        <w:rPr>
          <w:rFonts w:hint="eastAsia"/>
          <w:sz w:val="28"/>
          <w:lang w:val="zh-CN"/>
        </w:rPr>
        <w:t>2</w:t>
      </w:r>
      <w:r>
        <w:rPr>
          <w:sz w:val="28"/>
          <w:lang w:val="zh-CN"/>
        </w:rPr>
        <w:t>)GB/T13908—2020</w:t>
      </w:r>
      <w:r>
        <w:rPr>
          <w:rFonts w:hAnsi="宋体"/>
          <w:sz w:val="28"/>
          <w:lang w:val="zh-CN"/>
        </w:rPr>
        <w:t>《固体矿产地质勘</w:t>
      </w:r>
      <w:r>
        <w:rPr>
          <w:rFonts w:hint="eastAsia" w:hAnsi="宋体"/>
          <w:sz w:val="28"/>
          <w:lang w:val="zh-CN"/>
        </w:rPr>
        <w:t>查</w:t>
      </w:r>
      <w:r>
        <w:rPr>
          <w:rFonts w:hAnsi="宋体"/>
          <w:sz w:val="28"/>
          <w:lang w:val="zh-CN"/>
        </w:rPr>
        <w:t>规范总则》</w:t>
      </w:r>
      <w:r>
        <w:rPr>
          <w:sz w:val="28"/>
          <w:lang w:val="zh-CN"/>
        </w:rPr>
        <w:t>(20</w:t>
      </w:r>
      <w:r>
        <w:rPr>
          <w:rFonts w:hint="eastAsia"/>
          <w:sz w:val="28"/>
          <w:lang w:val="zh-CN"/>
        </w:rPr>
        <w:t>20</w:t>
      </w:r>
      <w:r>
        <w:rPr>
          <w:rFonts w:hAnsi="宋体"/>
          <w:sz w:val="28"/>
          <w:lang w:val="zh-CN"/>
        </w:rPr>
        <w:t>－</w:t>
      </w:r>
      <w:r>
        <w:rPr>
          <w:sz w:val="28"/>
          <w:lang w:val="zh-CN"/>
        </w:rPr>
        <w:t>0</w:t>
      </w:r>
      <w:r>
        <w:rPr>
          <w:rFonts w:hint="eastAsia"/>
          <w:sz w:val="28"/>
          <w:lang w:val="zh-CN"/>
        </w:rPr>
        <w:t>5</w:t>
      </w:r>
      <w:r>
        <w:rPr>
          <w:rFonts w:hAnsi="宋体"/>
          <w:sz w:val="28"/>
          <w:lang w:val="zh-CN"/>
        </w:rPr>
        <w:t>－</w:t>
      </w:r>
      <w:r>
        <w:rPr>
          <w:sz w:val="28"/>
          <w:lang w:val="zh-CN"/>
        </w:rPr>
        <w:t>01)</w:t>
      </w:r>
      <w:r>
        <w:rPr>
          <w:rFonts w:hAnsi="宋体"/>
          <w:sz w:val="28"/>
          <w:lang w:val="zh-CN"/>
        </w:rPr>
        <w:t>；</w:t>
      </w:r>
    </w:p>
    <w:p>
      <w:pPr>
        <w:ind w:firstLine="560" w:firstLineChars="200"/>
        <w:rPr>
          <w:rFonts w:hint="eastAsia"/>
          <w:sz w:val="28"/>
          <w:lang w:val="zh-CN"/>
        </w:rPr>
      </w:pPr>
      <w:r>
        <w:rPr>
          <w:rFonts w:hint="eastAsia" w:hAnsi="宋体"/>
          <w:sz w:val="28"/>
          <w:lang w:val="zh-CN"/>
        </w:rPr>
        <w:t>(3) GB/T17766-2020《固体矿产资源储量分类》(</w:t>
      </w:r>
      <w:r>
        <w:rPr>
          <w:sz w:val="28"/>
          <w:lang w:val="zh-CN"/>
        </w:rPr>
        <w:t>20</w:t>
      </w:r>
      <w:r>
        <w:rPr>
          <w:rFonts w:hint="eastAsia"/>
          <w:sz w:val="28"/>
          <w:lang w:val="zh-CN"/>
        </w:rPr>
        <w:t>20</w:t>
      </w:r>
      <w:r>
        <w:rPr>
          <w:rFonts w:hAnsi="宋体"/>
          <w:sz w:val="28"/>
          <w:lang w:val="zh-CN"/>
        </w:rPr>
        <w:t>－</w:t>
      </w:r>
      <w:r>
        <w:rPr>
          <w:sz w:val="28"/>
          <w:lang w:val="zh-CN"/>
        </w:rPr>
        <w:t>0</w:t>
      </w:r>
      <w:r>
        <w:rPr>
          <w:rFonts w:hint="eastAsia"/>
          <w:sz w:val="28"/>
          <w:lang w:val="zh-CN"/>
        </w:rPr>
        <w:t>5</w:t>
      </w:r>
      <w:r>
        <w:rPr>
          <w:rFonts w:hAnsi="宋体"/>
          <w:sz w:val="28"/>
          <w:lang w:val="zh-CN"/>
        </w:rPr>
        <w:t>－</w:t>
      </w:r>
      <w:r>
        <w:rPr>
          <w:sz w:val="28"/>
          <w:lang w:val="zh-CN"/>
        </w:rPr>
        <w:t>01</w:t>
      </w:r>
      <w:r>
        <w:rPr>
          <w:rFonts w:hint="eastAsia" w:hAnsi="宋体"/>
          <w:sz w:val="28"/>
          <w:lang w:val="zh-CN"/>
        </w:rPr>
        <w:t>)</w:t>
      </w:r>
    </w:p>
    <w:p>
      <w:pPr>
        <w:ind w:firstLine="560" w:firstLineChars="200"/>
        <w:rPr>
          <w:sz w:val="28"/>
          <w:lang w:val="zh-CN"/>
        </w:rPr>
      </w:pPr>
      <w:r>
        <w:rPr>
          <w:sz w:val="28"/>
          <w:lang w:val="zh-CN"/>
        </w:rPr>
        <w:t>(</w:t>
      </w:r>
      <w:r>
        <w:rPr>
          <w:rFonts w:hint="eastAsia"/>
          <w:sz w:val="28"/>
          <w:lang w:val="zh-CN"/>
        </w:rPr>
        <w:t>4</w:t>
      </w:r>
      <w:r>
        <w:rPr>
          <w:sz w:val="28"/>
          <w:lang w:val="zh-CN"/>
        </w:rPr>
        <w:t>)DZ/T0033</w:t>
      </w:r>
      <w:r>
        <w:rPr>
          <w:rFonts w:hAnsi="宋体"/>
          <w:sz w:val="28"/>
          <w:lang w:val="zh-CN"/>
        </w:rPr>
        <w:t>－</w:t>
      </w:r>
      <w:r>
        <w:rPr>
          <w:sz w:val="28"/>
          <w:lang w:val="zh-CN"/>
        </w:rPr>
        <w:t>92</w:t>
      </w:r>
      <w:r>
        <w:rPr>
          <w:rFonts w:hAnsi="宋体"/>
          <w:sz w:val="28"/>
          <w:lang w:val="zh-CN"/>
        </w:rPr>
        <w:t>《固体矿产勘查报告编写规定》</w:t>
      </w:r>
      <w:r>
        <w:rPr>
          <w:sz w:val="28"/>
          <w:lang w:val="zh-CN"/>
        </w:rPr>
        <w:t>(2003</w:t>
      </w:r>
      <w:r>
        <w:rPr>
          <w:rFonts w:hAnsi="宋体"/>
          <w:sz w:val="28"/>
          <w:lang w:val="zh-CN"/>
        </w:rPr>
        <w:t>－</w:t>
      </w:r>
      <w:r>
        <w:rPr>
          <w:sz w:val="28"/>
          <w:lang w:val="zh-CN"/>
        </w:rPr>
        <w:t>03</w:t>
      </w:r>
      <w:r>
        <w:rPr>
          <w:rFonts w:hAnsi="宋体"/>
          <w:sz w:val="28"/>
          <w:lang w:val="zh-CN"/>
        </w:rPr>
        <w:t>－</w:t>
      </w:r>
      <w:r>
        <w:rPr>
          <w:sz w:val="28"/>
          <w:lang w:val="zh-CN"/>
        </w:rPr>
        <w:t>01)</w:t>
      </w:r>
      <w:r>
        <w:rPr>
          <w:rFonts w:hAnsi="宋体"/>
          <w:sz w:val="28"/>
          <w:lang w:val="zh-CN"/>
        </w:rPr>
        <w:t>；</w:t>
      </w:r>
    </w:p>
    <w:p>
      <w:pPr>
        <w:ind w:firstLine="560" w:firstLineChars="200"/>
        <w:rPr>
          <w:sz w:val="28"/>
          <w:lang w:val="zh-CN"/>
        </w:rPr>
      </w:pPr>
      <w:r>
        <w:rPr>
          <w:sz w:val="28"/>
          <w:lang w:val="zh-CN"/>
        </w:rPr>
        <w:t>(</w:t>
      </w:r>
      <w:r>
        <w:rPr>
          <w:rFonts w:hint="eastAsia"/>
          <w:sz w:val="28"/>
          <w:lang w:val="zh-CN"/>
        </w:rPr>
        <w:t>5</w:t>
      </w:r>
      <w:r>
        <w:rPr>
          <w:sz w:val="28"/>
          <w:lang w:val="zh-CN"/>
        </w:rPr>
        <w:t>)</w:t>
      </w:r>
      <w:r>
        <w:rPr>
          <w:rFonts w:hAnsi="宋体"/>
          <w:sz w:val="28"/>
          <w:lang w:val="zh-CN"/>
        </w:rPr>
        <w:t>《矿山保有矿产资源储量核实报告编制要求》</w:t>
      </w:r>
      <w:r>
        <w:rPr>
          <w:sz w:val="28"/>
          <w:lang w:val="zh-CN"/>
        </w:rPr>
        <w:t>(</w:t>
      </w:r>
      <w:r>
        <w:rPr>
          <w:rFonts w:hAnsi="宋体"/>
          <w:sz w:val="28"/>
          <w:lang w:val="zh-CN"/>
        </w:rPr>
        <w:t>四川省矿产资源储量评审中心，</w:t>
      </w:r>
      <w:r>
        <w:rPr>
          <w:sz w:val="28"/>
          <w:lang w:val="zh-CN"/>
        </w:rPr>
        <w:t>2002</w:t>
      </w:r>
      <w:r>
        <w:rPr>
          <w:rFonts w:hAnsi="宋体"/>
          <w:sz w:val="28"/>
          <w:lang w:val="zh-CN"/>
        </w:rPr>
        <w:t>年</w:t>
      </w:r>
      <w:r>
        <w:rPr>
          <w:sz w:val="28"/>
          <w:lang w:val="zh-CN"/>
        </w:rPr>
        <w:t>09</w:t>
      </w:r>
      <w:r>
        <w:rPr>
          <w:rFonts w:hAnsi="宋体"/>
          <w:sz w:val="28"/>
          <w:lang w:val="zh-CN"/>
        </w:rPr>
        <w:t>月</w:t>
      </w:r>
      <w:r>
        <w:rPr>
          <w:sz w:val="28"/>
          <w:lang w:val="zh-CN"/>
        </w:rPr>
        <w:t>)</w:t>
      </w:r>
      <w:r>
        <w:rPr>
          <w:rFonts w:hAnsi="宋体"/>
          <w:sz w:val="28"/>
          <w:lang w:val="zh-CN"/>
        </w:rPr>
        <w:t>；</w:t>
      </w:r>
    </w:p>
    <w:p>
      <w:pPr>
        <w:ind w:firstLine="560" w:firstLineChars="200"/>
        <w:rPr>
          <w:sz w:val="28"/>
          <w:lang w:val="zh-CN"/>
        </w:rPr>
      </w:pPr>
      <w:r>
        <w:rPr>
          <w:sz w:val="28"/>
          <w:lang w:val="zh-CN"/>
        </w:rPr>
        <w:t>(</w:t>
      </w:r>
      <w:r>
        <w:rPr>
          <w:rFonts w:hint="eastAsia"/>
          <w:sz w:val="28"/>
          <w:lang w:val="zh-CN"/>
        </w:rPr>
        <w:t>6</w:t>
      </w:r>
      <w:r>
        <w:rPr>
          <w:sz w:val="28"/>
          <w:lang w:val="zh-CN"/>
        </w:rPr>
        <w:t>)</w:t>
      </w:r>
      <w:r>
        <w:rPr>
          <w:rFonts w:hAnsi="宋体"/>
          <w:sz w:val="28"/>
          <w:lang w:val="zh-CN"/>
        </w:rPr>
        <w:t>《工程岩体分级标准》</w:t>
      </w:r>
      <w:r>
        <w:rPr>
          <w:sz w:val="28"/>
          <w:lang w:val="zh-CN"/>
        </w:rPr>
        <w:t>(GB50218—94)</w:t>
      </w:r>
      <w:r>
        <w:rPr>
          <w:rFonts w:hAnsi="宋体"/>
          <w:sz w:val="28"/>
          <w:lang w:val="zh-CN"/>
        </w:rPr>
        <w:t>；</w:t>
      </w:r>
    </w:p>
    <w:p>
      <w:pPr>
        <w:ind w:firstLine="560" w:firstLineChars="200"/>
        <w:rPr>
          <w:sz w:val="28"/>
          <w:lang w:val="zh-CN"/>
        </w:rPr>
      </w:pPr>
      <w:r>
        <w:rPr>
          <w:sz w:val="28"/>
          <w:lang w:val="zh-CN"/>
        </w:rPr>
        <w:t>(</w:t>
      </w:r>
      <w:r>
        <w:rPr>
          <w:rFonts w:hint="eastAsia"/>
          <w:sz w:val="28"/>
          <w:lang w:val="zh-CN"/>
        </w:rPr>
        <w:t>7</w:t>
      </w:r>
      <w:r>
        <w:rPr>
          <w:sz w:val="28"/>
          <w:lang w:val="zh-CN"/>
        </w:rPr>
        <w:t>)</w:t>
      </w:r>
      <w:r>
        <w:rPr>
          <w:rFonts w:hAnsi="宋体"/>
          <w:sz w:val="28"/>
          <w:lang w:val="zh-CN"/>
        </w:rPr>
        <w:t>《矿产工业要求参考手册》</w:t>
      </w:r>
      <w:r>
        <w:rPr>
          <w:sz w:val="28"/>
          <w:lang w:val="zh-CN"/>
        </w:rPr>
        <w:t>(</w:t>
      </w:r>
      <w:r>
        <w:rPr>
          <w:rFonts w:hAnsi="宋体"/>
          <w:sz w:val="28"/>
          <w:lang w:val="zh-CN"/>
        </w:rPr>
        <w:t>全国矿产储量委员会</w:t>
      </w:r>
      <w:r>
        <w:rPr>
          <w:sz w:val="28"/>
          <w:lang w:val="zh-CN"/>
        </w:rPr>
        <w:t>)</w:t>
      </w:r>
      <w:r>
        <w:rPr>
          <w:rFonts w:hAnsi="宋体"/>
          <w:sz w:val="28"/>
          <w:lang w:val="zh-CN"/>
        </w:rPr>
        <w:t>；</w:t>
      </w:r>
    </w:p>
    <w:p>
      <w:pPr>
        <w:pStyle w:val="16"/>
        <w:widowControl/>
        <w:spacing w:before="0" w:beforeAutospacing="0" w:after="0" w:afterAutospacing="0"/>
        <w:ind w:firstLine="560" w:firstLineChars="200"/>
        <w:rPr>
          <w:rFonts w:hint="eastAsia"/>
          <w:sz w:val="28"/>
          <w:lang w:val="zh-CN"/>
        </w:rPr>
      </w:pPr>
      <w:r>
        <w:rPr>
          <w:rFonts w:hint="eastAsia"/>
          <w:sz w:val="28"/>
          <w:lang w:val="zh-CN"/>
        </w:rPr>
        <w:t>(8)《高岭土、膨润土、耐火粘土矿产地质勘查规范》(DZ/T0206,2002)</w:t>
      </w:r>
    </w:p>
    <w:p>
      <w:pPr>
        <w:pStyle w:val="16"/>
        <w:widowControl/>
        <w:spacing w:before="0" w:beforeAutospacing="0" w:after="0" w:afterAutospacing="0"/>
        <w:ind w:firstLine="560" w:firstLineChars="200"/>
        <w:rPr>
          <w:sz w:val="28"/>
          <w:szCs w:val="28"/>
        </w:rPr>
      </w:pPr>
      <w:r>
        <w:rPr>
          <w:sz w:val="28"/>
          <w:lang w:val="zh-CN"/>
        </w:rPr>
        <w:t>(</w:t>
      </w:r>
      <w:r>
        <w:rPr>
          <w:rFonts w:hint="eastAsia"/>
          <w:sz w:val="28"/>
          <w:lang w:val="zh-CN"/>
        </w:rPr>
        <w:t>9</w:t>
      </w:r>
      <w:r>
        <w:rPr>
          <w:sz w:val="28"/>
          <w:lang w:val="zh-CN"/>
        </w:rPr>
        <w:t>)</w:t>
      </w:r>
      <w:r>
        <w:rPr>
          <w:rFonts w:hAnsi="宋体"/>
          <w:sz w:val="28"/>
          <w:lang w:val="zh-CN"/>
        </w:rPr>
        <w:t>《达州市达川区矿产资源</w:t>
      </w:r>
      <w:r>
        <w:rPr>
          <w:rFonts w:hAnsi="宋体"/>
          <w:sz w:val="28"/>
        </w:rPr>
        <w:t>总体</w:t>
      </w:r>
      <w:r>
        <w:rPr>
          <w:rFonts w:hAnsi="宋体"/>
          <w:sz w:val="28"/>
          <w:lang w:val="zh-CN"/>
        </w:rPr>
        <w:t>规划</w:t>
      </w:r>
      <w:r>
        <w:rPr>
          <w:sz w:val="28"/>
          <w:lang w:val="zh-CN"/>
        </w:rPr>
        <w:t>(</w:t>
      </w:r>
      <w:r>
        <w:rPr>
          <w:sz w:val="28"/>
        </w:rPr>
        <w:t>2016</w:t>
      </w:r>
      <w:r>
        <w:rPr>
          <w:rFonts w:hAnsi="宋体"/>
          <w:sz w:val="28"/>
        </w:rPr>
        <w:t>～</w:t>
      </w:r>
      <w:r>
        <w:rPr>
          <w:sz w:val="28"/>
        </w:rPr>
        <w:t>2020</w:t>
      </w:r>
      <w:r>
        <w:rPr>
          <w:rFonts w:hAnsi="宋体"/>
          <w:sz w:val="28"/>
        </w:rPr>
        <w:t>年</w:t>
      </w:r>
      <w:r>
        <w:rPr>
          <w:sz w:val="28"/>
          <w:lang w:val="zh-CN"/>
        </w:rPr>
        <w:t>)</w:t>
      </w:r>
      <w:r>
        <w:rPr>
          <w:rFonts w:hAnsi="宋体"/>
          <w:sz w:val="28"/>
          <w:lang w:val="zh-CN"/>
        </w:rPr>
        <w:t>》</w:t>
      </w:r>
    </w:p>
    <w:p>
      <w:pPr>
        <w:pStyle w:val="3"/>
        <w:spacing w:before="0" w:after="0" w:line="240" w:lineRule="auto"/>
        <w:rPr>
          <w:rStyle w:val="23"/>
          <w:rFonts w:ascii="Times New Roman" w:hAnsi="Times New Roman" w:eastAsia="宋体"/>
          <w:color w:val="000000"/>
          <w:sz w:val="30"/>
          <w:szCs w:val="30"/>
        </w:rPr>
      </w:pPr>
      <w:bookmarkStart w:id="7" w:name="_Toc59802130"/>
      <w:r>
        <w:rPr>
          <w:rStyle w:val="23"/>
          <w:rFonts w:ascii="Times New Roman" w:hAnsi="Times New Roman" w:eastAsia="宋体"/>
          <w:color w:val="000000"/>
          <w:sz w:val="30"/>
          <w:szCs w:val="30"/>
        </w:rPr>
        <w:t>1.3 位置、交通</w:t>
      </w:r>
      <w:bookmarkEnd w:id="7"/>
    </w:p>
    <w:p>
      <w:pPr>
        <w:adjustRightInd w:val="0"/>
        <w:ind w:firstLine="576" w:firstLineChars="200"/>
        <w:rPr>
          <w:color w:val="000000"/>
          <w:spacing w:val="4"/>
          <w:sz w:val="28"/>
          <w:szCs w:val="28"/>
        </w:rPr>
      </w:pPr>
      <w:r>
        <w:rPr>
          <w:rFonts w:hAnsi="宋体"/>
          <w:color w:val="000000"/>
          <w:spacing w:val="4"/>
          <w:sz w:val="28"/>
          <w:szCs w:val="28"/>
        </w:rPr>
        <w:t>达州市达川区石</w:t>
      </w:r>
      <w:r>
        <w:rPr>
          <w:rFonts w:hint="eastAsia" w:hAnsi="宋体"/>
          <w:color w:val="000000"/>
          <w:spacing w:val="4"/>
          <w:sz w:val="28"/>
          <w:szCs w:val="28"/>
        </w:rPr>
        <w:t>桥</w:t>
      </w:r>
      <w:r>
        <w:rPr>
          <w:rFonts w:hAnsi="宋体"/>
          <w:color w:val="000000"/>
          <w:spacing w:val="4"/>
          <w:sz w:val="28"/>
          <w:szCs w:val="28"/>
        </w:rPr>
        <w:t>镇</w:t>
      </w:r>
      <w:r>
        <w:rPr>
          <w:rFonts w:hint="eastAsia" w:hAnsi="宋体"/>
          <w:color w:val="000000"/>
          <w:spacing w:val="4"/>
          <w:sz w:val="28"/>
          <w:szCs w:val="28"/>
        </w:rPr>
        <w:t>麻油沟</w:t>
      </w:r>
      <w:r>
        <w:rPr>
          <w:rFonts w:hAnsi="宋体"/>
          <w:color w:val="000000"/>
          <w:spacing w:val="4"/>
          <w:sz w:val="28"/>
          <w:szCs w:val="28"/>
        </w:rPr>
        <w:t>村</w:t>
      </w:r>
      <w:r>
        <w:rPr>
          <w:rFonts w:hint="eastAsia" w:hAnsi="宋体"/>
          <w:color w:val="000000"/>
          <w:spacing w:val="4"/>
          <w:sz w:val="28"/>
          <w:szCs w:val="28"/>
        </w:rPr>
        <w:t>小儿坡</w:t>
      </w:r>
      <w:r>
        <w:rPr>
          <w:rFonts w:hAnsi="宋体"/>
          <w:color w:val="000000"/>
          <w:spacing w:val="4"/>
          <w:sz w:val="28"/>
          <w:szCs w:val="28"/>
        </w:rPr>
        <w:t>页岩矿</w:t>
      </w:r>
      <w:r>
        <w:rPr>
          <w:rFonts w:hAnsi="宋体"/>
          <w:spacing w:val="4"/>
          <w:sz w:val="28"/>
          <w:szCs w:val="28"/>
        </w:rPr>
        <w:t>位于达川区城区</w:t>
      </w:r>
      <w:r>
        <w:rPr>
          <w:spacing w:val="4"/>
          <w:sz w:val="28"/>
          <w:szCs w:val="28"/>
        </w:rPr>
        <w:t>2</w:t>
      </w:r>
      <w:r>
        <w:rPr>
          <w:rFonts w:hint="eastAsia"/>
          <w:spacing w:val="4"/>
          <w:sz w:val="28"/>
          <w:szCs w:val="28"/>
        </w:rPr>
        <w:t>85</w:t>
      </w:r>
      <w:r>
        <w:rPr>
          <w:spacing w:val="4"/>
          <w:sz w:val="28"/>
          <w:szCs w:val="28"/>
        </w:rPr>
        <w:t>°</w:t>
      </w:r>
      <w:r>
        <w:rPr>
          <w:rFonts w:hAnsi="宋体"/>
          <w:spacing w:val="4"/>
          <w:sz w:val="28"/>
          <w:szCs w:val="28"/>
        </w:rPr>
        <w:t>方位、直距</w:t>
      </w:r>
      <w:r>
        <w:rPr>
          <w:spacing w:val="4"/>
          <w:sz w:val="28"/>
          <w:szCs w:val="28"/>
        </w:rPr>
        <w:t>3</w:t>
      </w:r>
      <w:r>
        <w:rPr>
          <w:rFonts w:hint="eastAsia"/>
          <w:spacing w:val="4"/>
          <w:sz w:val="28"/>
          <w:szCs w:val="28"/>
        </w:rPr>
        <w:t>9</w:t>
      </w:r>
      <w:r>
        <w:rPr>
          <w:spacing w:val="4"/>
          <w:sz w:val="28"/>
          <w:szCs w:val="28"/>
        </w:rPr>
        <w:t>km</w:t>
      </w:r>
      <w:r>
        <w:rPr>
          <w:rFonts w:hAnsi="宋体"/>
          <w:spacing w:val="4"/>
          <w:sz w:val="28"/>
          <w:szCs w:val="28"/>
        </w:rPr>
        <w:t>的石</w:t>
      </w:r>
      <w:r>
        <w:rPr>
          <w:rFonts w:hint="eastAsia" w:hAnsi="宋体"/>
          <w:spacing w:val="4"/>
          <w:sz w:val="28"/>
          <w:szCs w:val="28"/>
        </w:rPr>
        <w:t>桥</w:t>
      </w:r>
      <w:r>
        <w:rPr>
          <w:rFonts w:hAnsi="宋体"/>
          <w:spacing w:val="4"/>
          <w:sz w:val="28"/>
          <w:szCs w:val="28"/>
        </w:rPr>
        <w:t>镇</w:t>
      </w:r>
      <w:r>
        <w:rPr>
          <w:rFonts w:hint="eastAsia" w:hAnsi="宋体"/>
          <w:spacing w:val="4"/>
          <w:sz w:val="28"/>
          <w:szCs w:val="28"/>
        </w:rPr>
        <w:t>麻油沟</w:t>
      </w:r>
      <w:r>
        <w:rPr>
          <w:rFonts w:hAnsi="宋体"/>
          <w:spacing w:val="4"/>
          <w:sz w:val="28"/>
          <w:szCs w:val="28"/>
        </w:rPr>
        <w:t>村</w:t>
      </w:r>
      <w:r>
        <w:rPr>
          <w:rFonts w:hAnsi="宋体"/>
          <w:color w:val="000000"/>
          <w:spacing w:val="4"/>
          <w:sz w:val="28"/>
          <w:szCs w:val="28"/>
        </w:rPr>
        <w:t>。矿区中心点地理坐标：东经</w:t>
      </w:r>
      <w:r>
        <w:rPr>
          <w:color w:val="000000"/>
          <w:spacing w:val="4"/>
          <w:sz w:val="28"/>
          <w:szCs w:val="28"/>
        </w:rPr>
        <w:t>107°09′</w:t>
      </w:r>
      <w:r>
        <w:rPr>
          <w:rFonts w:hint="eastAsia"/>
          <w:color w:val="000000"/>
          <w:spacing w:val="4"/>
          <w:sz w:val="28"/>
          <w:szCs w:val="28"/>
        </w:rPr>
        <w:t>13</w:t>
      </w:r>
      <w:r>
        <w:rPr>
          <w:color w:val="000000"/>
          <w:spacing w:val="4"/>
          <w:sz w:val="28"/>
          <w:szCs w:val="28"/>
        </w:rPr>
        <w:t>″,</w:t>
      </w:r>
      <w:r>
        <w:rPr>
          <w:rFonts w:hAnsi="宋体"/>
          <w:color w:val="000000"/>
          <w:spacing w:val="4"/>
          <w:sz w:val="28"/>
          <w:szCs w:val="28"/>
        </w:rPr>
        <w:t>北纬</w:t>
      </w:r>
      <w:r>
        <w:rPr>
          <w:color w:val="000000"/>
          <w:spacing w:val="4"/>
          <w:sz w:val="28"/>
          <w:szCs w:val="28"/>
        </w:rPr>
        <w:t>31°1</w:t>
      </w:r>
      <w:r>
        <w:rPr>
          <w:rFonts w:hint="eastAsia"/>
          <w:color w:val="000000"/>
          <w:spacing w:val="4"/>
          <w:sz w:val="28"/>
          <w:szCs w:val="28"/>
        </w:rPr>
        <w:t>6</w:t>
      </w:r>
      <w:r>
        <w:rPr>
          <w:color w:val="000000"/>
          <w:spacing w:val="4"/>
          <w:sz w:val="28"/>
          <w:szCs w:val="28"/>
        </w:rPr>
        <w:t>′</w:t>
      </w:r>
      <w:r>
        <w:rPr>
          <w:rFonts w:hint="eastAsia"/>
          <w:color w:val="000000"/>
          <w:spacing w:val="4"/>
          <w:sz w:val="28"/>
          <w:szCs w:val="28"/>
        </w:rPr>
        <w:t>30</w:t>
      </w:r>
      <w:r>
        <w:rPr>
          <w:color w:val="000000"/>
          <w:spacing w:val="4"/>
          <w:sz w:val="28"/>
          <w:szCs w:val="28"/>
        </w:rPr>
        <w:t>″</w:t>
      </w:r>
      <w:r>
        <w:rPr>
          <w:rFonts w:hAnsi="宋体"/>
          <w:spacing w:val="4"/>
          <w:sz w:val="28"/>
          <w:szCs w:val="28"/>
        </w:rPr>
        <w:t>。</w:t>
      </w:r>
    </w:p>
    <w:p>
      <w:pPr>
        <w:ind w:firstLine="560" w:firstLineChars="200"/>
        <w:rPr>
          <w:snapToGrid w:val="0"/>
          <w:color w:val="000000"/>
          <w:sz w:val="28"/>
          <w:szCs w:val="28"/>
        </w:rPr>
      </w:pPr>
      <w:r>
        <w:rPr>
          <w:rFonts w:hAnsi="宋体"/>
          <w:snapToGrid w:val="0"/>
          <w:color w:val="000000"/>
          <w:sz w:val="28"/>
          <w:szCs w:val="28"/>
        </w:rPr>
        <w:t>从矿区所在的</w:t>
      </w:r>
      <w:r>
        <w:rPr>
          <w:rFonts w:hint="eastAsia" w:hAnsi="宋体"/>
          <w:snapToGrid w:val="0"/>
          <w:color w:val="000000"/>
          <w:sz w:val="28"/>
          <w:szCs w:val="28"/>
        </w:rPr>
        <w:t>麻油</w:t>
      </w:r>
      <w:r>
        <w:rPr>
          <w:rFonts w:hAnsi="宋体"/>
          <w:snapToGrid w:val="0"/>
          <w:color w:val="000000"/>
          <w:sz w:val="28"/>
          <w:szCs w:val="28"/>
        </w:rPr>
        <w:t>村目前有</w:t>
      </w:r>
      <w:r>
        <w:rPr>
          <w:rFonts w:hint="eastAsia" w:hAnsi="宋体"/>
          <w:snapToGrid w:val="0"/>
          <w:color w:val="000000"/>
          <w:sz w:val="28"/>
          <w:szCs w:val="28"/>
        </w:rPr>
        <w:t>乡村公路向北西</w:t>
      </w:r>
      <w:r>
        <w:rPr>
          <w:snapToGrid w:val="0"/>
          <w:color w:val="000000"/>
          <w:sz w:val="28"/>
          <w:szCs w:val="28"/>
        </w:rPr>
        <w:t>6.</w:t>
      </w:r>
      <w:r>
        <w:rPr>
          <w:rFonts w:hint="eastAsia"/>
          <w:snapToGrid w:val="0"/>
          <w:color w:val="000000"/>
          <w:sz w:val="28"/>
          <w:szCs w:val="28"/>
        </w:rPr>
        <w:t>3</w:t>
      </w:r>
      <w:r>
        <w:rPr>
          <w:rFonts w:hAnsi="宋体"/>
          <w:snapToGrid w:val="0"/>
          <w:color w:val="000000"/>
          <w:sz w:val="28"/>
          <w:szCs w:val="28"/>
        </w:rPr>
        <w:t>公里至石</w:t>
      </w:r>
      <w:r>
        <w:rPr>
          <w:rFonts w:hint="eastAsia" w:hAnsi="宋体"/>
          <w:snapToGrid w:val="0"/>
          <w:color w:val="000000"/>
          <w:sz w:val="28"/>
          <w:szCs w:val="28"/>
        </w:rPr>
        <w:t>桥</w:t>
      </w:r>
      <w:r>
        <w:rPr>
          <w:rFonts w:hAnsi="宋体"/>
          <w:snapToGrid w:val="0"/>
          <w:color w:val="000000"/>
          <w:sz w:val="28"/>
          <w:szCs w:val="28"/>
        </w:rPr>
        <w:t>镇，从</w:t>
      </w:r>
      <w:r>
        <w:rPr>
          <w:rFonts w:hint="eastAsia" w:hAnsi="宋体"/>
          <w:snapToGrid w:val="0"/>
          <w:color w:val="000000"/>
          <w:sz w:val="28"/>
          <w:szCs w:val="28"/>
        </w:rPr>
        <w:t>石桥镇沿</w:t>
      </w:r>
      <w:r>
        <w:rPr>
          <w:rFonts w:hint="eastAsia"/>
          <w:snapToGrid w:val="0"/>
          <w:color w:val="000000"/>
          <w:sz w:val="28"/>
          <w:szCs w:val="28"/>
        </w:rPr>
        <w:t>202省道</w:t>
      </w:r>
      <w:r>
        <w:rPr>
          <w:rFonts w:hint="eastAsia" w:hAnsi="宋体"/>
          <w:snapToGrid w:val="0"/>
          <w:color w:val="000000"/>
          <w:sz w:val="28"/>
          <w:szCs w:val="28"/>
        </w:rPr>
        <w:t>往东继续56公里左右</w:t>
      </w:r>
      <w:r>
        <w:rPr>
          <w:rFonts w:hAnsi="宋体"/>
          <w:snapToGrid w:val="0"/>
          <w:color w:val="000000"/>
          <w:sz w:val="28"/>
          <w:szCs w:val="28"/>
        </w:rPr>
        <w:t>可到达州市，交通较为方便</w:t>
      </w:r>
      <w:r>
        <w:rPr>
          <w:color w:val="000000"/>
          <w:sz w:val="28"/>
          <w:szCs w:val="28"/>
        </w:rPr>
        <w:t>(</w:t>
      </w:r>
      <w:r>
        <w:rPr>
          <w:rFonts w:hAnsi="宋体"/>
          <w:color w:val="000000"/>
          <w:sz w:val="28"/>
          <w:szCs w:val="28"/>
        </w:rPr>
        <w:t>见图</w:t>
      </w:r>
      <w:r>
        <w:rPr>
          <w:color w:val="000000"/>
          <w:sz w:val="28"/>
          <w:szCs w:val="28"/>
        </w:rPr>
        <w:t>1)</w:t>
      </w:r>
      <w:r>
        <w:rPr>
          <w:rFonts w:hAnsi="宋体"/>
          <w:snapToGrid w:val="0"/>
          <w:color w:val="000000"/>
          <w:sz w:val="28"/>
          <w:szCs w:val="28"/>
        </w:rPr>
        <w:t>。</w:t>
      </w:r>
    </w:p>
    <w:p>
      <w:pPr>
        <w:adjustRightInd w:val="0"/>
        <w:ind w:firstLine="560" w:firstLineChars="200"/>
        <w:rPr>
          <w:color w:val="000000"/>
          <w:sz w:val="28"/>
          <w:szCs w:val="28"/>
        </w:rPr>
      </w:pPr>
      <w:r>
        <w:rPr>
          <w:rFonts w:hAnsi="宋体"/>
          <w:snapToGrid w:val="0"/>
          <w:color w:val="000000"/>
          <w:sz w:val="28"/>
          <w:szCs w:val="28"/>
        </w:rPr>
        <w:t>区内为中国移动、电信和联通公司网络所覆盖，通讯方便。</w:t>
      </w:r>
    </w:p>
    <w:p>
      <w:r>
        <w:rPr>
          <w:rFonts w:eastAsia="仿宋_GB2312"/>
          <w:b/>
          <w:bCs/>
          <w:color w:val="000000"/>
          <w:szCs w:val="21"/>
        </w:rPr>
        <mc:AlternateContent>
          <mc:Choice Requires="wps">
            <w:drawing>
              <wp:anchor distT="0" distB="0" distL="114300" distR="114300" simplePos="0" relativeHeight="251660288" behindDoc="0" locked="0" layoutInCell="1" allowOverlap="1">
                <wp:simplePos x="0" y="0"/>
                <wp:positionH relativeFrom="column">
                  <wp:posOffset>-5080</wp:posOffset>
                </wp:positionH>
                <wp:positionV relativeFrom="paragraph">
                  <wp:posOffset>70485</wp:posOffset>
                </wp:positionV>
                <wp:extent cx="5528310" cy="4985385"/>
                <wp:effectExtent l="7620" t="7620" r="26670" b="17145"/>
                <wp:wrapNone/>
                <wp:docPr id="10" name="矩形 10"/>
                <wp:cNvGraphicFramePr/>
                <a:graphic xmlns:a="http://schemas.openxmlformats.org/drawingml/2006/main">
                  <a:graphicData uri="http://schemas.microsoft.com/office/word/2010/wordprocessingShape">
                    <wps:wsp>
                      <wps:cNvSpPr/>
                      <wps:spPr>
                        <a:xfrm>
                          <a:off x="0" y="0"/>
                          <a:ext cx="5528310" cy="4985385"/>
                        </a:xfrm>
                        <a:prstGeom prst="rect">
                          <a:avLst/>
                        </a:prstGeom>
                        <a:noFill/>
                        <a:ln w="15875" cap="flat" cmpd="sng">
                          <a:solidFill>
                            <a:srgbClr val="000000"/>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0.4pt;margin-top:5.55pt;height:392.55pt;width:435.3pt;z-index:251660288;mso-width-relative:page;mso-height-relative:page;" filled="f" stroked="t" coordsize="21600,21600" o:gfxdata="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1QFK21wAAAAgBAAAPAAAAAAAAAAEAIAAAACIAAABkcnMvZG93bnJldi54bWxQ&#10;SwECFAAUAAAACACHTuJA0AxJV/gBAAD5AwAADgAAAAAAAAABACAAAAAmAQAAZHJzL2Uyb0RvYy54&#10;bWxQSwUGAAAAAAYABgBZAQAAkAUAAAAA&#10;">
                <v:fill on="f" focussize="0,0"/>
                <v:stroke weight="1.25pt" color="#000000" joinstyle="miter"/>
                <v:imagedata o:title=""/>
                <o:lock v:ext="edit" aspectratio="f"/>
              </v:rect>
            </w:pict>
          </mc:Fallback>
        </mc:AlternateContent>
      </w:r>
      <w:r>
        <w:rPr>
          <w:rFonts w:eastAsia="仿宋_GB2312"/>
          <w:b/>
          <w:bCs/>
          <w:color w:val="000000"/>
          <w:szCs w:val="21"/>
        </w:rPr>
        <mc:AlternateContent>
          <mc:Choice Requires="wps">
            <w:drawing>
              <wp:anchor distT="0" distB="0" distL="114300" distR="114300" simplePos="0" relativeHeight="251659264" behindDoc="0" locked="0" layoutInCell="1" allowOverlap="1">
                <wp:simplePos x="0" y="0"/>
                <wp:positionH relativeFrom="column">
                  <wp:posOffset>1156970</wp:posOffset>
                </wp:positionH>
                <wp:positionV relativeFrom="paragraph">
                  <wp:posOffset>2908935</wp:posOffset>
                </wp:positionV>
                <wp:extent cx="892175" cy="297180"/>
                <wp:effectExtent l="311150" t="565150" r="15875" b="13970"/>
                <wp:wrapNone/>
                <wp:docPr id="14" name="圆角矩形标注 14"/>
                <wp:cNvGraphicFramePr/>
                <a:graphic xmlns:a="http://schemas.openxmlformats.org/drawingml/2006/main">
                  <a:graphicData uri="http://schemas.microsoft.com/office/word/2010/wordprocessingShape">
                    <wps:wsp>
                      <wps:cNvSpPr/>
                      <wps:spPr>
                        <a:xfrm>
                          <a:off x="0" y="0"/>
                          <a:ext cx="892175" cy="297180"/>
                        </a:xfrm>
                        <a:prstGeom prst="wedgeRoundRectCallout">
                          <a:avLst>
                            <a:gd name="adj1" fmla="val -81815"/>
                            <a:gd name="adj2" fmla="val -230769"/>
                            <a:gd name="adj3" fmla="val 16667"/>
                          </a:avLst>
                        </a:prstGeom>
                        <a:solidFill>
                          <a:srgbClr val="F2F2F2"/>
                        </a:solidFill>
                        <a:ln w="9525" cap="flat" cmpd="sng">
                          <a:solidFill>
                            <a:srgbClr val="000000"/>
                          </a:solidFill>
                          <a:prstDash val="solid"/>
                          <a:miter/>
                          <a:headEnd type="none" w="med" len="med"/>
                          <a:tailEnd type="none" w="med" len="med"/>
                        </a:ln>
                      </wps:spPr>
                      <wps:txbx>
                        <w:txbxContent>
                          <w:p>
                            <w:pPr>
                              <w:rPr>
                                <w:rFonts w:hint="eastAsia" w:ascii="新宋体" w:hAnsi="新宋体" w:eastAsia="新宋体"/>
                                <w:color w:val="FF0000"/>
                                <w:sz w:val="24"/>
                              </w:rPr>
                            </w:pPr>
                            <w:r>
                              <w:rPr>
                                <w:rFonts w:hint="eastAsia" w:ascii="新宋体" w:hAnsi="新宋体" w:eastAsia="新宋体"/>
                                <w:color w:val="FF0000"/>
                                <w:sz w:val="24"/>
                              </w:rPr>
                              <w:t>矿区位置</w:t>
                            </w:r>
                          </w:p>
                        </w:txbxContent>
                      </wps:txbx>
                      <wps:bodyPr upright="1"/>
                    </wps:wsp>
                  </a:graphicData>
                </a:graphic>
              </wp:anchor>
            </w:drawing>
          </mc:Choice>
          <mc:Fallback>
            <w:pict>
              <v:shape id="_x0000_s1026" o:spid="_x0000_s1026" o:spt="62" type="#_x0000_t62" style="position:absolute;left:0pt;margin-left:91.1pt;margin-top:229.05pt;height:23.4pt;width:70.25pt;z-index:251659264;mso-width-relative:page;mso-height-relative:page;" fillcolor="#F2F2F2" filled="t" stroked="t" coordsize="21600,21600" o:gfxdata="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Dl48cK2QAAAAsB&#10;AAAPAAAAAAAAAAEAIAAAACIAAABkcnMvZG93bnJldi54bWxQSwECFAAUAAAACACHTuJAK67LVVMC&#10;AAC/BAAADgAAAAAAAAABACAAAAAoAQAAZHJzL2Uyb0RvYy54bWxQSwUGAAAAAAYABgBZAQAA7QUA&#10;AAAA&#10;" adj="-6872,-39046,14400">
                <v:fill on="t" focussize="0,0"/>
                <v:stroke color="#000000" joinstyle="miter"/>
                <v:imagedata o:title=""/>
                <o:lock v:ext="edit" aspectratio="f"/>
                <v:textbox>
                  <w:txbxContent>
                    <w:p>
                      <w:pPr>
                        <w:rPr>
                          <w:rFonts w:hint="eastAsia" w:ascii="新宋体" w:hAnsi="新宋体" w:eastAsia="新宋体"/>
                          <w:color w:val="FF0000"/>
                          <w:sz w:val="24"/>
                        </w:rPr>
                      </w:pPr>
                      <w:r>
                        <w:rPr>
                          <w:rFonts w:hint="eastAsia" w:ascii="新宋体" w:hAnsi="新宋体" w:eastAsia="新宋体"/>
                          <w:color w:val="FF0000"/>
                          <w:sz w:val="24"/>
                        </w:rPr>
                        <w:t>矿区位置</w:t>
                      </w:r>
                    </w:p>
                  </w:txbxContent>
                </v:textbox>
              </v:shape>
            </w:pict>
          </mc:Fallback>
        </mc:AlternateContent>
      </w:r>
      <w:r>
        <w:drawing>
          <wp:inline distT="0" distB="0" distL="114300" distR="114300">
            <wp:extent cx="5524500" cy="4975860"/>
            <wp:effectExtent l="0" t="0" r="0" b="15240"/>
            <wp:docPr id="9" name="图片 11" descr="2013062216294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1" descr="2013062216294194"/>
                    <pic:cNvPicPr>
                      <a:picLocks noChangeAspect="1"/>
                    </pic:cNvPicPr>
                  </pic:nvPicPr>
                  <pic:blipFill>
                    <a:blip r:embed="rId13"/>
                    <a:srcRect l="18898" t="35724" r="28346" b="28578"/>
                    <a:stretch>
                      <a:fillRect/>
                    </a:stretch>
                  </pic:blipFill>
                  <pic:spPr>
                    <a:xfrm>
                      <a:off x="0" y="0"/>
                      <a:ext cx="5524500" cy="4975860"/>
                    </a:xfrm>
                    <a:prstGeom prst="rect">
                      <a:avLst/>
                    </a:prstGeom>
                    <a:noFill/>
                    <a:ln>
                      <a:noFill/>
                    </a:ln>
                  </pic:spPr>
                </pic:pic>
              </a:graphicData>
            </a:graphic>
          </wp:inline>
        </w:drawing>
      </w:r>
    </w:p>
    <w:p>
      <w:pPr>
        <w:adjustRightInd w:val="0"/>
        <w:snapToGrid w:val="0"/>
        <w:spacing w:line="600" w:lineRule="exact"/>
        <w:ind w:firstLine="560" w:firstLineChars="200"/>
        <w:jc w:val="center"/>
        <w:rPr>
          <w:color w:val="000000"/>
          <w:sz w:val="28"/>
          <w:szCs w:val="28"/>
        </w:rPr>
      </w:pPr>
      <w:r>
        <w:rPr>
          <w:rFonts w:hAnsi="宋体"/>
          <w:color w:val="000000"/>
          <w:sz w:val="28"/>
          <w:szCs w:val="28"/>
        </w:rPr>
        <w:t>图</w:t>
      </w:r>
      <w:r>
        <w:rPr>
          <w:color w:val="000000"/>
          <w:sz w:val="28"/>
          <w:szCs w:val="28"/>
        </w:rPr>
        <w:t>1</w:t>
      </w:r>
      <w:r>
        <w:rPr>
          <w:rFonts w:hAnsi="宋体"/>
          <w:color w:val="000000"/>
          <w:sz w:val="28"/>
          <w:szCs w:val="28"/>
        </w:rPr>
        <w:t>：交通位置图</w:t>
      </w:r>
    </w:p>
    <w:p>
      <w:pPr>
        <w:pStyle w:val="3"/>
        <w:spacing w:before="0" w:after="0" w:line="240" w:lineRule="auto"/>
        <w:rPr>
          <w:rFonts w:hint="eastAsia" w:ascii="Times New Roman" w:hAnsi="Times New Roman" w:eastAsia="宋体"/>
          <w:sz w:val="30"/>
        </w:rPr>
      </w:pPr>
      <w:bookmarkStart w:id="8" w:name="_Toc11948"/>
      <w:bookmarkStart w:id="9" w:name="_Toc59802131"/>
      <w:r>
        <w:rPr>
          <w:rFonts w:ascii="Times New Roman" w:hAnsi="Times New Roman" w:eastAsia="宋体"/>
          <w:sz w:val="30"/>
        </w:rPr>
        <w:t xml:space="preserve">1.4 </w:t>
      </w:r>
      <w:r>
        <w:rPr>
          <w:rFonts w:hint="eastAsia" w:ascii="Times New Roman" w:hAnsi="Times New Roman" w:eastAsia="宋体"/>
          <w:sz w:val="30"/>
        </w:rPr>
        <w:t>拟设</w:t>
      </w:r>
      <w:r>
        <w:rPr>
          <w:rFonts w:ascii="Times New Roman" w:hAnsi="Times New Roman" w:eastAsia="宋体"/>
          <w:sz w:val="30"/>
        </w:rPr>
        <w:t>矿权</w:t>
      </w:r>
      <w:bookmarkEnd w:id="8"/>
      <w:r>
        <w:rPr>
          <w:rFonts w:hint="eastAsia" w:ascii="Times New Roman" w:hAnsi="Times New Roman" w:eastAsia="宋体"/>
          <w:sz w:val="30"/>
        </w:rPr>
        <w:t>情况</w:t>
      </w:r>
      <w:bookmarkEnd w:id="9"/>
    </w:p>
    <w:p>
      <w:pPr>
        <w:pStyle w:val="9"/>
        <w:spacing w:line="240" w:lineRule="auto"/>
        <w:ind w:firstLine="573"/>
        <w:rPr>
          <w:lang w:val="zh-CN"/>
        </w:rPr>
      </w:pPr>
      <w:r>
        <w:rPr>
          <w:rFonts w:hAnsi="宋体"/>
          <w:color w:val="000000"/>
          <w:szCs w:val="28"/>
        </w:rPr>
        <w:t>拟设置的石</w:t>
      </w:r>
      <w:r>
        <w:rPr>
          <w:rFonts w:hint="eastAsia" w:hAnsi="宋体"/>
          <w:color w:val="000000"/>
          <w:szCs w:val="28"/>
        </w:rPr>
        <w:t>桥</w:t>
      </w:r>
      <w:r>
        <w:rPr>
          <w:rFonts w:hAnsi="宋体"/>
          <w:color w:val="000000"/>
          <w:szCs w:val="28"/>
        </w:rPr>
        <w:t>镇</w:t>
      </w:r>
      <w:r>
        <w:rPr>
          <w:rFonts w:hint="eastAsia" w:hAnsi="宋体"/>
          <w:color w:val="000000"/>
          <w:szCs w:val="28"/>
        </w:rPr>
        <w:t>麻油沟</w:t>
      </w:r>
      <w:r>
        <w:rPr>
          <w:rFonts w:hAnsi="宋体"/>
          <w:color w:val="000000"/>
          <w:szCs w:val="28"/>
        </w:rPr>
        <w:t>村</w:t>
      </w:r>
      <w:r>
        <w:rPr>
          <w:rFonts w:hint="eastAsia" w:hAnsi="宋体"/>
          <w:color w:val="000000"/>
          <w:szCs w:val="28"/>
        </w:rPr>
        <w:t>小儿坡</w:t>
      </w:r>
      <w:r>
        <w:rPr>
          <w:rFonts w:hAnsi="宋体"/>
          <w:color w:val="000000"/>
          <w:szCs w:val="28"/>
        </w:rPr>
        <w:t>页岩矿矿区范围由</w:t>
      </w:r>
      <w:r>
        <w:rPr>
          <w:rFonts w:hint="eastAsia"/>
          <w:color w:val="000000"/>
          <w:szCs w:val="28"/>
        </w:rPr>
        <w:t>12</w:t>
      </w:r>
      <w:r>
        <w:rPr>
          <w:rFonts w:hAnsi="宋体"/>
        </w:rPr>
        <w:t>个拐点圈闭</w:t>
      </w:r>
      <w:r>
        <w:rPr>
          <w:lang w:val="zh-CN"/>
        </w:rPr>
        <w:t>(</w:t>
      </w:r>
      <w:r>
        <w:rPr>
          <w:rFonts w:hAnsi="宋体"/>
          <w:lang w:val="zh-CN"/>
        </w:rPr>
        <w:t>见插表</w:t>
      </w:r>
      <w:r>
        <w:t>1</w:t>
      </w:r>
      <w:r>
        <w:rPr>
          <w:lang w:val="zh-CN"/>
        </w:rPr>
        <w:t>)</w:t>
      </w:r>
      <w:r>
        <w:rPr>
          <w:rFonts w:hAnsi="宋体"/>
          <w:lang w:val="zh-CN"/>
        </w:rPr>
        <w:t>，拟</w:t>
      </w:r>
      <w:r>
        <w:rPr>
          <w:rFonts w:hAnsi="宋体"/>
        </w:rPr>
        <w:t>设</w:t>
      </w:r>
      <w:r>
        <w:rPr>
          <w:rFonts w:hAnsi="宋体"/>
          <w:lang w:val="zh-CN"/>
        </w:rPr>
        <w:t>矿区走向长</w:t>
      </w:r>
      <w:r>
        <w:rPr>
          <w:rFonts w:hint="eastAsia"/>
          <w:lang w:val="zh-CN"/>
        </w:rPr>
        <w:t>395</w:t>
      </w:r>
      <w:r>
        <w:rPr>
          <w:lang w:val="zh-CN"/>
        </w:rPr>
        <w:t>m</w:t>
      </w:r>
      <w:r>
        <w:rPr>
          <w:rFonts w:hAnsi="宋体"/>
          <w:lang w:val="zh-CN"/>
        </w:rPr>
        <w:t>左右，宽</w:t>
      </w:r>
      <w:r>
        <w:rPr>
          <w:rFonts w:hint="eastAsia"/>
          <w:lang w:val="zh-CN"/>
        </w:rPr>
        <w:t>225</w:t>
      </w:r>
      <w:r>
        <w:rPr>
          <w:rFonts w:hAnsi="宋体"/>
          <w:lang w:val="zh-CN"/>
        </w:rPr>
        <w:t>～</w:t>
      </w:r>
      <w:r>
        <w:rPr>
          <w:rFonts w:hint="eastAsia" w:hAnsi="宋体"/>
          <w:lang w:val="zh-CN"/>
        </w:rPr>
        <w:t>415</w:t>
      </w:r>
      <w:r>
        <w:rPr>
          <w:lang w:val="zh-CN"/>
        </w:rPr>
        <w:t>m</w:t>
      </w:r>
      <w:r>
        <w:rPr>
          <w:rFonts w:hAnsi="宋体"/>
          <w:lang w:val="zh-CN"/>
        </w:rPr>
        <w:t>左右，面积为</w:t>
      </w:r>
      <w:r>
        <w:rPr>
          <w:lang w:val="zh-CN"/>
        </w:rPr>
        <w:t>0.</w:t>
      </w:r>
      <w:r>
        <w:t>1</w:t>
      </w:r>
      <w:r>
        <w:rPr>
          <w:rFonts w:hint="eastAsia"/>
        </w:rPr>
        <w:t>2</w:t>
      </w:r>
      <w:r>
        <w:t>7</w:t>
      </w:r>
      <w:r>
        <w:rPr>
          <w:rFonts w:hint="eastAsia"/>
        </w:rPr>
        <w:t>2</w:t>
      </w:r>
      <w:r>
        <w:rPr>
          <w:lang w:val="zh-CN"/>
        </w:rPr>
        <w:t>km</w:t>
      </w:r>
      <w:r>
        <w:rPr>
          <w:vertAlign w:val="superscript"/>
          <w:lang w:val="zh-CN"/>
        </w:rPr>
        <w:t>2</w:t>
      </w:r>
      <w:r>
        <w:rPr>
          <w:rFonts w:hAnsi="宋体"/>
          <w:lang w:val="zh-CN"/>
        </w:rPr>
        <w:t>，设计开采标高为</w:t>
      </w:r>
      <w:r>
        <w:t>+</w:t>
      </w:r>
      <w:r>
        <w:rPr>
          <w:rFonts w:hint="eastAsia"/>
          <w:lang w:val="zh-CN"/>
        </w:rPr>
        <w:t>50</w:t>
      </w:r>
      <w:r>
        <w:rPr>
          <w:lang w:val="zh-CN"/>
        </w:rPr>
        <w:t>0</w:t>
      </w:r>
      <w:r>
        <w:rPr>
          <w:rFonts w:hAnsi="宋体"/>
          <w:lang w:val="zh-CN"/>
        </w:rPr>
        <w:t>～</w:t>
      </w:r>
      <w:r>
        <w:t>+</w:t>
      </w:r>
      <w:r>
        <w:rPr>
          <w:rFonts w:hint="eastAsia"/>
          <w:lang w:val="zh-CN"/>
        </w:rPr>
        <w:t>360</w:t>
      </w:r>
      <w:r>
        <w:rPr>
          <w:lang w:val="zh-CN"/>
        </w:rPr>
        <w:t>m</w:t>
      </w:r>
      <w:r>
        <w:rPr>
          <w:rFonts w:hAnsi="宋体"/>
          <w:lang w:val="zh-CN"/>
        </w:rPr>
        <w:t>，</w:t>
      </w:r>
      <w:r>
        <w:rPr>
          <w:rFonts w:hAnsi="宋体"/>
        </w:rPr>
        <w:t>开采</w:t>
      </w:r>
      <w:r>
        <w:rPr>
          <w:rFonts w:hAnsi="宋体"/>
          <w:lang w:val="zh-CN"/>
        </w:rPr>
        <w:t>矿种</w:t>
      </w:r>
      <w:r>
        <w:rPr>
          <w:rFonts w:hAnsi="宋体"/>
        </w:rPr>
        <w:t>为页岩，</w:t>
      </w:r>
      <w:r>
        <w:rPr>
          <w:rFonts w:hAnsi="宋体"/>
          <w:lang w:val="zh-CN"/>
        </w:rPr>
        <w:t>设计生产规模为</w:t>
      </w:r>
      <w:r>
        <w:rPr>
          <w:lang w:val="zh-CN"/>
        </w:rPr>
        <w:t>50</w:t>
      </w:r>
      <w:r>
        <w:rPr>
          <w:rFonts w:hAnsi="宋体"/>
          <w:lang w:val="zh-CN"/>
        </w:rPr>
        <w:t>万吨</w:t>
      </w:r>
      <w:r>
        <w:rPr>
          <w:lang w:val="zh-CN"/>
        </w:rPr>
        <w:t>/</w:t>
      </w:r>
      <w:r>
        <w:rPr>
          <w:rFonts w:hAnsi="宋体"/>
          <w:lang w:val="zh-CN"/>
        </w:rPr>
        <w:t>年，开采方式为露天开采，拟</w:t>
      </w:r>
      <w:r>
        <w:rPr>
          <w:rFonts w:hAnsi="宋体"/>
        </w:rPr>
        <w:t>设</w:t>
      </w:r>
      <w:r>
        <w:rPr>
          <w:rFonts w:hAnsi="宋体"/>
          <w:lang w:val="zh-CN"/>
        </w:rPr>
        <w:t>矿权范围内</w:t>
      </w:r>
      <w:r>
        <w:rPr>
          <w:rFonts w:hAnsi="宋体"/>
        </w:rPr>
        <w:t>无其他</w:t>
      </w:r>
      <w:r>
        <w:rPr>
          <w:rFonts w:hAnsi="宋体"/>
          <w:lang w:val="zh-CN"/>
        </w:rPr>
        <w:t>矿业权，不存在矿业权纠纷。</w:t>
      </w:r>
    </w:p>
    <w:p>
      <w:pPr>
        <w:spacing w:line="0" w:lineRule="atLeast"/>
        <w:ind w:firstLine="562" w:firstLineChars="200"/>
        <w:jc w:val="center"/>
        <w:rPr>
          <w:rFonts w:ascii="宋体" w:hAnsi="宋体"/>
          <w:b/>
          <w:sz w:val="28"/>
          <w:szCs w:val="28"/>
        </w:rPr>
      </w:pPr>
      <w:r>
        <w:rPr>
          <w:rFonts w:ascii="宋体" w:hAnsi="宋体"/>
          <w:b/>
          <w:sz w:val="28"/>
          <w:szCs w:val="28"/>
        </w:rPr>
        <w:t>拟设置</w:t>
      </w:r>
      <w:r>
        <w:rPr>
          <w:rFonts w:hint="eastAsia" w:ascii="宋体" w:hAnsi="宋体" w:cs="宋体"/>
          <w:b/>
          <w:sz w:val="28"/>
          <w:szCs w:val="28"/>
        </w:rPr>
        <w:t>小儿坡页</w:t>
      </w:r>
      <w:r>
        <w:rPr>
          <w:rFonts w:ascii="宋体" w:hAnsi="宋体"/>
          <w:b/>
          <w:sz w:val="28"/>
          <w:szCs w:val="28"/>
        </w:rPr>
        <w:t>岩矿拐点坐标一览表</w:t>
      </w:r>
    </w:p>
    <w:p>
      <w:pPr>
        <w:spacing w:line="0" w:lineRule="atLeast"/>
        <w:ind w:firstLine="482" w:firstLineChars="200"/>
        <w:jc w:val="right"/>
        <w:rPr>
          <w:rFonts w:eastAsia="仿宋_GB2312"/>
          <w:b/>
          <w:sz w:val="24"/>
        </w:rPr>
      </w:pPr>
      <w:r>
        <w:rPr>
          <w:rFonts w:eastAsia="仿宋_GB2312"/>
          <w:b/>
          <w:sz w:val="24"/>
        </w:rPr>
        <w:t xml:space="preserve">                </w:t>
      </w:r>
      <w:r>
        <w:rPr>
          <w:rFonts w:eastAsia="仿宋_GB2312"/>
          <w:bCs/>
          <w:sz w:val="24"/>
        </w:rPr>
        <w:t xml:space="preserve">插表1 </w:t>
      </w:r>
    </w:p>
    <w:tbl>
      <w:tblPr>
        <w:tblStyle w:val="1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0"/>
        <w:gridCol w:w="1734"/>
        <w:gridCol w:w="1888"/>
        <w:gridCol w:w="890"/>
        <w:gridCol w:w="1734"/>
        <w:gridCol w:w="18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000" w:type="pct"/>
            <w:gridSpan w:val="6"/>
            <w:tcBorders>
              <w:top w:val="single" w:color="auto" w:sz="8" w:space="0"/>
              <w:left w:val="single" w:color="auto" w:sz="8" w:space="0"/>
              <w:bottom w:val="single" w:color="auto" w:sz="4" w:space="0"/>
              <w:right w:val="single" w:color="auto" w:sz="8" w:space="0"/>
            </w:tcBorders>
            <w:noWrap w:val="0"/>
            <w:vAlign w:val="center"/>
          </w:tcPr>
          <w:p>
            <w:pPr>
              <w:autoSpaceDN w:val="0"/>
              <w:spacing w:line="320" w:lineRule="exact"/>
              <w:jc w:val="center"/>
              <w:textAlignment w:val="center"/>
              <w:rPr>
                <w:sz w:val="24"/>
              </w:rPr>
            </w:pPr>
            <w:r>
              <w:rPr>
                <w:sz w:val="24"/>
              </w:rPr>
              <w:t>CGCS2000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93" w:type="pct"/>
            <w:tcBorders>
              <w:bottom w:val="single" w:color="auto" w:sz="4" w:space="0"/>
              <w:right w:val="single" w:color="auto" w:sz="8" w:space="0"/>
            </w:tcBorders>
            <w:noWrap w:val="0"/>
            <w:vAlign w:val="center"/>
          </w:tcPr>
          <w:p>
            <w:pPr>
              <w:autoSpaceDN w:val="0"/>
              <w:spacing w:line="320" w:lineRule="exact"/>
              <w:jc w:val="center"/>
              <w:textAlignment w:val="center"/>
              <w:rPr>
                <w:sz w:val="24"/>
              </w:rPr>
            </w:pPr>
            <w:r>
              <w:rPr>
                <w:rFonts w:hAnsi="宋体"/>
                <w:sz w:val="24"/>
              </w:rPr>
              <w:t>拐点</w:t>
            </w:r>
          </w:p>
        </w:tc>
        <w:tc>
          <w:tcPr>
            <w:tcW w:w="961" w:type="pct"/>
            <w:tcBorders>
              <w:left w:val="single" w:color="auto" w:sz="8" w:space="0"/>
              <w:bottom w:val="single" w:color="auto" w:sz="4" w:space="0"/>
            </w:tcBorders>
            <w:noWrap w:val="0"/>
            <w:vAlign w:val="center"/>
          </w:tcPr>
          <w:p>
            <w:pPr>
              <w:autoSpaceDN w:val="0"/>
              <w:spacing w:line="320" w:lineRule="exact"/>
              <w:jc w:val="center"/>
              <w:textAlignment w:val="center"/>
              <w:rPr>
                <w:sz w:val="24"/>
              </w:rPr>
            </w:pPr>
            <w:r>
              <w:rPr>
                <w:sz w:val="24"/>
              </w:rPr>
              <w:t>X</w:t>
            </w:r>
            <w:r>
              <w:rPr>
                <w:rFonts w:hAnsi="宋体"/>
                <w:sz w:val="24"/>
              </w:rPr>
              <w:t>坐标</w:t>
            </w:r>
          </w:p>
        </w:tc>
        <w:tc>
          <w:tcPr>
            <w:tcW w:w="1046" w:type="pct"/>
            <w:tcBorders>
              <w:bottom w:val="single" w:color="auto" w:sz="4" w:space="0"/>
            </w:tcBorders>
            <w:noWrap w:val="0"/>
            <w:vAlign w:val="center"/>
          </w:tcPr>
          <w:p>
            <w:pPr>
              <w:autoSpaceDN w:val="0"/>
              <w:spacing w:line="320" w:lineRule="exact"/>
              <w:jc w:val="center"/>
              <w:textAlignment w:val="center"/>
              <w:rPr>
                <w:sz w:val="24"/>
              </w:rPr>
            </w:pPr>
            <w:r>
              <w:rPr>
                <w:sz w:val="24"/>
              </w:rPr>
              <w:t>Y</w:t>
            </w:r>
            <w:r>
              <w:rPr>
                <w:rFonts w:hAnsi="宋体"/>
                <w:sz w:val="24"/>
              </w:rPr>
              <w:t>坐标</w:t>
            </w:r>
          </w:p>
        </w:tc>
        <w:tc>
          <w:tcPr>
            <w:tcW w:w="493" w:type="pct"/>
            <w:tcBorders>
              <w:bottom w:val="single" w:color="auto" w:sz="4" w:space="0"/>
            </w:tcBorders>
            <w:noWrap w:val="0"/>
            <w:vAlign w:val="center"/>
          </w:tcPr>
          <w:p>
            <w:pPr>
              <w:autoSpaceDN w:val="0"/>
              <w:spacing w:line="320" w:lineRule="exact"/>
              <w:jc w:val="center"/>
              <w:textAlignment w:val="center"/>
              <w:rPr>
                <w:sz w:val="24"/>
              </w:rPr>
            </w:pPr>
            <w:r>
              <w:rPr>
                <w:rFonts w:hAnsi="宋体"/>
                <w:sz w:val="24"/>
              </w:rPr>
              <w:t>拐点</w:t>
            </w:r>
          </w:p>
        </w:tc>
        <w:tc>
          <w:tcPr>
            <w:tcW w:w="961" w:type="pct"/>
            <w:tcBorders>
              <w:bottom w:val="single" w:color="auto" w:sz="4" w:space="0"/>
            </w:tcBorders>
            <w:noWrap w:val="0"/>
            <w:vAlign w:val="center"/>
          </w:tcPr>
          <w:p>
            <w:pPr>
              <w:autoSpaceDN w:val="0"/>
              <w:spacing w:line="320" w:lineRule="exact"/>
              <w:jc w:val="center"/>
              <w:textAlignment w:val="center"/>
              <w:rPr>
                <w:sz w:val="24"/>
              </w:rPr>
            </w:pPr>
            <w:r>
              <w:rPr>
                <w:sz w:val="24"/>
              </w:rPr>
              <w:t>X</w:t>
            </w:r>
            <w:r>
              <w:rPr>
                <w:rFonts w:hAnsi="宋体"/>
                <w:sz w:val="24"/>
              </w:rPr>
              <w:t>坐标</w:t>
            </w:r>
          </w:p>
        </w:tc>
        <w:tc>
          <w:tcPr>
            <w:tcW w:w="1046" w:type="pct"/>
            <w:tcBorders>
              <w:bottom w:val="single" w:color="auto" w:sz="4" w:space="0"/>
              <w:right w:val="single" w:color="auto" w:sz="8" w:space="0"/>
            </w:tcBorders>
            <w:noWrap w:val="0"/>
            <w:vAlign w:val="center"/>
          </w:tcPr>
          <w:p>
            <w:pPr>
              <w:autoSpaceDN w:val="0"/>
              <w:spacing w:line="320" w:lineRule="exact"/>
              <w:jc w:val="center"/>
              <w:textAlignment w:val="center"/>
              <w:rPr>
                <w:sz w:val="24"/>
              </w:rPr>
            </w:pPr>
            <w:r>
              <w:rPr>
                <w:sz w:val="24"/>
              </w:rPr>
              <w:t>Y</w:t>
            </w:r>
            <w:r>
              <w:rPr>
                <w:rFonts w:hAnsi="宋体"/>
                <w:sz w:val="24"/>
              </w:rPr>
              <w:t>坐标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93" w:type="pct"/>
            <w:tcBorders>
              <w:right w:val="single" w:color="auto" w:sz="8" w:space="0"/>
            </w:tcBorders>
            <w:noWrap w:val="0"/>
            <w:vAlign w:val="center"/>
          </w:tcPr>
          <w:p>
            <w:pPr>
              <w:autoSpaceDN w:val="0"/>
              <w:spacing w:line="320" w:lineRule="exact"/>
              <w:jc w:val="center"/>
              <w:textAlignment w:val="center"/>
              <w:rPr>
                <w:sz w:val="24"/>
              </w:rPr>
            </w:pPr>
            <w:r>
              <w:rPr>
                <w:sz w:val="24"/>
              </w:rPr>
              <w:t>1</w:t>
            </w:r>
          </w:p>
        </w:tc>
        <w:tc>
          <w:tcPr>
            <w:tcW w:w="961" w:type="pct"/>
            <w:tcBorders>
              <w:left w:val="single" w:color="auto" w:sz="8" w:space="0"/>
            </w:tcBorders>
            <w:noWrap w:val="0"/>
            <w:vAlign w:val="center"/>
          </w:tcPr>
          <w:p>
            <w:pPr>
              <w:widowControl/>
              <w:jc w:val="center"/>
              <w:rPr>
                <w:color w:val="000000"/>
                <w:kern w:val="0"/>
                <w:sz w:val="24"/>
              </w:rPr>
            </w:pPr>
            <w:r>
              <w:rPr>
                <w:color w:val="000000"/>
                <w:kern w:val="0"/>
                <w:sz w:val="24"/>
              </w:rPr>
              <w:t>3461945.92</w:t>
            </w:r>
          </w:p>
        </w:tc>
        <w:tc>
          <w:tcPr>
            <w:tcW w:w="1046" w:type="pct"/>
            <w:noWrap w:val="0"/>
            <w:vAlign w:val="center"/>
          </w:tcPr>
          <w:p>
            <w:pPr>
              <w:widowControl/>
              <w:jc w:val="center"/>
              <w:rPr>
                <w:color w:val="000000"/>
                <w:kern w:val="0"/>
                <w:sz w:val="24"/>
              </w:rPr>
            </w:pPr>
            <w:r>
              <w:rPr>
                <w:color w:val="000000"/>
                <w:kern w:val="0"/>
                <w:sz w:val="24"/>
              </w:rPr>
              <w:t>36419574.34</w:t>
            </w:r>
          </w:p>
        </w:tc>
        <w:tc>
          <w:tcPr>
            <w:tcW w:w="493" w:type="pct"/>
            <w:noWrap w:val="0"/>
            <w:vAlign w:val="center"/>
          </w:tcPr>
          <w:p>
            <w:pPr>
              <w:autoSpaceDN w:val="0"/>
              <w:spacing w:line="320" w:lineRule="exact"/>
              <w:jc w:val="center"/>
              <w:textAlignment w:val="center"/>
              <w:rPr>
                <w:rFonts w:hint="eastAsia"/>
                <w:sz w:val="24"/>
              </w:rPr>
            </w:pPr>
            <w:r>
              <w:rPr>
                <w:rFonts w:hint="eastAsia"/>
                <w:sz w:val="24"/>
              </w:rPr>
              <w:t>7</w:t>
            </w:r>
          </w:p>
        </w:tc>
        <w:tc>
          <w:tcPr>
            <w:tcW w:w="961" w:type="pct"/>
            <w:noWrap w:val="0"/>
            <w:vAlign w:val="center"/>
          </w:tcPr>
          <w:p>
            <w:pPr>
              <w:widowControl/>
              <w:jc w:val="center"/>
              <w:rPr>
                <w:color w:val="000000"/>
                <w:kern w:val="0"/>
                <w:sz w:val="24"/>
              </w:rPr>
            </w:pPr>
            <w:r>
              <w:rPr>
                <w:color w:val="000000"/>
                <w:kern w:val="0"/>
                <w:sz w:val="24"/>
              </w:rPr>
              <w:t>3461720.19</w:t>
            </w:r>
          </w:p>
        </w:tc>
        <w:tc>
          <w:tcPr>
            <w:tcW w:w="1046" w:type="pct"/>
            <w:tcBorders>
              <w:right w:val="single" w:color="auto" w:sz="8" w:space="0"/>
            </w:tcBorders>
            <w:noWrap w:val="0"/>
            <w:vAlign w:val="center"/>
          </w:tcPr>
          <w:p>
            <w:pPr>
              <w:widowControl/>
              <w:jc w:val="center"/>
              <w:rPr>
                <w:color w:val="000000"/>
                <w:kern w:val="0"/>
                <w:sz w:val="24"/>
              </w:rPr>
            </w:pPr>
            <w:r>
              <w:rPr>
                <w:color w:val="000000"/>
                <w:kern w:val="0"/>
                <w:sz w:val="24"/>
              </w:rPr>
              <w:t>36419541.34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93" w:type="pct"/>
            <w:tcBorders>
              <w:right w:val="single" w:color="auto" w:sz="8" w:space="0"/>
            </w:tcBorders>
            <w:noWrap w:val="0"/>
            <w:vAlign w:val="center"/>
          </w:tcPr>
          <w:p>
            <w:pPr>
              <w:autoSpaceDN w:val="0"/>
              <w:spacing w:line="320" w:lineRule="exact"/>
              <w:jc w:val="center"/>
              <w:textAlignment w:val="center"/>
              <w:rPr>
                <w:sz w:val="24"/>
              </w:rPr>
            </w:pPr>
            <w:r>
              <w:rPr>
                <w:sz w:val="24"/>
              </w:rPr>
              <w:t>2</w:t>
            </w:r>
          </w:p>
        </w:tc>
        <w:tc>
          <w:tcPr>
            <w:tcW w:w="961" w:type="pct"/>
            <w:tcBorders>
              <w:left w:val="single" w:color="auto" w:sz="8" w:space="0"/>
            </w:tcBorders>
            <w:noWrap w:val="0"/>
            <w:vAlign w:val="center"/>
          </w:tcPr>
          <w:p>
            <w:pPr>
              <w:widowControl/>
              <w:jc w:val="center"/>
              <w:rPr>
                <w:color w:val="000000"/>
                <w:kern w:val="0"/>
                <w:sz w:val="24"/>
              </w:rPr>
            </w:pPr>
            <w:r>
              <w:rPr>
                <w:color w:val="000000"/>
                <w:kern w:val="0"/>
                <w:sz w:val="24"/>
              </w:rPr>
              <w:t>3461893.41</w:t>
            </w:r>
          </w:p>
        </w:tc>
        <w:tc>
          <w:tcPr>
            <w:tcW w:w="1046" w:type="pct"/>
            <w:noWrap w:val="0"/>
            <w:vAlign w:val="center"/>
          </w:tcPr>
          <w:p>
            <w:pPr>
              <w:widowControl/>
              <w:jc w:val="center"/>
              <w:rPr>
                <w:color w:val="000000"/>
                <w:kern w:val="0"/>
                <w:sz w:val="24"/>
              </w:rPr>
            </w:pPr>
            <w:r>
              <w:rPr>
                <w:color w:val="000000"/>
                <w:kern w:val="0"/>
                <w:sz w:val="24"/>
              </w:rPr>
              <w:t>36419418.05</w:t>
            </w:r>
          </w:p>
        </w:tc>
        <w:tc>
          <w:tcPr>
            <w:tcW w:w="493" w:type="pct"/>
            <w:noWrap w:val="0"/>
            <w:vAlign w:val="center"/>
          </w:tcPr>
          <w:p>
            <w:pPr>
              <w:autoSpaceDN w:val="0"/>
              <w:spacing w:line="320" w:lineRule="exact"/>
              <w:jc w:val="center"/>
              <w:textAlignment w:val="center"/>
              <w:rPr>
                <w:rFonts w:hint="eastAsia"/>
                <w:sz w:val="24"/>
              </w:rPr>
            </w:pPr>
            <w:r>
              <w:rPr>
                <w:rFonts w:hint="eastAsia"/>
                <w:sz w:val="24"/>
              </w:rPr>
              <w:t>8</w:t>
            </w:r>
          </w:p>
        </w:tc>
        <w:tc>
          <w:tcPr>
            <w:tcW w:w="961" w:type="pct"/>
            <w:noWrap w:val="0"/>
            <w:vAlign w:val="center"/>
          </w:tcPr>
          <w:p>
            <w:pPr>
              <w:widowControl/>
              <w:jc w:val="center"/>
              <w:rPr>
                <w:color w:val="000000"/>
                <w:kern w:val="0"/>
                <w:sz w:val="24"/>
              </w:rPr>
            </w:pPr>
            <w:r>
              <w:rPr>
                <w:color w:val="000000"/>
                <w:kern w:val="0"/>
                <w:sz w:val="24"/>
              </w:rPr>
              <w:t>3461532.15</w:t>
            </w:r>
          </w:p>
        </w:tc>
        <w:tc>
          <w:tcPr>
            <w:tcW w:w="1046" w:type="pct"/>
            <w:tcBorders>
              <w:right w:val="single" w:color="auto" w:sz="8" w:space="0"/>
            </w:tcBorders>
            <w:noWrap w:val="0"/>
            <w:vAlign w:val="center"/>
          </w:tcPr>
          <w:p>
            <w:pPr>
              <w:widowControl/>
              <w:jc w:val="center"/>
              <w:rPr>
                <w:color w:val="000000"/>
                <w:kern w:val="0"/>
                <w:sz w:val="24"/>
              </w:rPr>
            </w:pPr>
            <w:r>
              <w:rPr>
                <w:color w:val="000000"/>
                <w:kern w:val="0"/>
                <w:sz w:val="24"/>
              </w:rPr>
              <w:t>36419454.65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93" w:type="pct"/>
            <w:tcBorders>
              <w:right w:val="single" w:color="auto" w:sz="8" w:space="0"/>
            </w:tcBorders>
            <w:noWrap w:val="0"/>
            <w:vAlign w:val="center"/>
          </w:tcPr>
          <w:p>
            <w:pPr>
              <w:autoSpaceDN w:val="0"/>
              <w:spacing w:line="320" w:lineRule="exact"/>
              <w:jc w:val="center"/>
              <w:textAlignment w:val="center"/>
              <w:rPr>
                <w:sz w:val="24"/>
              </w:rPr>
            </w:pPr>
            <w:r>
              <w:rPr>
                <w:sz w:val="24"/>
              </w:rPr>
              <w:t>3</w:t>
            </w:r>
          </w:p>
        </w:tc>
        <w:tc>
          <w:tcPr>
            <w:tcW w:w="961" w:type="pct"/>
            <w:tcBorders>
              <w:left w:val="single" w:color="auto" w:sz="8" w:space="0"/>
            </w:tcBorders>
            <w:noWrap w:val="0"/>
            <w:vAlign w:val="center"/>
          </w:tcPr>
          <w:p>
            <w:pPr>
              <w:widowControl/>
              <w:jc w:val="center"/>
              <w:rPr>
                <w:color w:val="000000"/>
                <w:kern w:val="0"/>
                <w:sz w:val="24"/>
              </w:rPr>
            </w:pPr>
            <w:r>
              <w:rPr>
                <w:color w:val="000000"/>
                <w:kern w:val="0"/>
                <w:sz w:val="24"/>
              </w:rPr>
              <w:t>3461841.84</w:t>
            </w:r>
          </w:p>
        </w:tc>
        <w:tc>
          <w:tcPr>
            <w:tcW w:w="1046" w:type="pct"/>
            <w:noWrap w:val="0"/>
            <w:vAlign w:val="center"/>
          </w:tcPr>
          <w:p>
            <w:pPr>
              <w:widowControl/>
              <w:jc w:val="center"/>
              <w:rPr>
                <w:color w:val="000000"/>
                <w:kern w:val="0"/>
                <w:sz w:val="24"/>
              </w:rPr>
            </w:pPr>
            <w:r>
              <w:rPr>
                <w:color w:val="000000"/>
                <w:kern w:val="0"/>
                <w:sz w:val="24"/>
              </w:rPr>
              <w:t>36419412.72</w:t>
            </w:r>
          </w:p>
        </w:tc>
        <w:tc>
          <w:tcPr>
            <w:tcW w:w="493" w:type="pct"/>
            <w:noWrap w:val="0"/>
            <w:vAlign w:val="center"/>
          </w:tcPr>
          <w:p>
            <w:pPr>
              <w:autoSpaceDN w:val="0"/>
              <w:spacing w:line="320" w:lineRule="exact"/>
              <w:jc w:val="center"/>
              <w:textAlignment w:val="center"/>
              <w:rPr>
                <w:rFonts w:hint="eastAsia"/>
                <w:sz w:val="24"/>
              </w:rPr>
            </w:pPr>
            <w:r>
              <w:rPr>
                <w:rFonts w:hint="eastAsia"/>
                <w:sz w:val="24"/>
              </w:rPr>
              <w:t>9</w:t>
            </w:r>
          </w:p>
        </w:tc>
        <w:tc>
          <w:tcPr>
            <w:tcW w:w="961" w:type="pct"/>
            <w:noWrap w:val="0"/>
            <w:vAlign w:val="center"/>
          </w:tcPr>
          <w:p>
            <w:pPr>
              <w:widowControl/>
              <w:jc w:val="center"/>
              <w:rPr>
                <w:color w:val="000000"/>
                <w:kern w:val="0"/>
                <w:sz w:val="24"/>
              </w:rPr>
            </w:pPr>
            <w:r>
              <w:rPr>
                <w:color w:val="000000"/>
                <w:kern w:val="0"/>
                <w:sz w:val="24"/>
              </w:rPr>
              <w:t>3461643.46</w:t>
            </w:r>
          </w:p>
        </w:tc>
        <w:tc>
          <w:tcPr>
            <w:tcW w:w="1046" w:type="pct"/>
            <w:tcBorders>
              <w:right w:val="single" w:color="auto" w:sz="8" w:space="0"/>
            </w:tcBorders>
            <w:noWrap w:val="0"/>
            <w:vAlign w:val="center"/>
          </w:tcPr>
          <w:p>
            <w:pPr>
              <w:widowControl/>
              <w:jc w:val="center"/>
              <w:rPr>
                <w:color w:val="000000"/>
                <w:kern w:val="0"/>
                <w:sz w:val="24"/>
              </w:rPr>
            </w:pPr>
            <w:r>
              <w:rPr>
                <w:color w:val="000000"/>
                <w:kern w:val="0"/>
                <w:sz w:val="24"/>
              </w:rPr>
              <w:t>36419272.48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93" w:type="pct"/>
            <w:tcBorders>
              <w:right w:val="single" w:color="auto" w:sz="8" w:space="0"/>
            </w:tcBorders>
            <w:noWrap w:val="0"/>
            <w:vAlign w:val="center"/>
          </w:tcPr>
          <w:p>
            <w:pPr>
              <w:autoSpaceDN w:val="0"/>
              <w:spacing w:line="320" w:lineRule="exact"/>
              <w:jc w:val="center"/>
              <w:textAlignment w:val="center"/>
              <w:rPr>
                <w:sz w:val="24"/>
              </w:rPr>
            </w:pPr>
            <w:r>
              <w:rPr>
                <w:sz w:val="24"/>
              </w:rPr>
              <w:t>4</w:t>
            </w:r>
          </w:p>
        </w:tc>
        <w:tc>
          <w:tcPr>
            <w:tcW w:w="961" w:type="pct"/>
            <w:tcBorders>
              <w:left w:val="single" w:color="auto" w:sz="8" w:space="0"/>
            </w:tcBorders>
            <w:noWrap w:val="0"/>
            <w:vAlign w:val="center"/>
          </w:tcPr>
          <w:p>
            <w:pPr>
              <w:widowControl/>
              <w:jc w:val="center"/>
              <w:rPr>
                <w:color w:val="000000"/>
                <w:kern w:val="0"/>
                <w:sz w:val="24"/>
              </w:rPr>
            </w:pPr>
            <w:r>
              <w:rPr>
                <w:color w:val="000000"/>
                <w:kern w:val="0"/>
                <w:sz w:val="24"/>
              </w:rPr>
              <w:t>3461868.35</w:t>
            </w:r>
          </w:p>
        </w:tc>
        <w:tc>
          <w:tcPr>
            <w:tcW w:w="1046" w:type="pct"/>
            <w:noWrap w:val="0"/>
            <w:vAlign w:val="center"/>
          </w:tcPr>
          <w:p>
            <w:pPr>
              <w:widowControl/>
              <w:jc w:val="center"/>
              <w:rPr>
                <w:color w:val="000000"/>
                <w:kern w:val="0"/>
                <w:sz w:val="24"/>
              </w:rPr>
            </w:pPr>
            <w:r>
              <w:rPr>
                <w:color w:val="000000"/>
                <w:kern w:val="0"/>
                <w:sz w:val="24"/>
              </w:rPr>
              <w:t>36419505.29</w:t>
            </w:r>
          </w:p>
        </w:tc>
        <w:tc>
          <w:tcPr>
            <w:tcW w:w="493" w:type="pct"/>
            <w:noWrap w:val="0"/>
            <w:vAlign w:val="center"/>
          </w:tcPr>
          <w:p>
            <w:pPr>
              <w:autoSpaceDN w:val="0"/>
              <w:spacing w:line="320" w:lineRule="exact"/>
              <w:jc w:val="center"/>
              <w:textAlignment w:val="center"/>
              <w:rPr>
                <w:rFonts w:hint="eastAsia"/>
                <w:sz w:val="24"/>
              </w:rPr>
            </w:pPr>
            <w:r>
              <w:rPr>
                <w:rFonts w:hint="eastAsia"/>
                <w:sz w:val="24"/>
              </w:rPr>
              <w:t>10</w:t>
            </w:r>
          </w:p>
        </w:tc>
        <w:tc>
          <w:tcPr>
            <w:tcW w:w="961" w:type="pct"/>
            <w:noWrap w:val="0"/>
            <w:vAlign w:val="center"/>
          </w:tcPr>
          <w:p>
            <w:pPr>
              <w:widowControl/>
              <w:jc w:val="center"/>
              <w:rPr>
                <w:color w:val="000000"/>
                <w:kern w:val="0"/>
                <w:sz w:val="24"/>
              </w:rPr>
            </w:pPr>
            <w:r>
              <w:rPr>
                <w:color w:val="000000"/>
                <w:kern w:val="0"/>
                <w:sz w:val="24"/>
              </w:rPr>
              <w:t>3461794.71</w:t>
            </w:r>
          </w:p>
        </w:tc>
        <w:tc>
          <w:tcPr>
            <w:tcW w:w="1046" w:type="pct"/>
            <w:tcBorders>
              <w:right w:val="single" w:color="auto" w:sz="8" w:space="0"/>
            </w:tcBorders>
            <w:noWrap w:val="0"/>
            <w:vAlign w:val="center"/>
          </w:tcPr>
          <w:p>
            <w:pPr>
              <w:widowControl/>
              <w:jc w:val="center"/>
              <w:rPr>
                <w:color w:val="000000"/>
                <w:kern w:val="0"/>
                <w:sz w:val="24"/>
              </w:rPr>
            </w:pPr>
            <w:r>
              <w:rPr>
                <w:color w:val="000000"/>
                <w:kern w:val="0"/>
                <w:sz w:val="24"/>
              </w:rPr>
              <w:t>36419161.08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93" w:type="pct"/>
            <w:tcBorders>
              <w:right w:val="single" w:color="auto" w:sz="8" w:space="0"/>
            </w:tcBorders>
            <w:noWrap w:val="0"/>
            <w:vAlign w:val="center"/>
          </w:tcPr>
          <w:p>
            <w:pPr>
              <w:autoSpaceDN w:val="0"/>
              <w:spacing w:line="320" w:lineRule="exact"/>
              <w:jc w:val="center"/>
              <w:textAlignment w:val="center"/>
              <w:rPr>
                <w:rFonts w:hint="eastAsia"/>
                <w:sz w:val="24"/>
              </w:rPr>
            </w:pPr>
            <w:r>
              <w:rPr>
                <w:rFonts w:hint="eastAsia"/>
                <w:sz w:val="24"/>
              </w:rPr>
              <w:t>5</w:t>
            </w:r>
          </w:p>
        </w:tc>
        <w:tc>
          <w:tcPr>
            <w:tcW w:w="961" w:type="pct"/>
            <w:tcBorders>
              <w:left w:val="single" w:color="auto" w:sz="8" w:space="0"/>
            </w:tcBorders>
            <w:noWrap w:val="0"/>
            <w:vAlign w:val="center"/>
          </w:tcPr>
          <w:p>
            <w:pPr>
              <w:widowControl/>
              <w:jc w:val="center"/>
              <w:rPr>
                <w:color w:val="000000"/>
                <w:kern w:val="0"/>
                <w:sz w:val="24"/>
              </w:rPr>
            </w:pPr>
            <w:r>
              <w:rPr>
                <w:color w:val="000000"/>
                <w:kern w:val="0"/>
                <w:sz w:val="24"/>
              </w:rPr>
              <w:t>3461833.15</w:t>
            </w:r>
          </w:p>
        </w:tc>
        <w:tc>
          <w:tcPr>
            <w:tcW w:w="1046" w:type="pct"/>
            <w:noWrap w:val="0"/>
            <w:vAlign w:val="center"/>
          </w:tcPr>
          <w:p>
            <w:pPr>
              <w:widowControl/>
              <w:jc w:val="center"/>
              <w:rPr>
                <w:color w:val="000000"/>
                <w:kern w:val="0"/>
                <w:sz w:val="24"/>
              </w:rPr>
            </w:pPr>
            <w:r>
              <w:rPr>
                <w:color w:val="000000"/>
                <w:kern w:val="0"/>
                <w:sz w:val="24"/>
              </w:rPr>
              <w:t>36419630.64</w:t>
            </w:r>
          </w:p>
        </w:tc>
        <w:tc>
          <w:tcPr>
            <w:tcW w:w="493" w:type="pct"/>
            <w:noWrap w:val="0"/>
            <w:vAlign w:val="center"/>
          </w:tcPr>
          <w:p>
            <w:pPr>
              <w:autoSpaceDN w:val="0"/>
              <w:spacing w:line="320" w:lineRule="exact"/>
              <w:jc w:val="center"/>
              <w:textAlignment w:val="center"/>
              <w:rPr>
                <w:rFonts w:hint="eastAsia"/>
                <w:sz w:val="24"/>
              </w:rPr>
            </w:pPr>
            <w:r>
              <w:rPr>
                <w:rFonts w:hint="eastAsia"/>
                <w:sz w:val="24"/>
              </w:rPr>
              <w:t>11</w:t>
            </w:r>
          </w:p>
        </w:tc>
        <w:tc>
          <w:tcPr>
            <w:tcW w:w="961" w:type="pct"/>
            <w:noWrap w:val="0"/>
            <w:vAlign w:val="center"/>
          </w:tcPr>
          <w:p>
            <w:pPr>
              <w:widowControl/>
              <w:jc w:val="center"/>
              <w:rPr>
                <w:color w:val="000000"/>
                <w:kern w:val="0"/>
                <w:sz w:val="24"/>
              </w:rPr>
            </w:pPr>
            <w:r>
              <w:rPr>
                <w:color w:val="000000"/>
                <w:kern w:val="0"/>
                <w:sz w:val="24"/>
              </w:rPr>
              <w:t>3461901.14</w:t>
            </w:r>
          </w:p>
        </w:tc>
        <w:tc>
          <w:tcPr>
            <w:tcW w:w="1046" w:type="pct"/>
            <w:tcBorders>
              <w:right w:val="single" w:color="auto" w:sz="8" w:space="0"/>
            </w:tcBorders>
            <w:noWrap w:val="0"/>
            <w:vAlign w:val="center"/>
          </w:tcPr>
          <w:p>
            <w:pPr>
              <w:widowControl/>
              <w:jc w:val="center"/>
              <w:rPr>
                <w:color w:val="000000"/>
                <w:kern w:val="0"/>
                <w:sz w:val="24"/>
              </w:rPr>
            </w:pPr>
            <w:r>
              <w:rPr>
                <w:color w:val="000000"/>
                <w:kern w:val="0"/>
                <w:sz w:val="24"/>
              </w:rPr>
              <w:t>36419190.56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93" w:type="pct"/>
            <w:tcBorders>
              <w:right w:val="single" w:color="auto" w:sz="8" w:space="0"/>
            </w:tcBorders>
            <w:noWrap w:val="0"/>
            <w:vAlign w:val="center"/>
          </w:tcPr>
          <w:p>
            <w:pPr>
              <w:autoSpaceDN w:val="0"/>
              <w:spacing w:line="320" w:lineRule="exact"/>
              <w:jc w:val="center"/>
              <w:textAlignment w:val="center"/>
              <w:rPr>
                <w:rFonts w:hint="eastAsia"/>
                <w:sz w:val="24"/>
              </w:rPr>
            </w:pPr>
            <w:r>
              <w:rPr>
                <w:rFonts w:hint="eastAsia"/>
                <w:sz w:val="24"/>
              </w:rPr>
              <w:t>6</w:t>
            </w:r>
          </w:p>
        </w:tc>
        <w:tc>
          <w:tcPr>
            <w:tcW w:w="961" w:type="pct"/>
            <w:tcBorders>
              <w:left w:val="single" w:color="auto" w:sz="8" w:space="0"/>
            </w:tcBorders>
            <w:noWrap w:val="0"/>
            <w:vAlign w:val="center"/>
          </w:tcPr>
          <w:p>
            <w:pPr>
              <w:widowControl/>
              <w:jc w:val="center"/>
              <w:rPr>
                <w:color w:val="000000"/>
                <w:kern w:val="0"/>
                <w:sz w:val="24"/>
              </w:rPr>
            </w:pPr>
            <w:r>
              <w:rPr>
                <w:color w:val="000000"/>
                <w:kern w:val="0"/>
                <w:sz w:val="24"/>
              </w:rPr>
              <w:t>3461781.99</w:t>
            </w:r>
          </w:p>
        </w:tc>
        <w:tc>
          <w:tcPr>
            <w:tcW w:w="1046" w:type="pct"/>
            <w:noWrap w:val="0"/>
            <w:vAlign w:val="center"/>
          </w:tcPr>
          <w:p>
            <w:pPr>
              <w:widowControl/>
              <w:jc w:val="center"/>
              <w:rPr>
                <w:color w:val="000000"/>
                <w:kern w:val="0"/>
                <w:sz w:val="24"/>
              </w:rPr>
            </w:pPr>
            <w:r>
              <w:rPr>
                <w:color w:val="000000"/>
                <w:kern w:val="0"/>
                <w:sz w:val="24"/>
              </w:rPr>
              <w:t>36419626.14</w:t>
            </w:r>
          </w:p>
        </w:tc>
        <w:tc>
          <w:tcPr>
            <w:tcW w:w="493" w:type="pct"/>
            <w:noWrap w:val="0"/>
            <w:vAlign w:val="center"/>
          </w:tcPr>
          <w:p>
            <w:pPr>
              <w:autoSpaceDN w:val="0"/>
              <w:spacing w:line="320" w:lineRule="exact"/>
              <w:jc w:val="center"/>
              <w:textAlignment w:val="center"/>
              <w:rPr>
                <w:rFonts w:hint="eastAsia"/>
                <w:sz w:val="24"/>
              </w:rPr>
            </w:pPr>
            <w:r>
              <w:rPr>
                <w:rFonts w:hint="eastAsia"/>
                <w:sz w:val="24"/>
              </w:rPr>
              <w:t>12</w:t>
            </w:r>
          </w:p>
        </w:tc>
        <w:tc>
          <w:tcPr>
            <w:tcW w:w="961" w:type="pct"/>
            <w:noWrap w:val="0"/>
            <w:vAlign w:val="center"/>
          </w:tcPr>
          <w:p>
            <w:pPr>
              <w:widowControl/>
              <w:jc w:val="center"/>
              <w:rPr>
                <w:color w:val="000000"/>
                <w:kern w:val="0"/>
                <w:sz w:val="24"/>
              </w:rPr>
            </w:pPr>
            <w:r>
              <w:rPr>
                <w:color w:val="000000"/>
                <w:kern w:val="0"/>
                <w:sz w:val="24"/>
              </w:rPr>
              <w:t>3462029.21</w:t>
            </w:r>
          </w:p>
        </w:tc>
        <w:tc>
          <w:tcPr>
            <w:tcW w:w="1046" w:type="pct"/>
            <w:tcBorders>
              <w:right w:val="single" w:color="auto" w:sz="8" w:space="0"/>
            </w:tcBorders>
            <w:noWrap w:val="0"/>
            <w:vAlign w:val="center"/>
          </w:tcPr>
          <w:p>
            <w:pPr>
              <w:widowControl/>
              <w:jc w:val="center"/>
              <w:rPr>
                <w:color w:val="000000"/>
                <w:kern w:val="0"/>
                <w:sz w:val="24"/>
              </w:rPr>
            </w:pPr>
            <w:r>
              <w:rPr>
                <w:color w:val="000000"/>
                <w:kern w:val="0"/>
                <w:sz w:val="24"/>
              </w:rPr>
              <w:t>36419434.53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000" w:type="pct"/>
            <w:gridSpan w:val="6"/>
            <w:tcBorders>
              <w:left w:val="single" w:color="auto" w:sz="8" w:space="0"/>
              <w:bottom w:val="single" w:color="auto" w:sz="8" w:space="0"/>
              <w:right w:val="single" w:color="auto" w:sz="8" w:space="0"/>
            </w:tcBorders>
            <w:noWrap w:val="0"/>
            <w:vAlign w:val="center"/>
          </w:tcPr>
          <w:p>
            <w:pPr>
              <w:widowControl/>
              <w:jc w:val="center"/>
              <w:rPr>
                <w:rFonts w:hint="eastAsia"/>
                <w:color w:val="000000"/>
                <w:kern w:val="0"/>
                <w:sz w:val="24"/>
              </w:rPr>
            </w:pPr>
            <w:r>
              <w:rPr>
                <w:rFonts w:hAnsi="宋体"/>
                <w:sz w:val="24"/>
              </w:rPr>
              <w:t>备注：矿区面积</w:t>
            </w:r>
            <w:r>
              <w:rPr>
                <w:sz w:val="24"/>
              </w:rPr>
              <w:t>0.</w:t>
            </w:r>
            <w:r>
              <w:rPr>
                <w:rFonts w:hint="eastAsia"/>
                <w:sz w:val="24"/>
              </w:rPr>
              <w:t>1272</w:t>
            </w:r>
            <w:r>
              <w:rPr>
                <w:sz w:val="24"/>
              </w:rPr>
              <w:t>km</w:t>
            </w:r>
            <w:r>
              <w:rPr>
                <w:sz w:val="24"/>
                <w:vertAlign w:val="superscript"/>
              </w:rPr>
              <w:t>2</w:t>
            </w:r>
            <w:r>
              <w:rPr>
                <w:rFonts w:hAnsi="宋体"/>
                <w:sz w:val="24"/>
              </w:rPr>
              <w:t>，开采标高</w:t>
            </w:r>
            <w:r>
              <w:rPr>
                <w:sz w:val="24"/>
              </w:rPr>
              <w:t>+</w:t>
            </w:r>
            <w:r>
              <w:rPr>
                <w:rFonts w:hint="eastAsia"/>
                <w:sz w:val="24"/>
              </w:rPr>
              <w:t>500</w:t>
            </w:r>
            <w:r>
              <w:rPr>
                <w:rFonts w:hAnsi="宋体"/>
                <w:lang w:val="zh-CN"/>
              </w:rPr>
              <w:t>～</w:t>
            </w:r>
            <w:r>
              <w:rPr>
                <w:rFonts w:hint="eastAsia"/>
                <w:sz w:val="24"/>
                <w:lang w:val="zh-CN"/>
              </w:rPr>
              <w:t>+360</w:t>
            </w:r>
            <w:r>
              <w:rPr>
                <w:sz w:val="24"/>
                <w:lang w:val="zh-CN"/>
              </w:rPr>
              <w:t>m</w:t>
            </w:r>
          </w:p>
        </w:tc>
      </w:tr>
    </w:tbl>
    <w:p>
      <w:pPr>
        <w:pStyle w:val="3"/>
        <w:spacing w:before="0" w:after="0" w:line="240" w:lineRule="auto"/>
        <w:rPr>
          <w:rFonts w:ascii="Times New Roman" w:hAnsi="Times New Roman" w:eastAsia="宋体"/>
          <w:sz w:val="30"/>
        </w:rPr>
      </w:pPr>
      <w:bookmarkStart w:id="10" w:name="_Toc59802132"/>
      <w:bookmarkStart w:id="11" w:name="_Toc21284"/>
      <w:r>
        <w:rPr>
          <w:rFonts w:ascii="Times New Roman" w:hAnsi="Times New Roman" w:eastAsia="宋体"/>
          <w:sz w:val="30"/>
        </w:rPr>
        <w:t>1.5 矿山设计、开采和资源利用概况</w:t>
      </w:r>
      <w:bookmarkEnd w:id="10"/>
      <w:bookmarkEnd w:id="11"/>
    </w:p>
    <w:p>
      <w:pPr>
        <w:pStyle w:val="9"/>
        <w:spacing w:line="240" w:lineRule="auto"/>
        <w:ind w:firstLine="573"/>
        <w:rPr>
          <w:lang w:val="zh-CN"/>
        </w:rPr>
      </w:pPr>
      <w:r>
        <w:rPr>
          <w:rFonts w:hAnsi="宋体"/>
          <w:lang w:val="zh-CN"/>
        </w:rPr>
        <w:t>目前矿山还处于矿权设置阶段，矿山设计还未进行，矿产资源未进行开采和利用。</w:t>
      </w:r>
    </w:p>
    <w:p>
      <w:pPr>
        <w:pStyle w:val="3"/>
        <w:spacing w:before="0" w:after="0" w:line="240" w:lineRule="auto"/>
        <w:rPr>
          <w:rStyle w:val="23"/>
          <w:rFonts w:ascii="Times New Roman" w:hAnsi="Times New Roman" w:eastAsia="宋体"/>
          <w:color w:val="000000"/>
          <w:sz w:val="30"/>
          <w:szCs w:val="30"/>
        </w:rPr>
      </w:pPr>
      <w:bookmarkStart w:id="12" w:name="_Toc59802133"/>
      <w:r>
        <w:rPr>
          <w:rStyle w:val="23"/>
          <w:rFonts w:ascii="Times New Roman" w:hAnsi="Times New Roman" w:eastAsia="宋体"/>
          <w:color w:val="000000"/>
          <w:sz w:val="30"/>
          <w:szCs w:val="30"/>
        </w:rPr>
        <w:t>1.6 以往</w:t>
      </w:r>
      <w:r>
        <w:rPr>
          <w:rFonts w:ascii="Times New Roman" w:hAnsi="Times New Roman" w:eastAsia="宋体"/>
          <w:color w:val="000000"/>
          <w:sz w:val="30"/>
          <w:szCs w:val="30"/>
        </w:rPr>
        <w:t>地质</w:t>
      </w:r>
      <w:r>
        <w:rPr>
          <w:rStyle w:val="23"/>
          <w:rFonts w:ascii="Times New Roman" w:hAnsi="Times New Roman" w:eastAsia="宋体"/>
          <w:color w:val="000000"/>
          <w:sz w:val="30"/>
          <w:szCs w:val="30"/>
        </w:rPr>
        <w:t>工作</w:t>
      </w:r>
      <w:bookmarkEnd w:id="12"/>
      <w:bookmarkStart w:id="13" w:name="_Toc186104138"/>
    </w:p>
    <w:bookmarkEnd w:id="13"/>
    <w:p>
      <w:pPr>
        <w:spacing w:line="580" w:lineRule="exact"/>
        <w:ind w:firstLine="645"/>
        <w:rPr>
          <w:sz w:val="28"/>
          <w:szCs w:val="28"/>
        </w:rPr>
      </w:pPr>
      <w:r>
        <w:rPr>
          <w:rFonts w:hAnsi="宋体"/>
          <w:sz w:val="28"/>
          <w:szCs w:val="28"/>
        </w:rPr>
        <w:t>拟设矿权位于华蓥山背斜北段倾没端，华蓥山矿区背斜地带所作地质工作较多，倾没端所作地质工作较少，仅进行过为数不多的地质工作，其工作如下：</w:t>
      </w:r>
    </w:p>
    <w:p>
      <w:pPr>
        <w:spacing w:line="580" w:lineRule="exact"/>
        <w:ind w:firstLine="645"/>
        <w:rPr>
          <w:rFonts w:hint="eastAsia" w:hAnsi="宋体"/>
          <w:sz w:val="28"/>
          <w:szCs w:val="28"/>
        </w:rPr>
      </w:pPr>
      <w:r>
        <w:rPr>
          <w:sz w:val="28"/>
          <w:szCs w:val="28"/>
        </w:rPr>
        <w:t>1. 1978</w:t>
      </w:r>
      <w:r>
        <w:rPr>
          <w:rFonts w:hAnsi="宋体"/>
          <w:sz w:val="28"/>
          <w:szCs w:val="28"/>
        </w:rPr>
        <w:t>～</w:t>
      </w:r>
      <w:r>
        <w:rPr>
          <w:sz w:val="28"/>
          <w:szCs w:val="28"/>
        </w:rPr>
        <w:t>1980</w:t>
      </w:r>
      <w:r>
        <w:rPr>
          <w:rFonts w:hAnsi="宋体"/>
          <w:sz w:val="28"/>
          <w:szCs w:val="28"/>
        </w:rPr>
        <w:t>年四川省地质局</w:t>
      </w:r>
      <w:r>
        <w:rPr>
          <w:sz w:val="28"/>
          <w:szCs w:val="28"/>
        </w:rPr>
        <w:t>107</w:t>
      </w:r>
      <w:r>
        <w:rPr>
          <w:rFonts w:hAnsi="宋体"/>
          <w:sz w:val="28"/>
          <w:szCs w:val="28"/>
        </w:rPr>
        <w:t>地质队区测二分队实测并编制</w:t>
      </w:r>
      <w:r>
        <w:rPr>
          <w:sz w:val="28"/>
          <w:szCs w:val="28"/>
        </w:rPr>
        <w:t>1:20</w:t>
      </w:r>
      <w:r>
        <w:rPr>
          <w:rFonts w:hAnsi="宋体"/>
          <w:sz w:val="28"/>
          <w:szCs w:val="28"/>
        </w:rPr>
        <w:t>万《中华人民共和国地质图》达县幅。</w:t>
      </w:r>
    </w:p>
    <w:p>
      <w:pPr>
        <w:spacing w:line="580" w:lineRule="exact"/>
        <w:ind w:firstLine="645"/>
        <w:rPr>
          <w:rFonts w:hint="eastAsia"/>
          <w:sz w:val="28"/>
          <w:szCs w:val="28"/>
        </w:rPr>
      </w:pPr>
      <w:r>
        <w:rPr>
          <w:rFonts w:hint="eastAsia" w:hAnsi="宋体"/>
          <w:sz w:val="28"/>
          <w:szCs w:val="28"/>
        </w:rPr>
        <w:t>2. 1980年四川省地质局水文地质工程地质大队测制的《</w:t>
      </w:r>
      <w:r>
        <w:rPr>
          <w:rFonts w:hAnsi="宋体"/>
          <w:sz w:val="28"/>
          <w:szCs w:val="28"/>
        </w:rPr>
        <w:t>中华人民共和国</w:t>
      </w:r>
      <w:r>
        <w:rPr>
          <w:rFonts w:hint="eastAsia" w:hAnsi="宋体"/>
          <w:sz w:val="28"/>
          <w:szCs w:val="28"/>
        </w:rPr>
        <w:t>综合水文</w:t>
      </w:r>
      <w:r>
        <w:rPr>
          <w:rFonts w:hAnsi="宋体"/>
          <w:sz w:val="28"/>
          <w:szCs w:val="28"/>
        </w:rPr>
        <w:t>地质图</w:t>
      </w:r>
      <w:r>
        <w:rPr>
          <w:rFonts w:hint="eastAsia" w:hAnsi="宋体"/>
          <w:sz w:val="28"/>
          <w:szCs w:val="28"/>
        </w:rPr>
        <w:t>》达县幅。</w:t>
      </w:r>
    </w:p>
    <w:p>
      <w:pPr>
        <w:ind w:firstLine="560" w:firstLineChars="200"/>
        <w:rPr>
          <w:color w:val="000000"/>
          <w:sz w:val="28"/>
          <w:szCs w:val="28"/>
        </w:rPr>
      </w:pPr>
      <w:r>
        <w:rPr>
          <w:rFonts w:hint="eastAsia"/>
          <w:sz w:val="28"/>
          <w:szCs w:val="28"/>
        </w:rPr>
        <w:t>3</w:t>
      </w:r>
      <w:r>
        <w:rPr>
          <w:sz w:val="28"/>
          <w:szCs w:val="28"/>
        </w:rPr>
        <w:t>. 1984</w:t>
      </w:r>
      <w:r>
        <w:rPr>
          <w:rFonts w:hAnsi="宋体"/>
          <w:sz w:val="28"/>
          <w:szCs w:val="28"/>
        </w:rPr>
        <w:t>年四川省测绘局使用航空摄影和调绘编制有</w:t>
      </w:r>
      <w:r>
        <w:rPr>
          <w:sz w:val="28"/>
          <w:szCs w:val="28"/>
        </w:rPr>
        <w:t>1:10000</w:t>
      </w:r>
      <w:r>
        <w:rPr>
          <w:rFonts w:hAnsi="宋体"/>
          <w:sz w:val="28"/>
          <w:szCs w:val="28"/>
        </w:rPr>
        <w:t>地形图。</w:t>
      </w:r>
    </w:p>
    <w:p>
      <w:pPr>
        <w:spacing w:line="360" w:lineRule="auto"/>
        <w:ind w:firstLine="560" w:firstLineChars="200"/>
      </w:pPr>
      <w:r>
        <w:rPr>
          <w:rFonts w:hAnsi="宋体"/>
          <w:color w:val="000000"/>
          <w:sz w:val="28"/>
          <w:szCs w:val="28"/>
        </w:rPr>
        <w:t>上述工作，较全面的反映了区内地层、岩石、构造及矿产情况，较系统的建立了区内地层层序，揭露了该区域水文地质特征，圈定了区内不良地质现象分布，为本次工作提供了珍贵的基础地质资料。</w:t>
      </w:r>
    </w:p>
    <w:p>
      <w:pPr>
        <w:pStyle w:val="3"/>
        <w:spacing w:before="0" w:after="0" w:line="240" w:lineRule="auto"/>
        <w:rPr>
          <w:rFonts w:ascii="Times New Roman" w:hAnsi="Times New Roman" w:eastAsia="宋体"/>
          <w:sz w:val="30"/>
        </w:rPr>
      </w:pPr>
      <w:bookmarkStart w:id="14" w:name="_Toc5715"/>
      <w:bookmarkStart w:id="15" w:name="_Toc59802134"/>
      <w:r>
        <w:rPr>
          <w:rFonts w:ascii="Times New Roman" w:hAnsi="Times New Roman" w:eastAsia="宋体"/>
          <w:sz w:val="30"/>
        </w:rPr>
        <w:t>1.7 本次工作情况</w:t>
      </w:r>
      <w:bookmarkEnd w:id="14"/>
      <w:bookmarkEnd w:id="15"/>
    </w:p>
    <w:p>
      <w:pPr>
        <w:pStyle w:val="9"/>
        <w:spacing w:line="240" w:lineRule="auto"/>
        <w:ind w:firstLine="573"/>
        <w:rPr>
          <w:spacing w:val="-4"/>
          <w:szCs w:val="28"/>
        </w:rPr>
      </w:pPr>
      <w:r>
        <w:rPr>
          <w:rFonts w:hAnsi="宋体"/>
          <w:spacing w:val="-4"/>
          <w:szCs w:val="28"/>
          <w:lang w:val="zh-CN"/>
        </w:rPr>
        <w:t>川联勘公司受委托后，</w:t>
      </w:r>
      <w:r>
        <w:rPr>
          <w:rFonts w:hint="eastAsia" w:hAnsi="宋体"/>
          <w:spacing w:val="-4"/>
          <w:szCs w:val="28"/>
          <w:lang w:val="zh-CN"/>
        </w:rPr>
        <w:t>在广泛收集了前人在该区的地质勘查成果的基础上，采用实地调查和资料收集整理相结合的工作方法，</w:t>
      </w:r>
      <w:r>
        <w:rPr>
          <w:rFonts w:hAnsi="宋体"/>
          <w:spacing w:val="-4"/>
          <w:szCs w:val="28"/>
          <w:lang w:val="zh-CN"/>
        </w:rPr>
        <w:t>于</w:t>
      </w:r>
      <w:r>
        <w:rPr>
          <w:spacing w:val="-4"/>
          <w:szCs w:val="28"/>
        </w:rPr>
        <w:t>2020</w:t>
      </w:r>
      <w:r>
        <w:rPr>
          <w:rFonts w:hAnsi="宋体"/>
          <w:spacing w:val="-4"/>
          <w:szCs w:val="28"/>
        </w:rPr>
        <w:t>年</w:t>
      </w:r>
      <w:r>
        <w:rPr>
          <w:spacing w:val="-4"/>
          <w:szCs w:val="28"/>
        </w:rPr>
        <w:t>12</w:t>
      </w:r>
      <w:r>
        <w:rPr>
          <w:rFonts w:hAnsi="宋体"/>
          <w:spacing w:val="-4"/>
          <w:szCs w:val="28"/>
        </w:rPr>
        <w:t>月</w:t>
      </w:r>
      <w:r>
        <w:rPr>
          <w:spacing w:val="-4"/>
          <w:szCs w:val="28"/>
        </w:rPr>
        <w:t>17</w:t>
      </w:r>
      <w:r>
        <w:rPr>
          <w:rFonts w:hAnsi="宋体"/>
          <w:spacing w:val="-4"/>
          <w:szCs w:val="28"/>
        </w:rPr>
        <w:t>～</w:t>
      </w:r>
      <w:r>
        <w:rPr>
          <w:spacing w:val="-4"/>
          <w:szCs w:val="28"/>
        </w:rPr>
        <w:t>25</w:t>
      </w:r>
      <w:r>
        <w:rPr>
          <w:rFonts w:hAnsi="宋体"/>
          <w:spacing w:val="-4"/>
          <w:szCs w:val="28"/>
        </w:rPr>
        <w:t>日组织工程技术人员</w:t>
      </w:r>
      <w:r>
        <w:rPr>
          <w:rFonts w:hAnsi="宋体"/>
          <w:spacing w:val="-4"/>
          <w:szCs w:val="28"/>
          <w:lang w:val="zh-CN"/>
        </w:rPr>
        <w:t>赴矿区进行了野外实测及相关资料的收集工作，野外地质工作以</w:t>
      </w:r>
      <w:r>
        <w:rPr>
          <w:spacing w:val="-4"/>
          <w:szCs w:val="28"/>
        </w:rPr>
        <w:t>1:10000</w:t>
      </w:r>
      <w:r>
        <w:rPr>
          <w:rFonts w:hAnsi="宋体"/>
          <w:spacing w:val="-4"/>
          <w:szCs w:val="28"/>
        </w:rPr>
        <w:t>地形图为工作底图，各类</w:t>
      </w:r>
      <w:r>
        <w:rPr>
          <w:rFonts w:hAnsi="宋体"/>
          <w:spacing w:val="-4"/>
          <w:szCs w:val="28"/>
          <w:lang w:val="zh-CN"/>
        </w:rPr>
        <w:t>地质点采用</w:t>
      </w:r>
      <w:r>
        <w:rPr>
          <w:spacing w:val="-4"/>
          <w:szCs w:val="28"/>
          <w:lang w:val="zh-CN"/>
        </w:rPr>
        <w:t>GPS</w:t>
      </w:r>
      <w:r>
        <w:rPr>
          <w:rFonts w:hAnsi="宋体"/>
          <w:spacing w:val="-4"/>
          <w:szCs w:val="28"/>
          <w:lang w:val="zh-CN"/>
        </w:rPr>
        <w:t>仪和地质罗盘进行实地测量，</w:t>
      </w:r>
      <w:r>
        <w:rPr>
          <w:rFonts w:hAnsi="宋体"/>
          <w:spacing w:val="-4"/>
          <w:szCs w:val="28"/>
        </w:rPr>
        <w:t>之后转入室内资料的整理</w:t>
      </w:r>
      <w:r>
        <w:rPr>
          <w:rFonts w:hAnsi="宋体"/>
          <w:spacing w:val="-4"/>
          <w:szCs w:val="28"/>
          <w:lang w:val="zh-CN"/>
        </w:rPr>
        <w:t>，经分析研究后</w:t>
      </w:r>
      <w:r>
        <w:rPr>
          <w:rFonts w:hint="eastAsia" w:hAnsi="宋体"/>
          <w:spacing w:val="-4"/>
          <w:szCs w:val="28"/>
          <w:lang w:val="zh-CN"/>
        </w:rPr>
        <w:t>，基本了解了矿体特征、矿石质量。工作中严格按照《高岭土、膨润土、耐火粘土矿产地质勘查规范》和《矿产工业要求参考手册》进行，</w:t>
      </w:r>
      <w:r>
        <w:rPr>
          <w:rFonts w:hAnsi="宋体"/>
          <w:spacing w:val="-4"/>
          <w:szCs w:val="28"/>
          <w:lang w:val="zh-CN"/>
        </w:rPr>
        <w:t>于</w:t>
      </w:r>
      <w:r>
        <w:rPr>
          <w:spacing w:val="-4"/>
          <w:szCs w:val="28"/>
        </w:rPr>
        <w:t>20</w:t>
      </w:r>
      <w:r>
        <w:rPr>
          <w:rFonts w:hint="eastAsia"/>
          <w:spacing w:val="-4"/>
          <w:szCs w:val="28"/>
        </w:rPr>
        <w:t>21</w:t>
      </w:r>
      <w:r>
        <w:rPr>
          <w:rFonts w:hAnsi="宋体"/>
          <w:spacing w:val="-4"/>
          <w:szCs w:val="28"/>
        </w:rPr>
        <w:t>年</w:t>
      </w:r>
      <w:r>
        <w:rPr>
          <w:spacing w:val="-4"/>
          <w:szCs w:val="28"/>
        </w:rPr>
        <w:t>1</w:t>
      </w:r>
      <w:r>
        <w:rPr>
          <w:rFonts w:hAnsi="宋体"/>
          <w:spacing w:val="-4"/>
          <w:szCs w:val="28"/>
        </w:rPr>
        <w:t>月</w:t>
      </w:r>
      <w:r>
        <w:rPr>
          <w:rFonts w:hint="eastAsia"/>
          <w:spacing w:val="-4"/>
          <w:szCs w:val="28"/>
        </w:rPr>
        <w:t>1</w:t>
      </w:r>
      <w:r>
        <w:rPr>
          <w:spacing w:val="-4"/>
          <w:szCs w:val="28"/>
        </w:rPr>
        <w:t>0</w:t>
      </w:r>
      <w:r>
        <w:rPr>
          <w:rFonts w:hAnsi="宋体"/>
          <w:spacing w:val="-4"/>
          <w:szCs w:val="28"/>
        </w:rPr>
        <w:t>日编制提交《达州市达川区</w:t>
      </w:r>
      <w:r>
        <w:rPr>
          <w:rFonts w:hint="eastAsia" w:hAnsi="宋体"/>
          <w:spacing w:val="-4"/>
          <w:szCs w:val="28"/>
        </w:rPr>
        <w:t>石桥</w:t>
      </w:r>
      <w:r>
        <w:rPr>
          <w:rFonts w:hAnsi="宋体"/>
          <w:spacing w:val="-4"/>
          <w:szCs w:val="28"/>
        </w:rPr>
        <w:t>镇</w:t>
      </w:r>
      <w:r>
        <w:rPr>
          <w:rFonts w:hint="eastAsia" w:hAnsi="宋体"/>
          <w:spacing w:val="-4"/>
          <w:szCs w:val="28"/>
        </w:rPr>
        <w:t>麻油沟</w:t>
      </w:r>
      <w:r>
        <w:rPr>
          <w:rFonts w:hAnsi="宋体"/>
          <w:spacing w:val="-4"/>
          <w:szCs w:val="28"/>
        </w:rPr>
        <w:t>村</w:t>
      </w:r>
      <w:r>
        <w:rPr>
          <w:rFonts w:hint="eastAsia" w:hAnsi="宋体"/>
          <w:spacing w:val="-4"/>
          <w:szCs w:val="28"/>
        </w:rPr>
        <w:t>小儿坡页</w:t>
      </w:r>
      <w:r>
        <w:rPr>
          <w:rFonts w:hAnsi="宋体"/>
          <w:spacing w:val="-4"/>
          <w:szCs w:val="28"/>
        </w:rPr>
        <w:t>岩矿资源量核实报告》。</w:t>
      </w:r>
    </w:p>
    <w:p>
      <w:pPr>
        <w:pStyle w:val="9"/>
        <w:spacing w:line="240" w:lineRule="auto"/>
        <w:ind w:firstLine="0"/>
        <w:rPr>
          <w:b/>
          <w:lang w:val="zh-CN"/>
        </w:rPr>
      </w:pPr>
      <w:r>
        <w:rPr>
          <w:b/>
        </w:rPr>
        <w:t>1.7.1</w:t>
      </w:r>
      <w:r>
        <w:rPr>
          <w:b/>
          <w:lang w:val="zh-CN"/>
        </w:rPr>
        <w:t>完成的主要工作量</w:t>
      </w:r>
    </w:p>
    <w:p>
      <w:pPr>
        <w:pStyle w:val="9"/>
        <w:spacing w:line="240" w:lineRule="auto"/>
        <w:ind w:firstLine="573"/>
        <w:textAlignment w:val="baseline"/>
        <w:rPr>
          <w:rFonts w:hint="eastAsia" w:hAnsi="宋体"/>
        </w:rPr>
      </w:pPr>
      <w:r>
        <w:rPr>
          <w:rFonts w:hAnsi="宋体"/>
          <w:lang w:val="zh-CN"/>
        </w:rPr>
        <w:t>本次核实完成工作量见插表</w:t>
      </w:r>
      <w:r>
        <w:t>2</w:t>
      </w:r>
      <w:r>
        <w:rPr>
          <w:rFonts w:hAnsi="宋体"/>
        </w:rPr>
        <w:t>。</w:t>
      </w:r>
    </w:p>
    <w:p>
      <w:pPr>
        <w:spacing w:line="0" w:lineRule="atLeast"/>
        <w:jc w:val="center"/>
        <w:rPr>
          <w:rFonts w:ascii="宋体" w:hAnsi="宋体"/>
          <w:b/>
          <w:sz w:val="28"/>
          <w:szCs w:val="28"/>
        </w:rPr>
      </w:pPr>
      <w:r>
        <w:rPr>
          <w:rFonts w:ascii="宋体" w:hAnsi="宋体"/>
          <w:b/>
          <w:sz w:val="28"/>
          <w:szCs w:val="28"/>
        </w:rPr>
        <w:t>完成工作量统计表</w:t>
      </w:r>
    </w:p>
    <w:p>
      <w:pPr>
        <w:spacing w:line="0" w:lineRule="atLeast"/>
        <w:jc w:val="right"/>
        <w:rPr>
          <w:b/>
          <w:sz w:val="24"/>
        </w:rPr>
      </w:pPr>
      <w:r>
        <w:rPr>
          <w:b/>
          <w:sz w:val="24"/>
        </w:rPr>
        <w:t xml:space="preserve">                     </w:t>
      </w:r>
      <w:r>
        <w:rPr>
          <w:rFonts w:hAnsi="宋体"/>
          <w:bCs/>
          <w:sz w:val="24"/>
        </w:rPr>
        <w:t>插表</w:t>
      </w:r>
      <w:r>
        <w:rPr>
          <w:bCs/>
          <w:sz w:val="24"/>
        </w:rPr>
        <w:t>2</w:t>
      </w:r>
    </w:p>
    <w:tbl>
      <w:tblPr>
        <w:tblStyle w:val="1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2"/>
        <w:gridCol w:w="2982"/>
        <w:gridCol w:w="929"/>
        <w:gridCol w:w="1067"/>
        <w:gridCol w:w="32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91" w:type="pct"/>
            <w:gridSpan w:val="2"/>
            <w:noWrap w:val="0"/>
            <w:vAlign w:val="center"/>
          </w:tcPr>
          <w:p>
            <w:pPr>
              <w:spacing w:line="0" w:lineRule="atLeast"/>
              <w:jc w:val="center"/>
              <w:rPr>
                <w:sz w:val="24"/>
              </w:rPr>
            </w:pPr>
            <w:r>
              <w:rPr>
                <w:rFonts w:hAnsi="宋体"/>
                <w:sz w:val="24"/>
              </w:rPr>
              <w:t>项</w:t>
            </w:r>
            <w:r>
              <w:rPr>
                <w:sz w:val="24"/>
              </w:rPr>
              <w:t xml:space="preserve">   </w:t>
            </w:r>
            <w:r>
              <w:rPr>
                <w:rFonts w:hAnsi="宋体"/>
                <w:sz w:val="24"/>
              </w:rPr>
              <w:t>目</w:t>
            </w:r>
          </w:p>
        </w:tc>
        <w:tc>
          <w:tcPr>
            <w:tcW w:w="515" w:type="pct"/>
            <w:noWrap w:val="0"/>
            <w:vAlign w:val="center"/>
          </w:tcPr>
          <w:p>
            <w:pPr>
              <w:spacing w:line="0" w:lineRule="atLeast"/>
              <w:jc w:val="center"/>
              <w:rPr>
                <w:sz w:val="24"/>
              </w:rPr>
            </w:pPr>
            <w:r>
              <w:rPr>
                <w:rFonts w:hAnsi="宋体"/>
                <w:sz w:val="24"/>
              </w:rPr>
              <w:t>单</w:t>
            </w:r>
            <w:r>
              <w:rPr>
                <w:sz w:val="24"/>
              </w:rPr>
              <w:t xml:space="preserve"> </w:t>
            </w:r>
            <w:r>
              <w:rPr>
                <w:rFonts w:hAnsi="宋体"/>
                <w:sz w:val="24"/>
              </w:rPr>
              <w:t>位</w:t>
            </w:r>
          </w:p>
        </w:tc>
        <w:tc>
          <w:tcPr>
            <w:tcW w:w="591" w:type="pct"/>
            <w:noWrap w:val="0"/>
            <w:vAlign w:val="center"/>
          </w:tcPr>
          <w:p>
            <w:pPr>
              <w:spacing w:line="0" w:lineRule="atLeast"/>
              <w:jc w:val="center"/>
              <w:rPr>
                <w:sz w:val="24"/>
              </w:rPr>
            </w:pPr>
            <w:r>
              <w:rPr>
                <w:rFonts w:hAnsi="宋体"/>
                <w:sz w:val="24"/>
              </w:rPr>
              <w:t>工作量</w:t>
            </w:r>
          </w:p>
        </w:tc>
        <w:tc>
          <w:tcPr>
            <w:tcW w:w="1803" w:type="pct"/>
            <w:noWrap w:val="0"/>
            <w:vAlign w:val="center"/>
          </w:tcPr>
          <w:p>
            <w:pPr>
              <w:spacing w:line="0" w:lineRule="atLeast"/>
              <w:jc w:val="center"/>
              <w:rPr>
                <w:sz w:val="24"/>
              </w:rPr>
            </w:pPr>
            <w:r>
              <w:rPr>
                <w:rFonts w:hAnsi="宋体"/>
                <w:sz w:val="24"/>
              </w:rPr>
              <w:t>备</w:t>
            </w:r>
            <w:r>
              <w:rPr>
                <w:sz w:val="24"/>
              </w:rPr>
              <w:t xml:space="preserve">   </w:t>
            </w:r>
            <w:r>
              <w:rPr>
                <w:rFonts w:hAnsi="宋体"/>
                <w:sz w:val="24"/>
              </w:rPr>
              <w:t>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39" w:type="pct"/>
            <w:vMerge w:val="restart"/>
            <w:noWrap w:val="0"/>
            <w:vAlign w:val="center"/>
          </w:tcPr>
          <w:p>
            <w:pPr>
              <w:spacing w:line="360" w:lineRule="exact"/>
              <w:jc w:val="center"/>
              <w:rPr>
                <w:sz w:val="24"/>
              </w:rPr>
            </w:pPr>
            <w:r>
              <w:rPr>
                <w:rFonts w:hAnsi="宋体"/>
                <w:sz w:val="24"/>
              </w:rPr>
              <w:t>测量</w:t>
            </w:r>
          </w:p>
        </w:tc>
        <w:tc>
          <w:tcPr>
            <w:tcW w:w="1652" w:type="pct"/>
            <w:noWrap w:val="0"/>
            <w:vAlign w:val="center"/>
          </w:tcPr>
          <w:p>
            <w:pPr>
              <w:spacing w:line="0" w:lineRule="atLeast"/>
              <w:rPr>
                <w:sz w:val="24"/>
              </w:rPr>
            </w:pPr>
            <w:r>
              <w:rPr>
                <w:rFonts w:hAnsi="宋体"/>
                <w:sz w:val="24"/>
              </w:rPr>
              <w:t>地质点测量</w:t>
            </w:r>
          </w:p>
        </w:tc>
        <w:tc>
          <w:tcPr>
            <w:tcW w:w="515" w:type="pct"/>
            <w:noWrap w:val="0"/>
            <w:vAlign w:val="center"/>
          </w:tcPr>
          <w:p>
            <w:pPr>
              <w:spacing w:line="0" w:lineRule="atLeast"/>
              <w:jc w:val="center"/>
              <w:rPr>
                <w:sz w:val="24"/>
              </w:rPr>
            </w:pPr>
            <w:r>
              <w:rPr>
                <w:rFonts w:hAnsi="宋体"/>
                <w:sz w:val="24"/>
              </w:rPr>
              <w:t>点</w:t>
            </w:r>
          </w:p>
        </w:tc>
        <w:tc>
          <w:tcPr>
            <w:tcW w:w="591" w:type="pct"/>
            <w:noWrap w:val="0"/>
            <w:vAlign w:val="center"/>
          </w:tcPr>
          <w:p>
            <w:pPr>
              <w:spacing w:line="0" w:lineRule="atLeast"/>
              <w:jc w:val="center"/>
              <w:rPr>
                <w:rFonts w:hint="eastAsia"/>
                <w:sz w:val="24"/>
              </w:rPr>
            </w:pPr>
            <w:r>
              <w:rPr>
                <w:rFonts w:hint="eastAsia"/>
                <w:sz w:val="24"/>
              </w:rPr>
              <w:t>2</w:t>
            </w:r>
          </w:p>
        </w:tc>
        <w:tc>
          <w:tcPr>
            <w:tcW w:w="1803" w:type="pct"/>
            <w:noWrap w:val="0"/>
            <w:vAlign w:val="center"/>
          </w:tcPr>
          <w:p>
            <w:pPr>
              <w:spacing w:line="0" w:lineRule="atLeast"/>
              <w:jc w:val="center"/>
              <w:rPr>
                <w:sz w:val="24"/>
              </w:rPr>
            </w:pPr>
            <w:r>
              <w:rPr>
                <w:rFonts w:hAnsi="宋体"/>
                <w:sz w:val="24"/>
              </w:rPr>
              <w:t>产状点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39" w:type="pct"/>
            <w:vMerge w:val="continue"/>
            <w:noWrap w:val="0"/>
            <w:vAlign w:val="center"/>
          </w:tcPr>
          <w:p>
            <w:pPr>
              <w:spacing w:line="360" w:lineRule="exact"/>
              <w:jc w:val="center"/>
              <w:rPr>
                <w:sz w:val="24"/>
              </w:rPr>
            </w:pPr>
          </w:p>
        </w:tc>
        <w:tc>
          <w:tcPr>
            <w:tcW w:w="1652" w:type="pct"/>
            <w:noWrap w:val="0"/>
            <w:vAlign w:val="center"/>
          </w:tcPr>
          <w:p>
            <w:pPr>
              <w:spacing w:line="0" w:lineRule="atLeast"/>
              <w:rPr>
                <w:sz w:val="24"/>
              </w:rPr>
            </w:pPr>
            <w:r>
              <w:rPr>
                <w:rFonts w:hAnsi="宋体"/>
                <w:sz w:val="24"/>
              </w:rPr>
              <w:t>地质断面测量</w:t>
            </w:r>
          </w:p>
        </w:tc>
        <w:tc>
          <w:tcPr>
            <w:tcW w:w="515" w:type="pct"/>
            <w:noWrap w:val="0"/>
            <w:vAlign w:val="center"/>
          </w:tcPr>
          <w:p>
            <w:pPr>
              <w:spacing w:line="0" w:lineRule="atLeast"/>
              <w:jc w:val="center"/>
              <w:rPr>
                <w:sz w:val="24"/>
              </w:rPr>
            </w:pPr>
            <w:r>
              <w:rPr>
                <w:rFonts w:hAnsi="宋体"/>
                <w:sz w:val="24"/>
              </w:rPr>
              <w:t>条</w:t>
            </w:r>
          </w:p>
        </w:tc>
        <w:tc>
          <w:tcPr>
            <w:tcW w:w="591" w:type="pct"/>
            <w:noWrap w:val="0"/>
            <w:vAlign w:val="center"/>
          </w:tcPr>
          <w:p>
            <w:pPr>
              <w:spacing w:line="0" w:lineRule="atLeast"/>
              <w:jc w:val="center"/>
              <w:rPr>
                <w:rFonts w:hint="eastAsia"/>
                <w:sz w:val="24"/>
              </w:rPr>
            </w:pPr>
            <w:r>
              <w:rPr>
                <w:rFonts w:hint="eastAsia"/>
                <w:sz w:val="24"/>
              </w:rPr>
              <w:t>3</w:t>
            </w:r>
          </w:p>
        </w:tc>
        <w:tc>
          <w:tcPr>
            <w:tcW w:w="1803" w:type="pct"/>
            <w:noWrap w:val="0"/>
            <w:vAlign w:val="center"/>
          </w:tcPr>
          <w:p>
            <w:pPr>
              <w:spacing w:line="0" w:lineRule="atLeast"/>
              <w:jc w:val="center"/>
              <w:rPr>
                <w:sz w:val="24"/>
              </w:rPr>
            </w:pPr>
            <w:r>
              <w:rPr>
                <w:rFonts w:hAnsi="宋体"/>
                <w:sz w:val="24"/>
              </w:rPr>
              <w:t>手持</w:t>
            </w:r>
            <w:r>
              <w:rPr>
                <w:sz w:val="24"/>
              </w:rPr>
              <w:t>GPS</w:t>
            </w:r>
            <w:r>
              <w:rPr>
                <w:rFonts w:hAnsi="宋体"/>
                <w:sz w:val="24"/>
              </w:rPr>
              <w:t>加地质罗盘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39" w:type="pct"/>
            <w:vMerge w:val="restart"/>
            <w:noWrap w:val="0"/>
            <w:vAlign w:val="center"/>
          </w:tcPr>
          <w:p>
            <w:pPr>
              <w:spacing w:line="360" w:lineRule="exact"/>
              <w:jc w:val="center"/>
              <w:rPr>
                <w:sz w:val="24"/>
              </w:rPr>
            </w:pPr>
            <w:r>
              <w:rPr>
                <w:rFonts w:hAnsi="宋体"/>
                <w:sz w:val="24"/>
              </w:rPr>
              <w:t>资料</w:t>
            </w:r>
          </w:p>
          <w:p>
            <w:pPr>
              <w:spacing w:line="360" w:lineRule="exact"/>
              <w:jc w:val="center"/>
              <w:rPr>
                <w:sz w:val="24"/>
              </w:rPr>
            </w:pPr>
            <w:r>
              <w:rPr>
                <w:rFonts w:hAnsi="宋体"/>
                <w:sz w:val="24"/>
              </w:rPr>
              <w:t>收集</w:t>
            </w:r>
          </w:p>
        </w:tc>
        <w:tc>
          <w:tcPr>
            <w:tcW w:w="1652" w:type="pct"/>
            <w:noWrap w:val="0"/>
            <w:vAlign w:val="center"/>
          </w:tcPr>
          <w:p>
            <w:pPr>
              <w:spacing w:line="0" w:lineRule="atLeast"/>
              <w:rPr>
                <w:rFonts w:hint="eastAsia"/>
                <w:sz w:val="24"/>
              </w:rPr>
            </w:pPr>
            <w:r>
              <w:rPr>
                <w:rFonts w:hint="eastAsia" w:hAnsi="宋体"/>
                <w:sz w:val="24"/>
              </w:rPr>
              <w:t>地形图</w:t>
            </w:r>
          </w:p>
        </w:tc>
        <w:tc>
          <w:tcPr>
            <w:tcW w:w="515" w:type="pct"/>
            <w:noWrap w:val="0"/>
            <w:vAlign w:val="center"/>
          </w:tcPr>
          <w:p>
            <w:pPr>
              <w:spacing w:line="0" w:lineRule="atLeast"/>
              <w:jc w:val="center"/>
              <w:rPr>
                <w:rFonts w:hint="eastAsia"/>
                <w:sz w:val="24"/>
              </w:rPr>
            </w:pPr>
            <w:r>
              <w:rPr>
                <w:rFonts w:hint="eastAsia" w:hAnsi="宋体"/>
                <w:sz w:val="24"/>
              </w:rPr>
              <w:t>幅</w:t>
            </w:r>
          </w:p>
        </w:tc>
        <w:tc>
          <w:tcPr>
            <w:tcW w:w="591" w:type="pct"/>
            <w:noWrap w:val="0"/>
            <w:vAlign w:val="center"/>
          </w:tcPr>
          <w:p>
            <w:pPr>
              <w:spacing w:line="0" w:lineRule="atLeast"/>
              <w:jc w:val="center"/>
              <w:rPr>
                <w:rFonts w:hint="eastAsia"/>
                <w:sz w:val="24"/>
              </w:rPr>
            </w:pPr>
            <w:r>
              <w:rPr>
                <w:rFonts w:hint="eastAsia"/>
                <w:sz w:val="24"/>
              </w:rPr>
              <w:t>1</w:t>
            </w:r>
          </w:p>
        </w:tc>
        <w:tc>
          <w:tcPr>
            <w:tcW w:w="1803" w:type="pct"/>
            <w:noWrap w:val="0"/>
            <w:vAlign w:val="center"/>
          </w:tcPr>
          <w:p>
            <w:pPr>
              <w:spacing w:line="0" w:lineRule="atLeast"/>
              <w:jc w:val="center"/>
              <w:rPr>
                <w:rFonts w:hint="eastAsia"/>
                <w:sz w:val="24"/>
              </w:rPr>
            </w:pPr>
            <w:r>
              <w:rPr>
                <w:rFonts w:hint="eastAsia" w:hAnsi="宋体"/>
                <w:sz w:val="24"/>
              </w:rPr>
              <w:t>1:1万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39" w:type="pct"/>
            <w:vMerge w:val="continue"/>
            <w:noWrap w:val="0"/>
            <w:vAlign w:val="center"/>
          </w:tcPr>
          <w:p>
            <w:pPr>
              <w:spacing w:line="360" w:lineRule="exact"/>
              <w:jc w:val="center"/>
              <w:rPr>
                <w:sz w:val="24"/>
              </w:rPr>
            </w:pPr>
          </w:p>
        </w:tc>
        <w:tc>
          <w:tcPr>
            <w:tcW w:w="1652" w:type="pct"/>
            <w:noWrap w:val="0"/>
            <w:vAlign w:val="center"/>
          </w:tcPr>
          <w:p>
            <w:pPr>
              <w:spacing w:line="0" w:lineRule="atLeast"/>
              <w:rPr>
                <w:sz w:val="24"/>
              </w:rPr>
            </w:pPr>
            <w:r>
              <w:rPr>
                <w:rFonts w:hAnsi="宋体"/>
                <w:sz w:val="24"/>
              </w:rPr>
              <w:t>区域地质图</w:t>
            </w:r>
          </w:p>
        </w:tc>
        <w:tc>
          <w:tcPr>
            <w:tcW w:w="515" w:type="pct"/>
            <w:noWrap w:val="0"/>
            <w:vAlign w:val="center"/>
          </w:tcPr>
          <w:p>
            <w:pPr>
              <w:spacing w:line="0" w:lineRule="atLeast"/>
              <w:jc w:val="center"/>
              <w:rPr>
                <w:sz w:val="24"/>
              </w:rPr>
            </w:pPr>
            <w:r>
              <w:rPr>
                <w:rFonts w:hAnsi="宋体"/>
                <w:sz w:val="24"/>
              </w:rPr>
              <w:t>幅</w:t>
            </w:r>
          </w:p>
        </w:tc>
        <w:tc>
          <w:tcPr>
            <w:tcW w:w="591" w:type="pct"/>
            <w:noWrap w:val="0"/>
            <w:vAlign w:val="center"/>
          </w:tcPr>
          <w:p>
            <w:pPr>
              <w:spacing w:line="0" w:lineRule="atLeast"/>
              <w:jc w:val="center"/>
              <w:rPr>
                <w:sz w:val="24"/>
              </w:rPr>
            </w:pPr>
            <w:r>
              <w:rPr>
                <w:sz w:val="24"/>
              </w:rPr>
              <w:t>1</w:t>
            </w:r>
          </w:p>
        </w:tc>
        <w:tc>
          <w:tcPr>
            <w:tcW w:w="1803" w:type="pct"/>
            <w:noWrap w:val="0"/>
            <w:vAlign w:val="center"/>
          </w:tcPr>
          <w:p>
            <w:pPr>
              <w:spacing w:line="0" w:lineRule="atLeast"/>
              <w:jc w:val="center"/>
              <w:rPr>
                <w:sz w:val="24"/>
              </w:rPr>
            </w:pPr>
            <w:r>
              <w:rPr>
                <w:sz w:val="24"/>
              </w:rPr>
              <w:t>1:20</w:t>
            </w:r>
            <w:r>
              <w:rPr>
                <w:rFonts w:hAnsi="宋体"/>
                <w:sz w:val="24"/>
              </w:rPr>
              <w:t>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39" w:type="pct"/>
            <w:vMerge w:val="continue"/>
            <w:noWrap w:val="0"/>
            <w:vAlign w:val="center"/>
          </w:tcPr>
          <w:p>
            <w:pPr>
              <w:spacing w:line="360" w:lineRule="exact"/>
              <w:jc w:val="center"/>
              <w:rPr>
                <w:sz w:val="24"/>
              </w:rPr>
            </w:pPr>
          </w:p>
        </w:tc>
        <w:tc>
          <w:tcPr>
            <w:tcW w:w="1652" w:type="pct"/>
            <w:noWrap w:val="0"/>
            <w:vAlign w:val="center"/>
          </w:tcPr>
          <w:p>
            <w:pPr>
              <w:spacing w:line="0" w:lineRule="atLeast"/>
              <w:rPr>
                <w:rFonts w:hint="eastAsia" w:hAnsi="宋体"/>
                <w:sz w:val="24"/>
              </w:rPr>
            </w:pPr>
            <w:r>
              <w:rPr>
                <w:rFonts w:hint="eastAsia" w:hAnsi="宋体"/>
                <w:sz w:val="24"/>
              </w:rPr>
              <w:t>区域水文地质图</w:t>
            </w:r>
          </w:p>
        </w:tc>
        <w:tc>
          <w:tcPr>
            <w:tcW w:w="515" w:type="pct"/>
            <w:noWrap w:val="0"/>
            <w:vAlign w:val="center"/>
          </w:tcPr>
          <w:p>
            <w:pPr>
              <w:spacing w:line="0" w:lineRule="atLeast"/>
              <w:jc w:val="center"/>
              <w:rPr>
                <w:rFonts w:hint="eastAsia" w:hAnsi="宋体"/>
                <w:sz w:val="24"/>
              </w:rPr>
            </w:pPr>
            <w:r>
              <w:rPr>
                <w:rFonts w:hint="eastAsia" w:hAnsi="宋体"/>
                <w:sz w:val="24"/>
              </w:rPr>
              <w:t>幅</w:t>
            </w:r>
          </w:p>
        </w:tc>
        <w:tc>
          <w:tcPr>
            <w:tcW w:w="591" w:type="pct"/>
            <w:noWrap w:val="0"/>
            <w:vAlign w:val="center"/>
          </w:tcPr>
          <w:p>
            <w:pPr>
              <w:spacing w:line="0" w:lineRule="atLeast"/>
              <w:jc w:val="center"/>
              <w:rPr>
                <w:rFonts w:hint="eastAsia"/>
                <w:sz w:val="24"/>
              </w:rPr>
            </w:pPr>
            <w:r>
              <w:rPr>
                <w:rFonts w:hint="eastAsia"/>
                <w:sz w:val="24"/>
              </w:rPr>
              <w:t>1</w:t>
            </w:r>
          </w:p>
        </w:tc>
        <w:tc>
          <w:tcPr>
            <w:tcW w:w="1803" w:type="pct"/>
            <w:noWrap w:val="0"/>
            <w:vAlign w:val="center"/>
          </w:tcPr>
          <w:p>
            <w:pPr>
              <w:spacing w:line="0" w:lineRule="atLeast"/>
              <w:jc w:val="center"/>
              <w:rPr>
                <w:sz w:val="24"/>
              </w:rPr>
            </w:pPr>
            <w:r>
              <w:rPr>
                <w:sz w:val="24"/>
              </w:rPr>
              <w:t>1:20</w:t>
            </w:r>
            <w:r>
              <w:rPr>
                <w:rFonts w:hAnsi="宋体"/>
                <w:sz w:val="24"/>
              </w:rPr>
              <w:t>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39" w:type="pct"/>
            <w:vMerge w:val="restart"/>
            <w:noWrap w:val="0"/>
            <w:vAlign w:val="center"/>
          </w:tcPr>
          <w:p>
            <w:pPr>
              <w:spacing w:line="360" w:lineRule="exact"/>
              <w:jc w:val="center"/>
              <w:rPr>
                <w:sz w:val="24"/>
              </w:rPr>
            </w:pPr>
            <w:r>
              <w:rPr>
                <w:rFonts w:hAnsi="宋体"/>
                <w:sz w:val="24"/>
              </w:rPr>
              <w:t>报告</w:t>
            </w:r>
          </w:p>
          <w:p>
            <w:pPr>
              <w:spacing w:line="360" w:lineRule="exact"/>
              <w:jc w:val="center"/>
              <w:rPr>
                <w:sz w:val="24"/>
              </w:rPr>
            </w:pPr>
            <w:r>
              <w:rPr>
                <w:rFonts w:hAnsi="宋体"/>
                <w:sz w:val="24"/>
              </w:rPr>
              <w:t>编制</w:t>
            </w:r>
          </w:p>
        </w:tc>
        <w:tc>
          <w:tcPr>
            <w:tcW w:w="1652" w:type="pct"/>
            <w:noWrap w:val="0"/>
            <w:vAlign w:val="center"/>
          </w:tcPr>
          <w:p>
            <w:pPr>
              <w:spacing w:line="0" w:lineRule="atLeast"/>
              <w:rPr>
                <w:sz w:val="24"/>
              </w:rPr>
            </w:pPr>
            <w:r>
              <w:rPr>
                <w:rFonts w:hAnsi="宋体"/>
                <w:sz w:val="24"/>
              </w:rPr>
              <w:t>地形地质及矿区范围图</w:t>
            </w:r>
          </w:p>
        </w:tc>
        <w:tc>
          <w:tcPr>
            <w:tcW w:w="515" w:type="pct"/>
            <w:noWrap w:val="0"/>
            <w:vAlign w:val="center"/>
          </w:tcPr>
          <w:p>
            <w:pPr>
              <w:spacing w:line="0" w:lineRule="atLeast"/>
              <w:jc w:val="center"/>
              <w:rPr>
                <w:sz w:val="24"/>
              </w:rPr>
            </w:pPr>
            <w:r>
              <w:rPr>
                <w:rFonts w:hAnsi="宋体"/>
                <w:sz w:val="24"/>
              </w:rPr>
              <w:t>张</w:t>
            </w:r>
          </w:p>
        </w:tc>
        <w:tc>
          <w:tcPr>
            <w:tcW w:w="591" w:type="pct"/>
            <w:noWrap w:val="0"/>
            <w:vAlign w:val="center"/>
          </w:tcPr>
          <w:p>
            <w:pPr>
              <w:spacing w:line="0" w:lineRule="atLeast"/>
              <w:jc w:val="center"/>
              <w:rPr>
                <w:sz w:val="24"/>
              </w:rPr>
            </w:pPr>
            <w:r>
              <w:rPr>
                <w:sz w:val="24"/>
              </w:rPr>
              <w:t>1</w:t>
            </w:r>
          </w:p>
        </w:tc>
        <w:tc>
          <w:tcPr>
            <w:tcW w:w="1803" w:type="pct"/>
            <w:noWrap w:val="0"/>
            <w:vAlign w:val="center"/>
          </w:tcPr>
          <w:p>
            <w:pPr>
              <w:spacing w:line="0" w:lineRule="atLeast"/>
              <w:jc w:val="center"/>
              <w:rPr>
                <w:sz w:val="24"/>
              </w:rPr>
            </w:pPr>
            <w:r>
              <w:rPr>
                <w:sz w:val="24"/>
              </w:rPr>
              <w:t>1:2000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39" w:type="pct"/>
            <w:vMerge w:val="continue"/>
            <w:noWrap w:val="0"/>
            <w:vAlign w:val="center"/>
          </w:tcPr>
          <w:p>
            <w:pPr>
              <w:spacing w:line="360" w:lineRule="exact"/>
              <w:jc w:val="center"/>
              <w:rPr>
                <w:sz w:val="24"/>
              </w:rPr>
            </w:pPr>
          </w:p>
        </w:tc>
        <w:tc>
          <w:tcPr>
            <w:tcW w:w="1652" w:type="pct"/>
            <w:noWrap w:val="0"/>
            <w:vAlign w:val="center"/>
          </w:tcPr>
          <w:p>
            <w:pPr>
              <w:spacing w:line="0" w:lineRule="atLeast"/>
              <w:rPr>
                <w:sz w:val="24"/>
              </w:rPr>
            </w:pPr>
            <w:r>
              <w:rPr>
                <w:rFonts w:hint="eastAsia" w:hAnsi="宋体"/>
                <w:sz w:val="24"/>
              </w:rPr>
              <w:t>资源</w:t>
            </w:r>
            <w:r>
              <w:rPr>
                <w:rFonts w:hAnsi="宋体"/>
                <w:sz w:val="24"/>
              </w:rPr>
              <w:t>量估算断面图</w:t>
            </w:r>
          </w:p>
        </w:tc>
        <w:tc>
          <w:tcPr>
            <w:tcW w:w="515" w:type="pct"/>
            <w:noWrap w:val="0"/>
            <w:vAlign w:val="center"/>
          </w:tcPr>
          <w:p>
            <w:pPr>
              <w:spacing w:line="0" w:lineRule="atLeast"/>
              <w:jc w:val="center"/>
              <w:rPr>
                <w:sz w:val="24"/>
              </w:rPr>
            </w:pPr>
            <w:r>
              <w:rPr>
                <w:rFonts w:hAnsi="宋体"/>
                <w:sz w:val="24"/>
              </w:rPr>
              <w:t>张</w:t>
            </w:r>
          </w:p>
        </w:tc>
        <w:tc>
          <w:tcPr>
            <w:tcW w:w="591" w:type="pct"/>
            <w:noWrap w:val="0"/>
            <w:vAlign w:val="center"/>
          </w:tcPr>
          <w:p>
            <w:pPr>
              <w:spacing w:line="0" w:lineRule="atLeast"/>
              <w:jc w:val="center"/>
              <w:rPr>
                <w:sz w:val="24"/>
              </w:rPr>
            </w:pPr>
            <w:r>
              <w:rPr>
                <w:sz w:val="24"/>
              </w:rPr>
              <w:t>1</w:t>
            </w:r>
          </w:p>
        </w:tc>
        <w:tc>
          <w:tcPr>
            <w:tcW w:w="1803" w:type="pct"/>
            <w:noWrap w:val="0"/>
            <w:vAlign w:val="center"/>
          </w:tcPr>
          <w:p>
            <w:pPr>
              <w:spacing w:line="0" w:lineRule="atLeast"/>
              <w:jc w:val="center"/>
              <w:rPr>
                <w:sz w:val="24"/>
              </w:rPr>
            </w:pPr>
            <w:r>
              <w:rPr>
                <w:sz w:val="24"/>
              </w:rPr>
              <w:t>1:2000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39" w:type="pct"/>
            <w:vMerge w:val="continue"/>
            <w:noWrap w:val="0"/>
            <w:vAlign w:val="center"/>
          </w:tcPr>
          <w:p>
            <w:pPr>
              <w:spacing w:line="360" w:lineRule="exact"/>
              <w:jc w:val="center"/>
              <w:rPr>
                <w:sz w:val="24"/>
              </w:rPr>
            </w:pPr>
          </w:p>
        </w:tc>
        <w:tc>
          <w:tcPr>
            <w:tcW w:w="1652" w:type="pct"/>
            <w:noWrap w:val="0"/>
            <w:vAlign w:val="center"/>
          </w:tcPr>
          <w:p>
            <w:pPr>
              <w:spacing w:line="0" w:lineRule="atLeast"/>
              <w:rPr>
                <w:sz w:val="24"/>
              </w:rPr>
            </w:pPr>
            <w:r>
              <w:rPr>
                <w:rFonts w:hint="eastAsia" w:hAnsi="宋体"/>
                <w:sz w:val="24"/>
              </w:rPr>
              <w:t>资源</w:t>
            </w:r>
            <w:r>
              <w:rPr>
                <w:rFonts w:hAnsi="宋体"/>
                <w:sz w:val="24"/>
              </w:rPr>
              <w:t>量估算图</w:t>
            </w:r>
          </w:p>
        </w:tc>
        <w:tc>
          <w:tcPr>
            <w:tcW w:w="515" w:type="pct"/>
            <w:noWrap w:val="0"/>
            <w:vAlign w:val="center"/>
          </w:tcPr>
          <w:p>
            <w:pPr>
              <w:spacing w:line="0" w:lineRule="atLeast"/>
              <w:jc w:val="center"/>
              <w:rPr>
                <w:sz w:val="24"/>
              </w:rPr>
            </w:pPr>
            <w:r>
              <w:rPr>
                <w:rFonts w:hAnsi="宋体"/>
                <w:sz w:val="24"/>
              </w:rPr>
              <w:t>张</w:t>
            </w:r>
          </w:p>
        </w:tc>
        <w:tc>
          <w:tcPr>
            <w:tcW w:w="591" w:type="pct"/>
            <w:noWrap w:val="0"/>
            <w:vAlign w:val="center"/>
          </w:tcPr>
          <w:p>
            <w:pPr>
              <w:spacing w:line="0" w:lineRule="atLeast"/>
              <w:jc w:val="center"/>
              <w:rPr>
                <w:sz w:val="24"/>
              </w:rPr>
            </w:pPr>
            <w:r>
              <w:rPr>
                <w:sz w:val="24"/>
              </w:rPr>
              <w:t>1</w:t>
            </w:r>
          </w:p>
        </w:tc>
        <w:tc>
          <w:tcPr>
            <w:tcW w:w="1803" w:type="pct"/>
            <w:noWrap w:val="0"/>
            <w:vAlign w:val="center"/>
          </w:tcPr>
          <w:p>
            <w:pPr>
              <w:spacing w:line="0" w:lineRule="atLeast"/>
              <w:jc w:val="center"/>
              <w:rPr>
                <w:sz w:val="24"/>
              </w:rPr>
            </w:pPr>
            <w:r>
              <w:rPr>
                <w:sz w:val="24"/>
              </w:rPr>
              <w:t>1:2000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39" w:type="pct"/>
            <w:vMerge w:val="continue"/>
            <w:noWrap w:val="0"/>
            <w:vAlign w:val="center"/>
          </w:tcPr>
          <w:p>
            <w:pPr>
              <w:pStyle w:val="43"/>
              <w:spacing w:line="360" w:lineRule="exact"/>
              <w:ind w:left="-63" w:right="-63"/>
              <w:jc w:val="center"/>
              <w:rPr>
                <w:rFonts w:ascii="Times New Roman" w:hAnsi="Times New Roman"/>
                <w:sz w:val="24"/>
                <w:szCs w:val="24"/>
              </w:rPr>
            </w:pPr>
          </w:p>
        </w:tc>
        <w:tc>
          <w:tcPr>
            <w:tcW w:w="1652" w:type="pct"/>
            <w:noWrap w:val="0"/>
            <w:vAlign w:val="center"/>
          </w:tcPr>
          <w:p>
            <w:pPr>
              <w:spacing w:line="0" w:lineRule="atLeast"/>
              <w:rPr>
                <w:sz w:val="24"/>
              </w:rPr>
            </w:pPr>
            <w:r>
              <w:rPr>
                <w:rFonts w:hAnsi="宋体"/>
                <w:sz w:val="24"/>
              </w:rPr>
              <w:t>文字报告</w:t>
            </w:r>
          </w:p>
        </w:tc>
        <w:tc>
          <w:tcPr>
            <w:tcW w:w="515" w:type="pct"/>
            <w:noWrap w:val="0"/>
            <w:vAlign w:val="center"/>
          </w:tcPr>
          <w:p>
            <w:pPr>
              <w:spacing w:line="0" w:lineRule="atLeast"/>
              <w:jc w:val="center"/>
              <w:rPr>
                <w:sz w:val="24"/>
              </w:rPr>
            </w:pPr>
            <w:r>
              <w:rPr>
                <w:rFonts w:hAnsi="宋体"/>
                <w:sz w:val="24"/>
              </w:rPr>
              <w:t>册</w:t>
            </w:r>
          </w:p>
        </w:tc>
        <w:tc>
          <w:tcPr>
            <w:tcW w:w="591" w:type="pct"/>
            <w:noWrap w:val="0"/>
            <w:vAlign w:val="center"/>
          </w:tcPr>
          <w:p>
            <w:pPr>
              <w:spacing w:line="0" w:lineRule="atLeast"/>
              <w:jc w:val="center"/>
              <w:rPr>
                <w:sz w:val="24"/>
              </w:rPr>
            </w:pPr>
            <w:r>
              <w:rPr>
                <w:sz w:val="24"/>
              </w:rPr>
              <w:t>1</w:t>
            </w:r>
          </w:p>
        </w:tc>
        <w:tc>
          <w:tcPr>
            <w:tcW w:w="1803" w:type="pct"/>
            <w:noWrap w:val="0"/>
            <w:vAlign w:val="center"/>
          </w:tcPr>
          <w:p>
            <w:pPr>
              <w:spacing w:line="0" w:lineRule="atLeast"/>
              <w:jc w:val="center"/>
              <w:rPr>
                <w:sz w:val="24"/>
              </w:rPr>
            </w:pPr>
            <w:r>
              <w:rPr>
                <w:rFonts w:hAnsi="宋体"/>
                <w:sz w:val="24"/>
              </w:rPr>
              <w:t>含相关的附表、附件等</w:t>
            </w:r>
          </w:p>
        </w:tc>
      </w:tr>
    </w:tbl>
    <w:p>
      <w:pPr>
        <w:spacing w:line="240" w:lineRule="exact"/>
        <w:jc w:val="center"/>
        <w:textAlignment w:val="baseline"/>
        <w:rPr>
          <w:b/>
          <w:sz w:val="28"/>
        </w:rPr>
      </w:pPr>
    </w:p>
    <w:p>
      <w:pPr>
        <w:rPr>
          <w:rFonts w:eastAsia="仿宋_GB2312"/>
          <w:b/>
          <w:sz w:val="28"/>
        </w:rPr>
      </w:pPr>
      <w:r>
        <w:rPr>
          <w:b/>
          <w:sz w:val="28"/>
        </w:rPr>
        <w:t>1.7.2取得的主要地质成果</w:t>
      </w:r>
    </w:p>
    <w:p>
      <w:pPr>
        <w:pStyle w:val="9"/>
        <w:spacing w:line="240" w:lineRule="auto"/>
        <w:ind w:firstLine="573"/>
        <w:rPr>
          <w:lang w:val="zh-CN"/>
        </w:rPr>
      </w:pPr>
      <w:r>
        <w:rPr>
          <w:rFonts w:hAnsi="宋体"/>
          <w:lang w:val="zh-CN"/>
        </w:rPr>
        <w:t>通过本次核实，基本查明了矿区地层厚度、构造复杂程度、矿层赋存层位、矿石质量特征及矿床开采技术条件，对矿区资源量采用地质块段法进行了初步估算，经查，</w:t>
      </w:r>
      <w:r>
        <w:rPr>
          <w:rFonts w:hAnsi="宋体"/>
        </w:rPr>
        <w:t>达州市达川区</w:t>
      </w:r>
      <w:r>
        <w:rPr>
          <w:rFonts w:hint="eastAsia" w:hAnsi="宋体"/>
        </w:rPr>
        <w:t>石桥</w:t>
      </w:r>
      <w:r>
        <w:rPr>
          <w:rFonts w:hAnsi="宋体"/>
        </w:rPr>
        <w:t>镇</w:t>
      </w:r>
      <w:r>
        <w:rPr>
          <w:rFonts w:hint="eastAsia" w:hAnsi="宋体"/>
        </w:rPr>
        <w:t>麻油沟</w:t>
      </w:r>
      <w:r>
        <w:rPr>
          <w:rFonts w:hAnsi="宋体"/>
        </w:rPr>
        <w:t>村</w:t>
      </w:r>
      <w:r>
        <w:rPr>
          <w:rFonts w:hint="eastAsia" w:hAnsi="宋体"/>
        </w:rPr>
        <w:t>小儿坡页</w:t>
      </w:r>
      <w:r>
        <w:rPr>
          <w:rFonts w:hAnsi="宋体"/>
        </w:rPr>
        <w:t>岩矿</w:t>
      </w:r>
      <w:r>
        <w:rPr>
          <w:rFonts w:hAnsi="宋体"/>
          <w:lang w:val="zh-CN"/>
        </w:rPr>
        <w:t>拟</w:t>
      </w:r>
      <w:r>
        <w:rPr>
          <w:rFonts w:hAnsi="宋体"/>
        </w:rPr>
        <w:t>设</w:t>
      </w:r>
      <w:r>
        <w:rPr>
          <w:rFonts w:hAnsi="宋体"/>
          <w:lang w:val="zh-CN"/>
        </w:rPr>
        <w:t>矿权范围内查明资源量</w:t>
      </w:r>
      <w:r>
        <w:rPr>
          <w:rFonts w:hint="eastAsia"/>
        </w:rPr>
        <w:t>1062.9</w:t>
      </w:r>
      <w:r>
        <w:rPr>
          <w:rFonts w:hAnsi="宋体"/>
        </w:rPr>
        <w:t>万吨</w:t>
      </w:r>
      <w:r>
        <w:t>(</w:t>
      </w:r>
      <w:r>
        <w:rPr>
          <w:rFonts w:hint="eastAsia"/>
        </w:rPr>
        <w:t>442.91</w:t>
      </w:r>
      <w:r>
        <w:rPr>
          <w:rFonts w:hAnsi="宋体"/>
        </w:rPr>
        <w:t>万</w:t>
      </w:r>
      <w:r>
        <w:t>m</w:t>
      </w:r>
      <w:r>
        <w:rPr>
          <w:vertAlign w:val="superscript"/>
        </w:rPr>
        <w:t>3</w:t>
      </w:r>
      <w:r>
        <w:t>)</w:t>
      </w:r>
      <w:r>
        <w:rPr>
          <w:rFonts w:hAnsi="宋体"/>
        </w:rPr>
        <w:t>，</w:t>
      </w:r>
      <w:r>
        <w:rPr>
          <w:rFonts w:hint="eastAsia" w:hAnsi="宋体"/>
        </w:rPr>
        <w:t>均</w:t>
      </w:r>
      <w:r>
        <w:rPr>
          <w:rFonts w:hAnsi="宋体"/>
        </w:rPr>
        <w:t>为</w:t>
      </w:r>
      <w:r>
        <w:rPr>
          <w:rFonts w:hint="eastAsia" w:hAnsi="宋体"/>
        </w:rPr>
        <w:t>控制的</w:t>
      </w:r>
      <w:r>
        <w:rPr>
          <w:rFonts w:hAnsi="宋体"/>
        </w:rPr>
        <w:t>保有资源量。根据周边</w:t>
      </w:r>
      <w:r>
        <w:rPr>
          <w:rFonts w:hint="eastAsia" w:hAnsi="宋体"/>
        </w:rPr>
        <w:t>区域</w:t>
      </w:r>
      <w:r>
        <w:rPr>
          <w:rFonts w:hAnsi="宋体"/>
        </w:rPr>
        <w:t>矿山开采情况及多年开采经验，矿山回采率为</w:t>
      </w:r>
      <w:r>
        <w:t>9</w:t>
      </w:r>
      <w:r>
        <w:rPr>
          <w:rFonts w:hint="eastAsia"/>
        </w:rPr>
        <w:t>5</w:t>
      </w:r>
      <w:r>
        <w:t>%</w:t>
      </w:r>
      <w:r>
        <w:rPr>
          <w:rFonts w:hAnsi="宋体"/>
        </w:rPr>
        <w:t>，故可采资源量为</w:t>
      </w:r>
      <w:r>
        <w:rPr>
          <w:rFonts w:hint="eastAsia"/>
        </w:rPr>
        <w:t>1009.8</w:t>
      </w:r>
      <w:r>
        <w:rPr>
          <w:rFonts w:hAnsi="宋体"/>
        </w:rPr>
        <w:t>万吨，可供矿山服务约</w:t>
      </w:r>
      <w:r>
        <w:rPr>
          <w:rFonts w:hint="eastAsia"/>
        </w:rPr>
        <w:t>20</w:t>
      </w:r>
      <w:r>
        <w:rPr>
          <w:rFonts w:hAnsi="宋体"/>
        </w:rPr>
        <w:t>年。</w:t>
      </w:r>
    </w:p>
    <w:p>
      <w:pPr>
        <w:pStyle w:val="2"/>
        <w:spacing w:before="0" w:after="0" w:line="240" w:lineRule="auto"/>
        <w:ind w:right="105" w:rightChars="50"/>
        <w:jc w:val="left"/>
        <w:rPr>
          <w:rStyle w:val="23"/>
          <w:color w:val="000000"/>
          <w:sz w:val="32"/>
          <w:szCs w:val="32"/>
        </w:rPr>
      </w:pPr>
      <w:bookmarkStart w:id="16" w:name="_Toc59802135"/>
      <w:bookmarkStart w:id="17" w:name="_Toc184121471"/>
      <w:bookmarkStart w:id="18" w:name="_Toc186104141"/>
      <w:r>
        <w:rPr>
          <w:rStyle w:val="23"/>
          <w:color w:val="000000"/>
          <w:sz w:val="32"/>
          <w:szCs w:val="32"/>
        </w:rPr>
        <w:t>2 矿区地质特征</w:t>
      </w:r>
      <w:bookmarkEnd w:id="16"/>
    </w:p>
    <w:bookmarkEnd w:id="17"/>
    <w:bookmarkEnd w:id="18"/>
    <w:p>
      <w:pPr>
        <w:pStyle w:val="3"/>
        <w:spacing w:before="0" w:after="0" w:line="240" w:lineRule="auto"/>
        <w:rPr>
          <w:rFonts w:ascii="Times New Roman" w:hAnsi="Times New Roman" w:eastAsia="宋体"/>
          <w:sz w:val="30"/>
        </w:rPr>
      </w:pPr>
      <w:bookmarkStart w:id="19" w:name="_Toc59802136"/>
      <w:r>
        <w:rPr>
          <w:rFonts w:ascii="Times New Roman" w:hAnsi="Times New Roman" w:eastAsia="宋体"/>
          <w:sz w:val="30"/>
        </w:rPr>
        <w:t>2.1 矿区地层</w:t>
      </w:r>
      <w:bookmarkEnd w:id="19"/>
    </w:p>
    <w:p>
      <w:pPr>
        <w:ind w:firstLine="560" w:firstLineChars="200"/>
        <w:rPr>
          <w:sz w:val="28"/>
          <w:szCs w:val="28"/>
        </w:rPr>
      </w:pPr>
      <w:bookmarkStart w:id="20" w:name="_Toc186102213"/>
      <w:bookmarkStart w:id="21" w:name="_Toc186106357"/>
      <w:r>
        <w:rPr>
          <w:rFonts w:hAnsi="宋体"/>
          <w:sz w:val="28"/>
          <w:szCs w:val="28"/>
        </w:rPr>
        <w:t>区内出露地层为侏罗系中</w:t>
      </w:r>
      <w:r>
        <w:rPr>
          <w:rFonts w:hint="eastAsia" w:hAnsi="宋体"/>
          <w:sz w:val="28"/>
          <w:szCs w:val="28"/>
        </w:rPr>
        <w:t>统上沙</w:t>
      </w:r>
      <w:r>
        <w:rPr>
          <w:rFonts w:hAnsi="宋体"/>
          <w:sz w:val="28"/>
          <w:szCs w:val="28"/>
        </w:rPr>
        <w:t>溪组和第四系，由老到新分述如下：</w:t>
      </w:r>
    </w:p>
    <w:p>
      <w:pPr>
        <w:ind w:firstLine="560" w:firstLineChars="200"/>
        <w:rPr>
          <w:sz w:val="28"/>
          <w:szCs w:val="28"/>
        </w:rPr>
      </w:pPr>
      <w:r>
        <w:rPr>
          <w:sz w:val="28"/>
          <w:szCs w:val="28"/>
        </w:rPr>
        <w:t>(1)</w:t>
      </w:r>
      <w:r>
        <w:rPr>
          <w:rFonts w:hAnsi="宋体"/>
          <w:sz w:val="28"/>
          <w:szCs w:val="28"/>
        </w:rPr>
        <w:t>侏罗系中统</w:t>
      </w:r>
      <w:r>
        <w:rPr>
          <w:rFonts w:hint="eastAsia" w:hAnsi="宋体"/>
          <w:sz w:val="28"/>
          <w:szCs w:val="28"/>
        </w:rPr>
        <w:t>上</w:t>
      </w:r>
      <w:r>
        <w:rPr>
          <w:rFonts w:hAnsi="宋体"/>
          <w:sz w:val="28"/>
          <w:szCs w:val="28"/>
        </w:rPr>
        <w:t>沙溪庙组</w:t>
      </w:r>
      <w:r>
        <w:rPr>
          <w:sz w:val="28"/>
          <w:szCs w:val="28"/>
        </w:rPr>
        <w:t>(J</w:t>
      </w:r>
      <w:r>
        <w:rPr>
          <w:sz w:val="28"/>
          <w:szCs w:val="28"/>
          <w:vertAlign w:val="subscript"/>
        </w:rPr>
        <w:t>2</w:t>
      </w:r>
      <w:r>
        <w:rPr>
          <w:sz w:val="28"/>
          <w:szCs w:val="28"/>
        </w:rPr>
        <w:t>s)</w:t>
      </w:r>
    </w:p>
    <w:p>
      <w:pPr>
        <w:ind w:firstLine="560" w:firstLineChars="200"/>
        <w:rPr>
          <w:rFonts w:hint="eastAsia"/>
          <w:sz w:val="28"/>
          <w:szCs w:val="28"/>
        </w:rPr>
      </w:pPr>
      <w:r>
        <w:rPr>
          <w:rFonts w:hAnsi="宋体"/>
          <w:sz w:val="28"/>
          <w:szCs w:val="28"/>
        </w:rPr>
        <w:t>以褐红、棕红色泥岩、砂质泥岩为主，夹灰、绿灰色粉砂岩和细粒砂岩，含鱼类化石，该组厚约</w:t>
      </w:r>
      <w:r>
        <w:rPr>
          <w:sz w:val="28"/>
          <w:szCs w:val="28"/>
        </w:rPr>
        <w:t>800m</w:t>
      </w:r>
      <w:r>
        <w:rPr>
          <w:rFonts w:hAnsi="宋体"/>
          <w:sz w:val="28"/>
          <w:szCs w:val="28"/>
        </w:rPr>
        <w:t>。</w:t>
      </w:r>
      <w:r>
        <w:rPr>
          <w:rFonts w:hint="eastAsia" w:hAnsi="宋体"/>
          <w:sz w:val="28"/>
          <w:szCs w:val="28"/>
        </w:rPr>
        <w:t>该组地层地表均有出露。</w:t>
      </w:r>
    </w:p>
    <w:p>
      <w:pPr>
        <w:ind w:firstLine="560" w:firstLineChars="200"/>
        <w:rPr>
          <w:sz w:val="28"/>
          <w:szCs w:val="28"/>
        </w:rPr>
      </w:pPr>
      <w:r>
        <w:rPr>
          <w:sz w:val="28"/>
          <w:szCs w:val="28"/>
        </w:rPr>
        <w:t>(2)</w:t>
      </w:r>
      <w:r>
        <w:rPr>
          <w:rFonts w:hAnsi="宋体"/>
          <w:sz w:val="28"/>
          <w:szCs w:val="28"/>
        </w:rPr>
        <w:t>第四系</w:t>
      </w:r>
      <w:r>
        <w:rPr>
          <w:sz w:val="28"/>
          <w:szCs w:val="28"/>
        </w:rPr>
        <w:t>(Q</w:t>
      </w:r>
      <w:r>
        <w:rPr>
          <w:sz w:val="28"/>
          <w:szCs w:val="28"/>
          <w:vertAlign w:val="subscript"/>
        </w:rPr>
        <w:t>4</w:t>
      </w:r>
      <w:r>
        <w:rPr>
          <w:sz w:val="28"/>
          <w:szCs w:val="28"/>
        </w:rPr>
        <w:t>)</w:t>
      </w:r>
    </w:p>
    <w:p>
      <w:pPr>
        <w:ind w:firstLine="560" w:firstLineChars="200"/>
        <w:rPr>
          <w:sz w:val="28"/>
          <w:szCs w:val="28"/>
        </w:rPr>
      </w:pPr>
      <w:r>
        <w:rPr>
          <w:rFonts w:hAnsi="宋体"/>
          <w:sz w:val="28"/>
          <w:szCs w:val="28"/>
        </w:rPr>
        <w:t>地表为坡、残积层</w:t>
      </w:r>
      <w:r>
        <w:rPr>
          <w:sz w:val="28"/>
          <w:szCs w:val="28"/>
        </w:rPr>
        <w:t>(</w:t>
      </w:r>
      <w:r>
        <w:rPr>
          <w:rFonts w:hAnsi="宋体"/>
          <w:sz w:val="28"/>
          <w:szCs w:val="28"/>
        </w:rPr>
        <w:t>沟谷为坡崩积层</w:t>
      </w:r>
      <w:r>
        <w:rPr>
          <w:sz w:val="28"/>
          <w:szCs w:val="28"/>
        </w:rPr>
        <w:t>)</w:t>
      </w:r>
      <w:r>
        <w:rPr>
          <w:rFonts w:hAnsi="宋体"/>
          <w:sz w:val="28"/>
          <w:szCs w:val="28"/>
        </w:rPr>
        <w:t>，以褐黄色粉土为主，夹少量砂、泥岩碎块，矿区内均有分布，尤以</w:t>
      </w:r>
      <w:r>
        <w:rPr>
          <w:rFonts w:hint="eastAsia" w:hAnsi="宋体"/>
          <w:sz w:val="28"/>
          <w:szCs w:val="28"/>
        </w:rPr>
        <w:t>山前坡脚和沟</w:t>
      </w:r>
      <w:r>
        <w:rPr>
          <w:rFonts w:hAnsi="宋体"/>
          <w:sz w:val="28"/>
          <w:szCs w:val="28"/>
        </w:rPr>
        <w:t>谷地带较厚，一般厚约</w:t>
      </w:r>
      <w:r>
        <w:rPr>
          <w:sz w:val="28"/>
          <w:szCs w:val="28"/>
        </w:rPr>
        <w:t>0</w:t>
      </w:r>
      <w:r>
        <w:rPr>
          <w:rFonts w:hAnsi="宋体"/>
          <w:sz w:val="28"/>
          <w:szCs w:val="28"/>
        </w:rPr>
        <w:t>～</w:t>
      </w:r>
      <w:r>
        <w:rPr>
          <w:sz w:val="28"/>
          <w:szCs w:val="28"/>
        </w:rPr>
        <w:t>3.0m</w:t>
      </w:r>
      <w:r>
        <w:rPr>
          <w:rFonts w:hAnsi="宋体"/>
          <w:sz w:val="28"/>
          <w:szCs w:val="28"/>
        </w:rPr>
        <w:t>，</w:t>
      </w:r>
      <w:r>
        <w:rPr>
          <w:rFonts w:hint="eastAsia" w:hAnsi="宋体"/>
          <w:sz w:val="28"/>
          <w:szCs w:val="28"/>
        </w:rPr>
        <w:t>拟设</w:t>
      </w:r>
      <w:r>
        <w:rPr>
          <w:rFonts w:hAnsi="宋体"/>
          <w:sz w:val="28"/>
          <w:szCs w:val="28"/>
        </w:rPr>
        <w:t>矿区</w:t>
      </w:r>
      <w:r>
        <w:rPr>
          <w:rFonts w:hint="eastAsia" w:hAnsi="宋体"/>
          <w:sz w:val="28"/>
          <w:szCs w:val="28"/>
        </w:rPr>
        <w:t>一般为斜坡山脊，</w:t>
      </w:r>
      <w:r>
        <w:rPr>
          <w:rFonts w:hAnsi="宋体"/>
          <w:sz w:val="28"/>
          <w:szCs w:val="28"/>
        </w:rPr>
        <w:t>大部分地表土较薄。</w:t>
      </w:r>
    </w:p>
    <w:p>
      <w:pPr>
        <w:pStyle w:val="3"/>
        <w:spacing w:before="0" w:after="0" w:line="240" w:lineRule="auto"/>
        <w:rPr>
          <w:rFonts w:ascii="Times New Roman" w:hAnsi="Times New Roman" w:eastAsia="宋体"/>
          <w:sz w:val="30"/>
        </w:rPr>
      </w:pPr>
      <w:bookmarkStart w:id="22" w:name="_Toc59802137"/>
      <w:r>
        <w:rPr>
          <w:rFonts w:ascii="Times New Roman" w:hAnsi="Times New Roman" w:eastAsia="宋体"/>
          <w:sz w:val="30"/>
        </w:rPr>
        <w:t>2.2 构  造</w:t>
      </w:r>
      <w:bookmarkEnd w:id="20"/>
      <w:bookmarkEnd w:id="21"/>
      <w:bookmarkEnd w:id="22"/>
    </w:p>
    <w:p>
      <w:pPr>
        <w:autoSpaceDE w:val="0"/>
        <w:autoSpaceDN w:val="0"/>
        <w:adjustRightInd w:val="0"/>
        <w:ind w:firstLine="560" w:firstLineChars="200"/>
        <w:rPr>
          <w:rFonts w:hint="eastAsia" w:hAnsi="宋体"/>
          <w:color w:val="000000"/>
          <w:sz w:val="28"/>
          <w:szCs w:val="28"/>
        </w:rPr>
      </w:pPr>
      <w:bookmarkStart w:id="23" w:name="_Toc186104144"/>
      <w:bookmarkStart w:id="24" w:name="_Toc184121474"/>
      <w:r>
        <w:rPr>
          <w:rFonts w:hAnsi="宋体"/>
          <w:color w:val="000000"/>
          <w:sz w:val="28"/>
          <w:szCs w:val="28"/>
        </w:rPr>
        <w:t>矿区位于新华夏系四川沉降带川东褶皱带华蓥山背斜北段倾没端近轴部东翼</w:t>
      </w:r>
      <w:r>
        <w:rPr>
          <w:rFonts w:hint="eastAsia" w:hAnsi="宋体"/>
          <w:color w:val="000000"/>
          <w:sz w:val="28"/>
          <w:szCs w:val="28"/>
        </w:rPr>
        <w:t>(详见图2)</w:t>
      </w:r>
      <w:r>
        <w:rPr>
          <w:rFonts w:hAnsi="宋体"/>
          <w:color w:val="000000"/>
          <w:sz w:val="28"/>
          <w:szCs w:val="28"/>
        </w:rPr>
        <w:t>，矿体延伸方向与</w:t>
      </w:r>
      <w:r>
        <w:rPr>
          <w:rFonts w:hint="eastAsia" w:hAnsi="宋体"/>
          <w:color w:val="000000"/>
          <w:sz w:val="28"/>
          <w:szCs w:val="28"/>
        </w:rPr>
        <w:t>地层</w:t>
      </w:r>
      <w:r>
        <w:rPr>
          <w:rFonts w:hAnsi="宋体"/>
          <w:color w:val="000000"/>
          <w:sz w:val="28"/>
          <w:szCs w:val="28"/>
        </w:rPr>
        <w:t>走向一致，地层走向</w:t>
      </w:r>
      <w:r>
        <w:rPr>
          <w:rFonts w:hint="eastAsia"/>
          <w:color w:val="000000"/>
          <w:sz w:val="28"/>
          <w:szCs w:val="28"/>
        </w:rPr>
        <w:t>155</w:t>
      </w:r>
      <w:r>
        <w:rPr>
          <w:color w:val="000000"/>
          <w:sz w:val="28"/>
          <w:szCs w:val="28"/>
        </w:rPr>
        <w:t>°</w:t>
      </w:r>
      <w:r>
        <w:rPr>
          <w:rFonts w:hAnsi="宋体"/>
          <w:color w:val="000000"/>
          <w:sz w:val="28"/>
          <w:szCs w:val="28"/>
        </w:rPr>
        <w:t>，倾向</w:t>
      </w:r>
      <w:r>
        <w:rPr>
          <w:rFonts w:hint="eastAsia"/>
          <w:color w:val="000000"/>
          <w:sz w:val="28"/>
          <w:szCs w:val="28"/>
        </w:rPr>
        <w:t>65</w:t>
      </w:r>
      <w:r>
        <w:rPr>
          <w:color w:val="000000"/>
          <w:sz w:val="28"/>
          <w:szCs w:val="28"/>
        </w:rPr>
        <w:t>°</w:t>
      </w:r>
      <w:r>
        <w:rPr>
          <w:rFonts w:hint="eastAsia" w:hAnsi="宋体"/>
          <w:color w:val="000000"/>
          <w:sz w:val="28"/>
          <w:szCs w:val="28"/>
        </w:rPr>
        <w:t>，</w:t>
      </w:r>
      <w:r>
        <w:rPr>
          <w:rFonts w:hAnsi="宋体"/>
          <w:color w:val="000000"/>
          <w:sz w:val="28"/>
          <w:szCs w:val="28"/>
        </w:rPr>
        <w:t>矿层产状</w:t>
      </w:r>
      <w:r>
        <w:rPr>
          <w:rFonts w:hint="eastAsia"/>
          <w:color w:val="000000"/>
          <w:sz w:val="28"/>
          <w:szCs w:val="28"/>
        </w:rPr>
        <w:t>65</w:t>
      </w:r>
      <w:r>
        <w:rPr>
          <w:color w:val="000000"/>
          <w:sz w:val="28"/>
          <w:szCs w:val="28"/>
        </w:rPr>
        <w:t>°</w:t>
      </w:r>
      <w:r>
        <w:rPr>
          <w:rFonts w:ascii="宋体" w:hAnsi="宋体"/>
          <w:color w:val="000000"/>
          <w:sz w:val="28"/>
          <w:szCs w:val="28"/>
        </w:rPr>
        <w:t>∠</w:t>
      </w:r>
      <w:r>
        <w:rPr>
          <w:rFonts w:hint="eastAsia"/>
          <w:color w:val="000000"/>
          <w:sz w:val="28"/>
          <w:szCs w:val="28"/>
        </w:rPr>
        <w:t>5</w:t>
      </w:r>
      <w:r>
        <w:rPr>
          <w:color w:val="000000"/>
          <w:sz w:val="28"/>
          <w:szCs w:val="28"/>
        </w:rPr>
        <w:t>°</w:t>
      </w:r>
      <w:r>
        <w:rPr>
          <w:rFonts w:hAnsi="宋体"/>
          <w:color w:val="000000"/>
          <w:sz w:val="28"/>
          <w:szCs w:val="28"/>
        </w:rPr>
        <w:t>，呈</w:t>
      </w:r>
      <w:r>
        <w:rPr>
          <w:rFonts w:hint="eastAsia" w:hAnsi="宋体"/>
          <w:color w:val="000000"/>
          <w:sz w:val="28"/>
          <w:szCs w:val="28"/>
        </w:rPr>
        <w:t>缓</w:t>
      </w:r>
      <w:r>
        <w:rPr>
          <w:rFonts w:hAnsi="宋体"/>
          <w:color w:val="000000"/>
          <w:sz w:val="28"/>
          <w:szCs w:val="28"/>
        </w:rPr>
        <w:t>倾斜产出。矿区内未见</w:t>
      </w:r>
      <w:r>
        <w:rPr>
          <w:rFonts w:hint="eastAsia" w:hAnsi="宋体"/>
          <w:color w:val="000000"/>
          <w:sz w:val="28"/>
          <w:szCs w:val="28"/>
        </w:rPr>
        <w:t>次级</w:t>
      </w:r>
      <w:r>
        <w:rPr>
          <w:rFonts w:hAnsi="宋体"/>
          <w:color w:val="000000"/>
          <w:sz w:val="28"/>
          <w:szCs w:val="28"/>
        </w:rPr>
        <w:t>断层及次级褶曲，矿层风化节理和裂隙</w:t>
      </w:r>
      <w:r>
        <w:rPr>
          <w:rFonts w:hint="eastAsia" w:hAnsi="宋体"/>
          <w:color w:val="000000"/>
          <w:sz w:val="28"/>
          <w:szCs w:val="28"/>
        </w:rPr>
        <w:t>不甚</w:t>
      </w:r>
      <w:r>
        <w:rPr>
          <w:rFonts w:hAnsi="宋体"/>
          <w:color w:val="000000"/>
          <w:sz w:val="28"/>
          <w:szCs w:val="28"/>
        </w:rPr>
        <w:t>发育。</w:t>
      </w:r>
    </w:p>
    <w:p>
      <w:pPr>
        <w:autoSpaceDE w:val="0"/>
        <w:autoSpaceDN w:val="0"/>
        <w:adjustRightInd w:val="0"/>
        <w:rPr>
          <w:rFonts w:hint="eastAsia"/>
          <w:color w:val="000000"/>
          <w:sz w:val="28"/>
          <w:szCs w:val="28"/>
        </w:rPr>
      </w:pPr>
      <w:r>
        <w:rPr>
          <w:rFonts w:hint="eastAsia"/>
          <w:color w:val="000000"/>
          <w:sz w:val="28"/>
          <w:szCs w:val="28"/>
        </w:rPr>
        <w:drawing>
          <wp:inline distT="0" distB="0" distL="114300" distR="114300">
            <wp:extent cx="5755005" cy="3165475"/>
            <wp:effectExtent l="0" t="0" r="17145" b="15875"/>
            <wp:docPr id="1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pic:cNvPicPr>
                      <a:picLocks noChangeAspect="1"/>
                    </pic:cNvPicPr>
                  </pic:nvPicPr>
                  <pic:blipFill>
                    <a:blip r:embed="rId14"/>
                    <a:srcRect t="5698"/>
                    <a:stretch>
                      <a:fillRect/>
                    </a:stretch>
                  </pic:blipFill>
                  <pic:spPr>
                    <a:xfrm>
                      <a:off x="0" y="0"/>
                      <a:ext cx="5755005" cy="3165475"/>
                    </a:xfrm>
                    <a:prstGeom prst="rect">
                      <a:avLst/>
                    </a:prstGeom>
                    <a:noFill/>
                    <a:ln>
                      <a:noFill/>
                    </a:ln>
                  </pic:spPr>
                </pic:pic>
              </a:graphicData>
            </a:graphic>
          </wp:inline>
        </w:drawing>
      </w:r>
    </w:p>
    <w:p>
      <w:pPr>
        <w:autoSpaceDE w:val="0"/>
        <w:autoSpaceDN w:val="0"/>
        <w:adjustRightInd w:val="0"/>
        <w:rPr>
          <w:rFonts w:hint="eastAsia"/>
          <w:color w:val="000000"/>
          <w:sz w:val="28"/>
          <w:szCs w:val="28"/>
        </w:rPr>
      </w:pPr>
      <w:r>
        <w:rPr>
          <w:rFonts w:hint="eastAsia"/>
          <w:color w:val="000000"/>
          <w:sz w:val="28"/>
          <w:szCs w:val="28"/>
        </w:rPr>
        <w:drawing>
          <wp:inline distT="0" distB="0" distL="114300" distR="114300">
            <wp:extent cx="5756275" cy="1773555"/>
            <wp:effectExtent l="0" t="0" r="15875" b="17145"/>
            <wp:docPr id="1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3"/>
                    <pic:cNvPicPr>
                      <a:picLocks noChangeAspect="1"/>
                    </pic:cNvPicPr>
                  </pic:nvPicPr>
                  <pic:blipFill>
                    <a:blip r:embed="rId15"/>
                    <a:stretch>
                      <a:fillRect/>
                    </a:stretch>
                  </pic:blipFill>
                  <pic:spPr>
                    <a:xfrm>
                      <a:off x="0" y="0"/>
                      <a:ext cx="5756275" cy="1773555"/>
                    </a:xfrm>
                    <a:prstGeom prst="rect">
                      <a:avLst/>
                    </a:prstGeom>
                    <a:noFill/>
                    <a:ln>
                      <a:noFill/>
                    </a:ln>
                  </pic:spPr>
                </pic:pic>
              </a:graphicData>
            </a:graphic>
          </wp:inline>
        </w:drawing>
      </w:r>
    </w:p>
    <w:p>
      <w:pPr>
        <w:autoSpaceDE w:val="0"/>
        <w:autoSpaceDN w:val="0"/>
        <w:adjustRightInd w:val="0"/>
        <w:jc w:val="center"/>
        <w:rPr>
          <w:rFonts w:hint="eastAsia"/>
          <w:color w:val="000000"/>
          <w:sz w:val="28"/>
          <w:szCs w:val="28"/>
        </w:rPr>
      </w:pPr>
      <w:r>
        <w:rPr>
          <w:rFonts w:hint="eastAsia"/>
          <w:color w:val="000000"/>
          <w:sz w:val="24"/>
        </w:rPr>
        <w:t>图2 区域构造图</w:t>
      </w:r>
    </w:p>
    <w:bookmarkEnd w:id="23"/>
    <w:bookmarkEnd w:id="24"/>
    <w:p>
      <w:pPr>
        <w:pStyle w:val="3"/>
        <w:spacing w:before="0" w:after="0" w:line="240" w:lineRule="auto"/>
        <w:rPr>
          <w:rFonts w:ascii="Times New Roman" w:hAnsi="Times New Roman" w:eastAsia="宋体"/>
          <w:sz w:val="30"/>
        </w:rPr>
      </w:pPr>
      <w:bookmarkStart w:id="25" w:name="_Toc59802138"/>
      <w:r>
        <w:rPr>
          <w:rFonts w:ascii="Times New Roman" w:hAnsi="Times New Roman" w:eastAsia="宋体"/>
          <w:sz w:val="30"/>
        </w:rPr>
        <w:t>2.3 矿</w:t>
      </w:r>
      <w:r>
        <w:rPr>
          <w:rFonts w:hint="eastAsia" w:ascii="Times New Roman" w:hAnsi="Times New Roman" w:eastAsia="宋体"/>
          <w:sz w:val="30"/>
        </w:rPr>
        <w:t>层</w:t>
      </w:r>
      <w:r>
        <w:rPr>
          <w:rFonts w:ascii="Times New Roman" w:hAnsi="Times New Roman" w:eastAsia="宋体"/>
          <w:sz w:val="30"/>
        </w:rPr>
        <w:t>特征</w:t>
      </w:r>
      <w:bookmarkEnd w:id="25"/>
    </w:p>
    <w:p>
      <w:pPr>
        <w:pStyle w:val="4"/>
        <w:spacing w:before="0" w:after="0" w:line="240" w:lineRule="auto"/>
        <w:rPr>
          <w:rFonts w:hint="eastAsia" w:eastAsia="仿宋"/>
          <w:sz w:val="28"/>
          <w:szCs w:val="28"/>
        </w:rPr>
      </w:pPr>
      <w:r>
        <w:rPr>
          <w:rFonts w:hint="eastAsia" w:eastAsia="仿宋"/>
          <w:sz w:val="28"/>
          <w:szCs w:val="28"/>
        </w:rPr>
        <w:t>2</w:t>
      </w:r>
      <w:r>
        <w:rPr>
          <w:rFonts w:eastAsia="仿宋"/>
          <w:sz w:val="28"/>
          <w:szCs w:val="28"/>
        </w:rPr>
        <w:t>.</w:t>
      </w:r>
      <w:r>
        <w:rPr>
          <w:rFonts w:hint="eastAsia" w:eastAsia="仿宋"/>
          <w:sz w:val="28"/>
          <w:szCs w:val="28"/>
        </w:rPr>
        <w:t>3</w:t>
      </w:r>
      <w:r>
        <w:rPr>
          <w:rFonts w:eastAsia="仿宋"/>
          <w:sz w:val="28"/>
          <w:szCs w:val="28"/>
        </w:rPr>
        <w:t xml:space="preserve">.1 </w:t>
      </w:r>
      <w:r>
        <w:rPr>
          <w:rFonts w:hint="eastAsia" w:ascii="宋体" w:hAnsi="宋体"/>
          <w:sz w:val="28"/>
          <w:szCs w:val="28"/>
        </w:rPr>
        <w:t>矿层</w:t>
      </w:r>
    </w:p>
    <w:p>
      <w:pPr>
        <w:ind w:firstLine="544" w:firstLineChars="200"/>
        <w:rPr>
          <w:rFonts w:hint="eastAsia" w:hAnsi="宋体"/>
          <w:color w:val="000000"/>
          <w:spacing w:val="-4"/>
          <w:sz w:val="28"/>
          <w:szCs w:val="28"/>
        </w:rPr>
      </w:pPr>
      <w:r>
        <w:rPr>
          <w:rFonts w:hAnsi="宋体"/>
          <w:color w:val="000000"/>
          <w:spacing w:val="-4"/>
          <w:sz w:val="28"/>
          <w:szCs w:val="28"/>
        </w:rPr>
        <w:t>矿</w:t>
      </w:r>
      <w:r>
        <w:rPr>
          <w:rFonts w:hint="eastAsia" w:hAnsi="宋体"/>
          <w:color w:val="000000"/>
          <w:spacing w:val="-4"/>
          <w:sz w:val="28"/>
          <w:szCs w:val="28"/>
        </w:rPr>
        <w:t>层位于侏罗系中统上沙溪庙组(</w:t>
      </w:r>
      <w:r>
        <w:rPr>
          <w:sz w:val="28"/>
          <w:szCs w:val="28"/>
        </w:rPr>
        <w:t>J</w:t>
      </w:r>
      <w:r>
        <w:rPr>
          <w:sz w:val="28"/>
          <w:szCs w:val="28"/>
          <w:vertAlign w:val="subscript"/>
        </w:rPr>
        <w:t>2</w:t>
      </w:r>
      <w:r>
        <w:rPr>
          <w:sz w:val="28"/>
          <w:szCs w:val="28"/>
        </w:rPr>
        <w:t>s</w:t>
      </w:r>
      <w:r>
        <w:rPr>
          <w:rFonts w:hint="eastAsia" w:hAnsi="宋体"/>
          <w:color w:val="000000"/>
          <w:spacing w:val="-4"/>
          <w:sz w:val="28"/>
          <w:szCs w:val="28"/>
        </w:rPr>
        <w:t>)，岩性以泥岩为主，间夹砂质泥岩、薄层至中厚层状粉砂或细砂岩，</w:t>
      </w:r>
      <w:r>
        <w:rPr>
          <w:rFonts w:hAnsi="宋体"/>
          <w:color w:val="000000"/>
          <w:spacing w:val="-4"/>
          <w:sz w:val="28"/>
          <w:szCs w:val="28"/>
        </w:rPr>
        <w:t>为层状矿体，单斜产出，倾角</w:t>
      </w:r>
      <w:r>
        <w:rPr>
          <w:rFonts w:hint="eastAsia"/>
          <w:color w:val="000000"/>
          <w:spacing w:val="-4"/>
          <w:sz w:val="28"/>
          <w:szCs w:val="28"/>
        </w:rPr>
        <w:t>5</w:t>
      </w:r>
      <w:r>
        <w:rPr>
          <w:color w:val="000000"/>
          <w:spacing w:val="-4"/>
          <w:sz w:val="28"/>
          <w:szCs w:val="28"/>
        </w:rPr>
        <w:t>°</w:t>
      </w:r>
      <w:r>
        <w:rPr>
          <w:rFonts w:hAnsi="宋体"/>
          <w:color w:val="000000"/>
          <w:spacing w:val="-4"/>
          <w:sz w:val="28"/>
          <w:szCs w:val="28"/>
        </w:rPr>
        <w:t>左右，为缓倾斜产出状态。矿体</w:t>
      </w:r>
      <w:r>
        <w:rPr>
          <w:rFonts w:hint="eastAsia" w:hAnsi="宋体"/>
          <w:color w:val="000000"/>
          <w:spacing w:val="-4"/>
          <w:sz w:val="28"/>
          <w:szCs w:val="28"/>
        </w:rPr>
        <w:t>在倾向和走向上均连续且较稳定，受地层层位控制。设置的矿界范围内沿矿层走向地表露头控制长度395m左右，宽度225～415m左右，倾向上控制标高在+500～+360m之间。在地表跟踪露头调查时，其厚度相对稳定。矿层在地表均有出露，地表仅0.5m左右的第四系覆盖层，详见照片1。</w:t>
      </w:r>
    </w:p>
    <w:p>
      <w:pPr>
        <w:spacing w:line="0" w:lineRule="atLeast"/>
        <w:jc w:val="center"/>
        <w:rPr>
          <w:rFonts w:hint="eastAsia"/>
          <w:color w:val="000000"/>
          <w:sz w:val="28"/>
          <w:szCs w:val="28"/>
        </w:rPr>
      </w:pPr>
      <w:r>
        <w:rPr>
          <w:rFonts w:hint="eastAsia"/>
          <w:color w:val="000000"/>
          <w:sz w:val="28"/>
          <w:szCs w:val="28"/>
        </w:rPr>
        <w:drawing>
          <wp:inline distT="0" distB="0" distL="114300" distR="114300">
            <wp:extent cx="2521585" cy="1891030"/>
            <wp:effectExtent l="0" t="0" r="12065" b="13970"/>
            <wp:docPr id="8" name="图片 14" descr="IMG_20201212_101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4" descr="IMG_20201212_101905"/>
                    <pic:cNvPicPr>
                      <a:picLocks noChangeAspect="1"/>
                    </pic:cNvPicPr>
                  </pic:nvPicPr>
                  <pic:blipFill>
                    <a:blip r:embed="rId16"/>
                    <a:stretch>
                      <a:fillRect/>
                    </a:stretch>
                  </pic:blipFill>
                  <pic:spPr>
                    <a:xfrm>
                      <a:off x="0" y="0"/>
                      <a:ext cx="2521585" cy="1891030"/>
                    </a:xfrm>
                    <a:prstGeom prst="rect">
                      <a:avLst/>
                    </a:prstGeom>
                    <a:noFill/>
                    <a:ln>
                      <a:noFill/>
                    </a:ln>
                  </pic:spPr>
                </pic:pic>
              </a:graphicData>
            </a:graphic>
          </wp:inline>
        </w:drawing>
      </w:r>
      <w:r>
        <w:rPr>
          <w:rFonts w:hint="eastAsia"/>
          <w:color w:val="000000"/>
          <w:sz w:val="28"/>
          <w:szCs w:val="28"/>
        </w:rPr>
        <w:t xml:space="preserve">  </w:t>
      </w:r>
      <w:r>
        <w:rPr>
          <w:rFonts w:hint="eastAsia"/>
          <w:color w:val="000000"/>
          <w:sz w:val="28"/>
          <w:szCs w:val="28"/>
        </w:rPr>
        <w:drawing>
          <wp:inline distT="0" distB="0" distL="114300" distR="114300">
            <wp:extent cx="1685290" cy="1910080"/>
            <wp:effectExtent l="0" t="0" r="10160" b="13970"/>
            <wp:docPr id="11" name="图片 15" descr="IMG_20201212_102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5" descr="IMG_20201212_102455"/>
                    <pic:cNvPicPr>
                      <a:picLocks noChangeAspect="1"/>
                    </pic:cNvPicPr>
                  </pic:nvPicPr>
                  <pic:blipFill>
                    <a:blip r:embed="rId17"/>
                    <a:srcRect r="33815"/>
                    <a:stretch>
                      <a:fillRect/>
                    </a:stretch>
                  </pic:blipFill>
                  <pic:spPr>
                    <a:xfrm>
                      <a:off x="0" y="0"/>
                      <a:ext cx="1685290" cy="1910080"/>
                    </a:xfrm>
                    <a:prstGeom prst="rect">
                      <a:avLst/>
                    </a:prstGeom>
                    <a:noFill/>
                    <a:ln>
                      <a:noFill/>
                    </a:ln>
                  </pic:spPr>
                </pic:pic>
              </a:graphicData>
            </a:graphic>
          </wp:inline>
        </w:drawing>
      </w:r>
    </w:p>
    <w:p>
      <w:pPr>
        <w:spacing w:line="360" w:lineRule="auto"/>
        <w:jc w:val="center"/>
        <w:rPr>
          <w:color w:val="000000"/>
          <w:sz w:val="24"/>
        </w:rPr>
      </w:pPr>
      <w:r>
        <w:rPr>
          <w:rFonts w:hint="eastAsia" w:hAnsi="宋体"/>
          <w:color w:val="000000"/>
          <w:sz w:val="24"/>
        </w:rPr>
        <w:t>照片1</w:t>
      </w:r>
      <w:r>
        <w:rPr>
          <w:rFonts w:hAnsi="宋体"/>
          <w:color w:val="000000"/>
          <w:sz w:val="24"/>
        </w:rPr>
        <w:t>：公路开挖揭露面</w:t>
      </w:r>
    </w:p>
    <w:p>
      <w:pPr>
        <w:pStyle w:val="4"/>
        <w:spacing w:before="0" w:after="0" w:line="240" w:lineRule="auto"/>
        <w:rPr>
          <w:rFonts w:hint="eastAsia" w:ascii="宋体" w:hAnsi="宋体"/>
          <w:sz w:val="28"/>
          <w:szCs w:val="28"/>
        </w:rPr>
      </w:pPr>
      <w:r>
        <w:rPr>
          <w:rFonts w:hint="eastAsia" w:eastAsia="仿宋"/>
          <w:sz w:val="28"/>
          <w:szCs w:val="28"/>
        </w:rPr>
        <w:t>2</w:t>
      </w:r>
      <w:r>
        <w:rPr>
          <w:rFonts w:eastAsia="仿宋"/>
          <w:sz w:val="28"/>
          <w:szCs w:val="28"/>
        </w:rPr>
        <w:t>.</w:t>
      </w:r>
      <w:r>
        <w:rPr>
          <w:rFonts w:hint="eastAsia" w:eastAsia="仿宋"/>
          <w:sz w:val="28"/>
          <w:szCs w:val="28"/>
        </w:rPr>
        <w:t>3</w:t>
      </w:r>
      <w:r>
        <w:rPr>
          <w:rFonts w:eastAsia="仿宋"/>
          <w:sz w:val="28"/>
          <w:szCs w:val="28"/>
        </w:rPr>
        <w:t>.</w:t>
      </w:r>
      <w:r>
        <w:rPr>
          <w:rFonts w:hint="eastAsia" w:eastAsia="仿宋"/>
          <w:sz w:val="28"/>
          <w:szCs w:val="28"/>
        </w:rPr>
        <w:t>2</w:t>
      </w:r>
      <w:r>
        <w:rPr>
          <w:rFonts w:eastAsia="仿宋"/>
          <w:sz w:val="28"/>
          <w:szCs w:val="28"/>
        </w:rPr>
        <w:t xml:space="preserve"> </w:t>
      </w:r>
      <w:r>
        <w:rPr>
          <w:rFonts w:hint="eastAsia" w:ascii="宋体" w:hAnsi="宋体"/>
          <w:sz w:val="28"/>
          <w:szCs w:val="28"/>
        </w:rPr>
        <w:t>矿石质量</w:t>
      </w:r>
    </w:p>
    <w:p>
      <w:pPr>
        <w:rPr>
          <w:rFonts w:hint="eastAsia"/>
          <w:sz w:val="28"/>
          <w:szCs w:val="28"/>
        </w:rPr>
      </w:pPr>
      <w:r>
        <w:rPr>
          <w:rFonts w:hint="eastAsia"/>
          <w:sz w:val="28"/>
          <w:szCs w:val="28"/>
        </w:rPr>
        <w:t xml:space="preserve">    (1)矿石的矿物组成及结构构造</w:t>
      </w:r>
    </w:p>
    <w:p>
      <w:pPr>
        <w:rPr>
          <w:rFonts w:hint="eastAsia"/>
          <w:sz w:val="28"/>
          <w:szCs w:val="28"/>
        </w:rPr>
      </w:pPr>
      <w:r>
        <w:rPr>
          <w:rFonts w:hint="eastAsia"/>
          <w:sz w:val="28"/>
          <w:szCs w:val="28"/>
        </w:rPr>
        <w:t xml:space="preserve">    矿石组分以水云母、高岭石为主，含量高达95%，次有少量方解石、白云母碎片及黑色岩屑细粒。矿石为褐红、棕红色，泥质结构，结构较均一，层状构造。层理不发育，风化后呈砂质粘土。普氏硬度系数1.2～3。当泥岩粉碎物为180目时，塑性指数为4.2～11.6。砂岩矿主要由粉砂碎屑组成，碎屑组分以石英为主，少量长石和岩屑，钙质胶结，粉砂状结构，块状构造。普氏硬度系数为4～6，一般为5。</w:t>
      </w:r>
    </w:p>
    <w:p>
      <w:pPr>
        <w:rPr>
          <w:rFonts w:hint="eastAsia"/>
          <w:sz w:val="28"/>
          <w:szCs w:val="28"/>
        </w:rPr>
      </w:pPr>
      <w:r>
        <w:rPr>
          <w:rFonts w:hint="eastAsia"/>
          <w:sz w:val="28"/>
          <w:szCs w:val="28"/>
        </w:rPr>
        <w:t xml:space="preserve">    (2)矿石的化学成分</w:t>
      </w:r>
    </w:p>
    <w:p>
      <w:pPr>
        <w:rPr>
          <w:rFonts w:hint="eastAsia"/>
          <w:sz w:val="28"/>
          <w:szCs w:val="28"/>
        </w:rPr>
      </w:pPr>
      <w:r>
        <w:rPr>
          <w:rFonts w:hint="eastAsia"/>
          <w:sz w:val="28"/>
          <w:szCs w:val="28"/>
        </w:rPr>
        <w:t xml:space="preserve">    拟设矿山未采样化试验，根据周边区域同类矿山采样分析结果，拟设矿区矿石(泥岩)的矿物成分为水云母、高岭土，其化学成分及含量为：二氧化硅(SiO</w:t>
      </w:r>
      <w:r>
        <w:rPr>
          <w:rFonts w:hint="eastAsia"/>
          <w:sz w:val="28"/>
          <w:szCs w:val="28"/>
          <w:vertAlign w:val="subscript"/>
        </w:rPr>
        <w:t>2</w:t>
      </w:r>
      <w:r>
        <w:rPr>
          <w:rFonts w:hint="eastAsia"/>
          <w:sz w:val="28"/>
          <w:szCs w:val="28"/>
        </w:rPr>
        <w:t>)约55～58%，三氧化二铝(Al</w:t>
      </w:r>
      <w:r>
        <w:rPr>
          <w:rFonts w:hint="eastAsia"/>
          <w:sz w:val="28"/>
          <w:szCs w:val="28"/>
          <w:vertAlign w:val="subscript"/>
        </w:rPr>
        <w:t>2</w:t>
      </w:r>
      <w:r>
        <w:rPr>
          <w:rFonts w:hint="eastAsia"/>
          <w:sz w:val="28"/>
          <w:szCs w:val="28"/>
        </w:rPr>
        <w:t>O</w:t>
      </w:r>
      <w:r>
        <w:rPr>
          <w:rFonts w:hint="eastAsia"/>
          <w:sz w:val="28"/>
          <w:szCs w:val="28"/>
          <w:vertAlign w:val="subscript"/>
        </w:rPr>
        <w:t>3</w:t>
      </w:r>
      <w:r>
        <w:rPr>
          <w:rFonts w:hint="eastAsia"/>
          <w:sz w:val="28"/>
          <w:szCs w:val="28"/>
        </w:rPr>
        <w:t>)13～15%，氧化钙+氧化镁(CaO+MgO)7～11%，无放射性异常，为较优质的制砖原料。</w:t>
      </w:r>
    </w:p>
    <w:p>
      <w:pPr>
        <w:pStyle w:val="4"/>
        <w:spacing w:before="0" w:after="0" w:line="240" w:lineRule="auto"/>
        <w:rPr>
          <w:rFonts w:hint="eastAsia" w:ascii="宋体" w:hAnsi="宋体"/>
          <w:sz w:val="28"/>
          <w:szCs w:val="28"/>
        </w:rPr>
      </w:pPr>
      <w:r>
        <w:rPr>
          <w:rFonts w:hint="eastAsia" w:eastAsia="仿宋"/>
          <w:sz w:val="28"/>
          <w:szCs w:val="28"/>
        </w:rPr>
        <w:t>2</w:t>
      </w:r>
      <w:r>
        <w:rPr>
          <w:rFonts w:eastAsia="仿宋"/>
          <w:sz w:val="28"/>
          <w:szCs w:val="28"/>
        </w:rPr>
        <w:t>.</w:t>
      </w:r>
      <w:r>
        <w:rPr>
          <w:rFonts w:hint="eastAsia" w:eastAsia="仿宋"/>
          <w:sz w:val="28"/>
          <w:szCs w:val="28"/>
        </w:rPr>
        <w:t>3</w:t>
      </w:r>
      <w:r>
        <w:rPr>
          <w:rFonts w:eastAsia="仿宋"/>
          <w:sz w:val="28"/>
          <w:szCs w:val="28"/>
        </w:rPr>
        <w:t>.</w:t>
      </w:r>
      <w:r>
        <w:rPr>
          <w:rFonts w:hint="eastAsia" w:eastAsia="仿宋"/>
          <w:sz w:val="28"/>
          <w:szCs w:val="28"/>
        </w:rPr>
        <w:t>3</w:t>
      </w:r>
      <w:r>
        <w:rPr>
          <w:rFonts w:eastAsia="仿宋"/>
          <w:sz w:val="28"/>
          <w:szCs w:val="28"/>
        </w:rPr>
        <w:t xml:space="preserve"> </w:t>
      </w:r>
      <w:r>
        <w:rPr>
          <w:rFonts w:hint="eastAsia" w:ascii="宋体" w:hAnsi="宋体"/>
          <w:sz w:val="28"/>
          <w:szCs w:val="28"/>
        </w:rPr>
        <w:t>矿石质量评述</w:t>
      </w:r>
    </w:p>
    <w:p>
      <w:pPr>
        <w:ind w:firstLine="560"/>
        <w:rPr>
          <w:rFonts w:hint="eastAsia"/>
          <w:sz w:val="28"/>
          <w:szCs w:val="28"/>
        </w:rPr>
      </w:pPr>
      <w:r>
        <w:rPr>
          <w:rFonts w:hint="eastAsia"/>
          <w:sz w:val="28"/>
          <w:szCs w:val="28"/>
        </w:rPr>
        <w:t>目前，国内尚未对泥岩制订专门的工业指标，但可参考砖瓦粘土的工业指标，并与省内、外部分页岩砖厂所用页岩的质量进行类比，按照砖瓦用粘土的工业指标，同时参考省内、外制作砖瓦的同类矿石质量，石桥镇麻油沟村小儿坡页岩矿矿石质量符合制砖所需原料的质量要求，且无放射性异常，故为较优质的制砖原料。</w:t>
      </w:r>
    </w:p>
    <w:p>
      <w:pPr>
        <w:pStyle w:val="4"/>
        <w:spacing w:before="0" w:after="0" w:line="240" w:lineRule="auto"/>
        <w:rPr>
          <w:rFonts w:hint="eastAsia" w:ascii="宋体" w:hAnsi="宋体"/>
          <w:sz w:val="28"/>
          <w:szCs w:val="28"/>
        </w:rPr>
      </w:pPr>
      <w:r>
        <w:rPr>
          <w:rFonts w:hint="eastAsia" w:eastAsia="仿宋"/>
          <w:sz w:val="28"/>
          <w:szCs w:val="28"/>
        </w:rPr>
        <w:t>2</w:t>
      </w:r>
      <w:r>
        <w:rPr>
          <w:rFonts w:eastAsia="仿宋"/>
          <w:sz w:val="28"/>
          <w:szCs w:val="28"/>
        </w:rPr>
        <w:t>.</w:t>
      </w:r>
      <w:r>
        <w:rPr>
          <w:rFonts w:hint="eastAsia" w:eastAsia="仿宋"/>
          <w:sz w:val="28"/>
          <w:szCs w:val="28"/>
        </w:rPr>
        <w:t>3</w:t>
      </w:r>
      <w:r>
        <w:rPr>
          <w:rFonts w:eastAsia="仿宋"/>
          <w:sz w:val="28"/>
          <w:szCs w:val="28"/>
        </w:rPr>
        <w:t>.</w:t>
      </w:r>
      <w:r>
        <w:rPr>
          <w:rFonts w:hint="eastAsia" w:eastAsia="仿宋"/>
          <w:sz w:val="28"/>
          <w:szCs w:val="28"/>
        </w:rPr>
        <w:t>4</w:t>
      </w:r>
      <w:r>
        <w:rPr>
          <w:rFonts w:eastAsia="仿宋"/>
          <w:sz w:val="28"/>
          <w:szCs w:val="28"/>
        </w:rPr>
        <w:t xml:space="preserve"> </w:t>
      </w:r>
      <w:r>
        <w:rPr>
          <w:rFonts w:hint="eastAsia" w:ascii="宋体" w:hAnsi="宋体"/>
          <w:sz w:val="28"/>
          <w:szCs w:val="28"/>
        </w:rPr>
        <w:t>矿石类型</w:t>
      </w:r>
    </w:p>
    <w:p>
      <w:pPr>
        <w:ind w:firstLine="560"/>
        <w:rPr>
          <w:rFonts w:hint="eastAsia"/>
          <w:sz w:val="28"/>
          <w:szCs w:val="28"/>
        </w:rPr>
      </w:pPr>
      <w:r>
        <w:rPr>
          <w:rFonts w:hint="eastAsia"/>
          <w:sz w:val="28"/>
          <w:szCs w:val="28"/>
        </w:rPr>
        <w:t>按矿石成因和结构特征，该矿体属于内陆湖相碎屑沉积岩。按用途该矿石可作为建筑材料页岩砖的原材料。</w:t>
      </w:r>
    </w:p>
    <w:p>
      <w:pPr>
        <w:pStyle w:val="3"/>
        <w:spacing w:before="0" w:after="0" w:line="240" w:lineRule="auto"/>
        <w:rPr>
          <w:rFonts w:ascii="Times New Roman" w:hAnsi="Times New Roman" w:eastAsia="宋体"/>
          <w:sz w:val="30"/>
        </w:rPr>
      </w:pPr>
      <w:bookmarkStart w:id="26" w:name="_Toc59802139"/>
      <w:r>
        <w:rPr>
          <w:rFonts w:ascii="Times New Roman" w:hAnsi="Times New Roman" w:eastAsia="宋体"/>
          <w:sz w:val="30"/>
        </w:rPr>
        <w:t>2.</w:t>
      </w:r>
      <w:r>
        <w:rPr>
          <w:rFonts w:hint="eastAsia" w:ascii="Times New Roman" w:hAnsi="Times New Roman" w:eastAsia="宋体"/>
          <w:sz w:val="30"/>
        </w:rPr>
        <w:t>4</w:t>
      </w:r>
      <w:r>
        <w:rPr>
          <w:rFonts w:ascii="Times New Roman" w:hAnsi="Times New Roman" w:eastAsia="宋体"/>
          <w:sz w:val="30"/>
        </w:rPr>
        <w:t xml:space="preserve"> </w:t>
      </w:r>
      <w:r>
        <w:rPr>
          <w:rFonts w:hint="eastAsia" w:ascii="Times New Roman" w:hAnsi="Times New Roman" w:eastAsia="宋体"/>
          <w:sz w:val="30"/>
        </w:rPr>
        <w:t>围岩</w:t>
      </w:r>
      <w:r>
        <w:rPr>
          <w:rFonts w:ascii="Times New Roman" w:hAnsi="Times New Roman" w:eastAsia="宋体"/>
          <w:sz w:val="30"/>
        </w:rPr>
        <w:t>特征</w:t>
      </w:r>
      <w:bookmarkEnd w:id="26"/>
    </w:p>
    <w:p>
      <w:pPr>
        <w:ind w:firstLine="560"/>
        <w:rPr>
          <w:rFonts w:hint="eastAsia"/>
          <w:sz w:val="28"/>
          <w:szCs w:val="28"/>
        </w:rPr>
      </w:pPr>
      <w:r>
        <w:rPr>
          <w:rFonts w:hint="eastAsia"/>
          <w:sz w:val="28"/>
          <w:szCs w:val="28"/>
        </w:rPr>
        <w:t>拟设矿山矿层裸露于地表，为露天矿，且可全层开采利用，故无顶板围岩，其直接底板围岩仍为泥岩、粉砂质泥岩。</w:t>
      </w:r>
    </w:p>
    <w:p>
      <w:pPr>
        <w:pStyle w:val="2"/>
        <w:spacing w:before="0" w:after="0" w:line="240" w:lineRule="auto"/>
        <w:ind w:right="105" w:rightChars="50"/>
        <w:jc w:val="left"/>
        <w:rPr>
          <w:rStyle w:val="23"/>
          <w:color w:val="000000"/>
          <w:sz w:val="32"/>
          <w:szCs w:val="32"/>
        </w:rPr>
      </w:pPr>
      <w:bookmarkStart w:id="27" w:name="_Toc59802140"/>
      <w:r>
        <w:rPr>
          <w:rStyle w:val="23"/>
          <w:color w:val="000000"/>
          <w:sz w:val="32"/>
          <w:szCs w:val="32"/>
        </w:rPr>
        <w:t>3矿石加工技术性能</w:t>
      </w:r>
      <w:bookmarkEnd w:id="27"/>
    </w:p>
    <w:p>
      <w:pPr>
        <w:pStyle w:val="44"/>
        <w:spacing w:line="240" w:lineRule="auto"/>
        <w:ind w:firstLine="560"/>
        <w:rPr>
          <w:rFonts w:hint="eastAsia"/>
          <w:color w:val="000000"/>
          <w:sz w:val="28"/>
          <w:szCs w:val="28"/>
        </w:rPr>
      </w:pPr>
      <w:r>
        <w:rPr>
          <w:rFonts w:hint="eastAsia" w:hAnsi="宋体"/>
          <w:color w:val="000000"/>
          <w:sz w:val="28"/>
          <w:szCs w:val="28"/>
        </w:rPr>
        <w:t>该矿矿石拟用作页岩砖原材料，</w:t>
      </w:r>
      <w:r>
        <w:rPr>
          <w:rFonts w:hAnsi="宋体"/>
          <w:color w:val="000000"/>
          <w:sz w:val="28"/>
          <w:szCs w:val="28"/>
        </w:rPr>
        <w:t>将</w:t>
      </w:r>
      <w:r>
        <w:rPr>
          <w:rFonts w:hint="eastAsia" w:hAnsi="宋体"/>
          <w:color w:val="000000"/>
          <w:sz w:val="28"/>
          <w:szCs w:val="28"/>
        </w:rPr>
        <w:t>矿山开采的</w:t>
      </w:r>
      <w:r>
        <w:rPr>
          <w:rFonts w:hAnsi="宋体"/>
          <w:color w:val="000000"/>
          <w:sz w:val="28"/>
          <w:szCs w:val="28"/>
        </w:rPr>
        <w:t>原料机械粉碎到</w:t>
      </w:r>
      <w:r>
        <w:rPr>
          <w:rFonts w:hint="eastAsia" w:hAnsi="宋体"/>
          <w:color w:val="000000"/>
          <w:sz w:val="28"/>
          <w:szCs w:val="28"/>
        </w:rPr>
        <w:t>合适的</w:t>
      </w:r>
      <w:r>
        <w:rPr>
          <w:rFonts w:hAnsi="宋体"/>
          <w:color w:val="000000"/>
          <w:sz w:val="28"/>
          <w:szCs w:val="28"/>
        </w:rPr>
        <w:t>粒径即可用作</w:t>
      </w:r>
      <w:r>
        <w:rPr>
          <w:rFonts w:hint="eastAsia" w:hAnsi="宋体"/>
          <w:color w:val="000000"/>
          <w:sz w:val="28"/>
          <w:szCs w:val="28"/>
        </w:rPr>
        <w:t>制砖原料</w:t>
      </w:r>
      <w:r>
        <w:rPr>
          <w:rFonts w:hAnsi="宋体"/>
          <w:color w:val="000000"/>
          <w:sz w:val="28"/>
          <w:szCs w:val="28"/>
        </w:rPr>
        <w:t>，</w:t>
      </w:r>
      <w:r>
        <w:rPr>
          <w:rFonts w:hint="eastAsia" w:hAnsi="宋体"/>
          <w:color w:val="000000"/>
          <w:sz w:val="28"/>
          <w:szCs w:val="28"/>
        </w:rPr>
        <w:t>一般砖瓦粘土的颗粒组成范围及含量如插表3，目前国内所使用的粉碎机都能满足要求，</w:t>
      </w:r>
      <w:r>
        <w:rPr>
          <w:rFonts w:hAnsi="宋体"/>
          <w:color w:val="000000"/>
          <w:sz w:val="28"/>
          <w:szCs w:val="28"/>
        </w:rPr>
        <w:t>该区内矿石加工技术简单。</w:t>
      </w:r>
    </w:p>
    <w:p>
      <w:pPr>
        <w:spacing w:line="0" w:lineRule="atLeast"/>
        <w:jc w:val="center"/>
        <w:rPr>
          <w:rFonts w:hint="eastAsia" w:ascii="宋体" w:hAnsi="宋体"/>
          <w:b/>
          <w:sz w:val="28"/>
          <w:szCs w:val="28"/>
        </w:rPr>
      </w:pPr>
      <w:r>
        <w:rPr>
          <w:rFonts w:hint="eastAsia" w:ascii="宋体" w:hAnsi="宋体"/>
          <w:b/>
          <w:sz w:val="28"/>
          <w:szCs w:val="28"/>
        </w:rPr>
        <w:t>一般砖瓦粘土的颗粒组成范围及含量</w:t>
      </w:r>
    </w:p>
    <w:p>
      <w:pPr>
        <w:pStyle w:val="44"/>
        <w:spacing w:line="240" w:lineRule="auto"/>
        <w:ind w:firstLine="0" w:firstLineChars="0"/>
        <w:jc w:val="right"/>
        <w:rPr>
          <w:rFonts w:hint="eastAsia"/>
          <w:bCs/>
        </w:rPr>
      </w:pPr>
      <w:r>
        <w:rPr>
          <w:rFonts w:hAnsi="宋体"/>
          <w:bCs/>
        </w:rPr>
        <w:t>插表</w:t>
      </w:r>
      <w:r>
        <w:rPr>
          <w:rFonts w:hint="eastAsia"/>
          <w:bCs/>
        </w:rPr>
        <w:t>3</w:t>
      </w:r>
    </w:p>
    <w:tbl>
      <w:tblPr>
        <w:tblStyle w:val="19"/>
        <w:tblW w:w="5000"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576"/>
        <w:gridCol w:w="2036"/>
        <w:gridCol w:w="3047"/>
        <w:gridCol w:w="23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873" w:type="pct"/>
            <w:noWrap w:val="0"/>
            <w:vAlign w:val="center"/>
          </w:tcPr>
          <w:p>
            <w:pPr>
              <w:pStyle w:val="44"/>
              <w:spacing w:line="240" w:lineRule="auto"/>
              <w:ind w:firstLine="0" w:firstLineChars="0"/>
              <w:jc w:val="center"/>
              <w:rPr>
                <w:rFonts w:hint="eastAsia"/>
                <w:color w:val="000000"/>
                <w:szCs w:val="24"/>
              </w:rPr>
            </w:pPr>
            <w:r>
              <w:rPr>
                <w:rFonts w:hint="eastAsia"/>
                <w:color w:val="000000"/>
                <w:szCs w:val="24"/>
              </w:rPr>
              <w:t>颗粒分级</w:t>
            </w:r>
          </w:p>
        </w:tc>
        <w:tc>
          <w:tcPr>
            <w:tcW w:w="1128" w:type="pct"/>
            <w:noWrap w:val="0"/>
            <w:vAlign w:val="center"/>
          </w:tcPr>
          <w:p>
            <w:pPr>
              <w:pStyle w:val="44"/>
              <w:spacing w:line="240" w:lineRule="auto"/>
              <w:ind w:firstLine="0" w:firstLineChars="0"/>
              <w:jc w:val="center"/>
              <w:rPr>
                <w:rFonts w:hint="eastAsia"/>
                <w:color w:val="000000"/>
                <w:szCs w:val="24"/>
              </w:rPr>
            </w:pPr>
            <w:r>
              <w:rPr>
                <w:rFonts w:hint="eastAsia"/>
                <w:color w:val="000000"/>
                <w:szCs w:val="24"/>
              </w:rPr>
              <w:t>粘土级&lt;0.005mm</w:t>
            </w:r>
          </w:p>
        </w:tc>
        <w:tc>
          <w:tcPr>
            <w:tcW w:w="1688" w:type="pct"/>
            <w:noWrap w:val="0"/>
            <w:vAlign w:val="center"/>
          </w:tcPr>
          <w:p>
            <w:pPr>
              <w:pStyle w:val="44"/>
              <w:spacing w:line="240" w:lineRule="auto"/>
              <w:ind w:firstLine="0" w:firstLineChars="0"/>
              <w:jc w:val="center"/>
              <w:rPr>
                <w:rFonts w:hint="eastAsia"/>
                <w:color w:val="000000"/>
                <w:szCs w:val="24"/>
              </w:rPr>
            </w:pPr>
            <w:r>
              <w:rPr>
                <w:rFonts w:hint="eastAsia"/>
                <w:color w:val="000000"/>
                <w:szCs w:val="24"/>
              </w:rPr>
              <w:t>尘土(粒)级0.005～0.05mm</w:t>
            </w:r>
          </w:p>
        </w:tc>
        <w:tc>
          <w:tcPr>
            <w:tcW w:w="1310" w:type="pct"/>
            <w:noWrap w:val="0"/>
            <w:vAlign w:val="center"/>
          </w:tcPr>
          <w:p>
            <w:pPr>
              <w:pStyle w:val="44"/>
              <w:spacing w:line="240" w:lineRule="auto"/>
              <w:ind w:firstLine="0" w:firstLineChars="0"/>
              <w:jc w:val="center"/>
              <w:rPr>
                <w:rFonts w:hint="eastAsia"/>
                <w:color w:val="000000"/>
                <w:szCs w:val="24"/>
              </w:rPr>
            </w:pPr>
            <w:r>
              <w:rPr>
                <w:rFonts w:hint="eastAsia"/>
                <w:color w:val="000000"/>
                <w:szCs w:val="24"/>
              </w:rPr>
              <w:t>砂土级&gt;0.05mm</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873" w:type="pct"/>
            <w:noWrap w:val="0"/>
            <w:vAlign w:val="center"/>
          </w:tcPr>
          <w:p>
            <w:pPr>
              <w:pStyle w:val="44"/>
              <w:spacing w:line="240" w:lineRule="auto"/>
              <w:ind w:firstLine="0" w:firstLineChars="0"/>
              <w:jc w:val="center"/>
              <w:rPr>
                <w:rFonts w:hint="eastAsia"/>
                <w:color w:val="000000"/>
                <w:szCs w:val="24"/>
              </w:rPr>
            </w:pPr>
            <w:r>
              <w:rPr>
                <w:rFonts w:hint="eastAsia"/>
                <w:color w:val="000000"/>
                <w:szCs w:val="24"/>
              </w:rPr>
              <w:t>波动范围(%)</w:t>
            </w:r>
          </w:p>
        </w:tc>
        <w:tc>
          <w:tcPr>
            <w:tcW w:w="1128" w:type="pct"/>
            <w:noWrap w:val="0"/>
            <w:vAlign w:val="center"/>
          </w:tcPr>
          <w:p>
            <w:pPr>
              <w:pStyle w:val="44"/>
              <w:spacing w:line="240" w:lineRule="auto"/>
              <w:ind w:firstLine="0" w:firstLineChars="0"/>
              <w:jc w:val="center"/>
              <w:rPr>
                <w:rFonts w:hint="eastAsia"/>
                <w:color w:val="000000"/>
                <w:szCs w:val="24"/>
              </w:rPr>
            </w:pPr>
            <w:r>
              <w:rPr>
                <w:rFonts w:hint="eastAsia"/>
                <w:color w:val="000000"/>
                <w:szCs w:val="24"/>
              </w:rPr>
              <w:t>9～38</w:t>
            </w:r>
          </w:p>
        </w:tc>
        <w:tc>
          <w:tcPr>
            <w:tcW w:w="1688" w:type="pct"/>
            <w:noWrap w:val="0"/>
            <w:vAlign w:val="center"/>
          </w:tcPr>
          <w:p>
            <w:pPr>
              <w:pStyle w:val="44"/>
              <w:spacing w:line="240" w:lineRule="auto"/>
              <w:ind w:firstLine="0" w:firstLineChars="0"/>
              <w:jc w:val="center"/>
              <w:rPr>
                <w:rFonts w:hint="eastAsia"/>
                <w:color w:val="000000"/>
                <w:szCs w:val="24"/>
              </w:rPr>
            </w:pPr>
            <w:r>
              <w:rPr>
                <w:rFonts w:hint="eastAsia"/>
                <w:color w:val="000000"/>
                <w:szCs w:val="24"/>
              </w:rPr>
              <w:t>10～55</w:t>
            </w:r>
          </w:p>
        </w:tc>
        <w:tc>
          <w:tcPr>
            <w:tcW w:w="1310" w:type="pct"/>
            <w:noWrap w:val="0"/>
            <w:vAlign w:val="center"/>
          </w:tcPr>
          <w:p>
            <w:pPr>
              <w:pStyle w:val="44"/>
              <w:spacing w:line="240" w:lineRule="auto"/>
              <w:ind w:firstLine="0" w:firstLineChars="0"/>
              <w:rPr>
                <w:rFonts w:hint="eastAsia"/>
                <w:color w:val="000000"/>
                <w:szCs w:val="24"/>
              </w:rPr>
            </w:pPr>
            <w:r>
              <w:rPr>
                <w:rFonts w:hint="eastAsia"/>
                <w:color w:val="000000"/>
                <w:szCs w:val="24"/>
              </w:rPr>
              <w:t>2～26(其中&gt;0.25mm</w:t>
            </w:r>
          </w:p>
          <w:p>
            <w:pPr>
              <w:pStyle w:val="44"/>
              <w:spacing w:line="240" w:lineRule="auto"/>
              <w:ind w:firstLine="0" w:firstLineChars="0"/>
              <w:rPr>
                <w:rFonts w:hint="eastAsia"/>
                <w:color w:val="000000"/>
                <w:szCs w:val="24"/>
              </w:rPr>
            </w:pPr>
            <w:r>
              <w:rPr>
                <w:rFonts w:hint="eastAsia"/>
                <w:color w:val="000000"/>
                <w:szCs w:val="24"/>
              </w:rPr>
              <w:t>的不多于2%)</w:t>
            </w:r>
          </w:p>
        </w:tc>
      </w:tr>
    </w:tbl>
    <w:p>
      <w:pPr>
        <w:pStyle w:val="2"/>
        <w:spacing w:before="0" w:after="0" w:line="240" w:lineRule="auto"/>
        <w:ind w:right="105" w:rightChars="50"/>
        <w:jc w:val="left"/>
        <w:rPr>
          <w:rStyle w:val="23"/>
          <w:color w:val="000000"/>
          <w:sz w:val="32"/>
          <w:szCs w:val="32"/>
        </w:rPr>
      </w:pPr>
      <w:bookmarkStart w:id="28" w:name="_Toc59802141"/>
      <w:r>
        <w:rPr>
          <w:rStyle w:val="23"/>
          <w:color w:val="000000"/>
          <w:sz w:val="32"/>
          <w:szCs w:val="32"/>
        </w:rPr>
        <w:t>4 矿山开采技术条件</w:t>
      </w:r>
      <w:bookmarkEnd w:id="28"/>
    </w:p>
    <w:p>
      <w:pPr>
        <w:pStyle w:val="3"/>
        <w:adjustRightInd w:val="0"/>
        <w:spacing w:before="0" w:after="0" w:line="240" w:lineRule="auto"/>
        <w:ind w:right="105" w:rightChars="50"/>
        <w:jc w:val="left"/>
        <w:rPr>
          <w:rStyle w:val="23"/>
          <w:rFonts w:ascii="Times New Roman" w:hAnsi="Times New Roman" w:eastAsia="宋体"/>
          <w:color w:val="000000"/>
          <w:sz w:val="30"/>
          <w:szCs w:val="30"/>
        </w:rPr>
      </w:pPr>
      <w:bookmarkStart w:id="29" w:name="_Toc59802142"/>
      <w:r>
        <w:rPr>
          <w:rStyle w:val="23"/>
          <w:rFonts w:ascii="Times New Roman" w:hAnsi="Times New Roman" w:eastAsia="宋体"/>
          <w:color w:val="000000"/>
          <w:sz w:val="30"/>
          <w:szCs w:val="30"/>
        </w:rPr>
        <w:t>4.1 水文地质条件</w:t>
      </w:r>
      <w:bookmarkEnd w:id="29"/>
    </w:p>
    <w:p>
      <w:pPr>
        <w:ind w:firstLine="570"/>
        <w:rPr>
          <w:rFonts w:hint="eastAsia"/>
          <w:sz w:val="28"/>
          <w:szCs w:val="28"/>
        </w:rPr>
      </w:pPr>
      <w:r>
        <w:rPr>
          <w:rFonts w:hint="eastAsia"/>
          <w:sz w:val="28"/>
          <w:szCs w:val="28"/>
        </w:rPr>
        <w:t>区域内地表水系属渠江水系，矿区范围内无地表水体及冲沟，大气降水形成坡面流流出区外，汇入巴河，再注入渠江。区域地下水主要为基岩裂隙水，矿层为相对隔水层，上下层无水力联系。由于矿区为斜坡地形，地表水迳流条件较好。经调查矿区未发现泉井点，矿区地下水贫乏，采矿场最低开采标高高于当地最低侵蚀基准面。</w:t>
      </w:r>
    </w:p>
    <w:p>
      <w:pPr>
        <w:autoSpaceDE w:val="0"/>
        <w:autoSpaceDN w:val="0"/>
        <w:adjustRightInd w:val="0"/>
        <w:ind w:firstLine="560" w:firstLineChars="200"/>
        <w:rPr>
          <w:rFonts w:eastAsia="仿宋_GB2312"/>
          <w:sz w:val="28"/>
        </w:rPr>
      </w:pPr>
      <w:r>
        <w:rPr>
          <w:rFonts w:hint="eastAsia"/>
          <w:sz w:val="28"/>
          <w:szCs w:val="28"/>
        </w:rPr>
        <w:t>矿区水文地质条件简单。</w:t>
      </w:r>
    </w:p>
    <w:p>
      <w:pPr>
        <w:pStyle w:val="3"/>
        <w:adjustRightInd w:val="0"/>
        <w:spacing w:before="0" w:after="0" w:line="240" w:lineRule="auto"/>
        <w:ind w:right="105" w:rightChars="50"/>
        <w:jc w:val="left"/>
        <w:rPr>
          <w:rStyle w:val="23"/>
          <w:rFonts w:ascii="Times New Roman" w:hAnsi="Times New Roman" w:eastAsia="宋体"/>
          <w:color w:val="000000"/>
          <w:sz w:val="30"/>
          <w:szCs w:val="30"/>
        </w:rPr>
      </w:pPr>
      <w:bookmarkStart w:id="30" w:name="_Toc59802143"/>
      <w:r>
        <w:rPr>
          <w:rStyle w:val="23"/>
          <w:rFonts w:ascii="Times New Roman" w:hAnsi="Times New Roman" w:eastAsia="宋体"/>
          <w:color w:val="000000"/>
          <w:sz w:val="30"/>
          <w:szCs w:val="30"/>
        </w:rPr>
        <w:t>4.2 工程地质条件</w:t>
      </w:r>
      <w:bookmarkEnd w:id="30"/>
    </w:p>
    <w:p>
      <w:pPr>
        <w:ind w:firstLine="560" w:firstLineChars="200"/>
        <w:rPr>
          <w:rFonts w:eastAsia="仿宋_GB2312"/>
          <w:sz w:val="28"/>
          <w:szCs w:val="28"/>
        </w:rPr>
      </w:pPr>
      <w:r>
        <w:rPr>
          <w:rFonts w:hint="eastAsia"/>
          <w:sz w:val="28"/>
          <w:szCs w:val="28"/>
        </w:rPr>
        <w:t>拟设矿区开采矿体为泥岩，矿体完整性较好，硬度较小，属中硬岩类，矿层产状平缓，倾角5°左右，斜坡自然坡度一般28°左右，为顺向斜坡。在自然状态下，斜坡目前较为稳定。由于岩体强度较低，不利于矿山边坡的稳定，可能会导致采场发生局部的小滑坡、崩塌，对矿体开采有一定的影响。在开采中应注意各边坡上的危石和岩土，及时对其处理，确保安全开采。矿山为露天开采，开采方式应从上到下分阶梯露天开采，开采后采场最终边坡角≤50°，边坡最大高度130m左右，为切向斜坡，边坡相对稳定，矿山工程地质条件一般。</w:t>
      </w:r>
    </w:p>
    <w:p>
      <w:pPr>
        <w:pStyle w:val="3"/>
        <w:adjustRightInd w:val="0"/>
        <w:spacing w:before="0" w:after="0" w:line="240" w:lineRule="auto"/>
        <w:ind w:right="105" w:rightChars="50"/>
        <w:jc w:val="left"/>
        <w:rPr>
          <w:rStyle w:val="23"/>
          <w:rFonts w:ascii="Times New Roman" w:hAnsi="Times New Roman" w:eastAsia="宋体"/>
          <w:color w:val="000000"/>
          <w:sz w:val="30"/>
          <w:szCs w:val="30"/>
        </w:rPr>
      </w:pPr>
      <w:bookmarkStart w:id="31" w:name="_Toc59802144"/>
      <w:r>
        <w:rPr>
          <w:rStyle w:val="23"/>
          <w:rFonts w:ascii="Times New Roman" w:hAnsi="Times New Roman" w:eastAsia="宋体"/>
          <w:color w:val="000000"/>
          <w:sz w:val="30"/>
          <w:szCs w:val="30"/>
        </w:rPr>
        <w:t>4.3 环境地质条件</w:t>
      </w:r>
      <w:bookmarkEnd w:id="31"/>
    </w:p>
    <w:p>
      <w:pPr>
        <w:ind w:firstLine="570"/>
        <w:rPr>
          <w:rFonts w:hint="eastAsia" w:ascii="宋体" w:hAnsi="宋体"/>
          <w:sz w:val="28"/>
          <w:szCs w:val="28"/>
        </w:rPr>
      </w:pPr>
      <w:r>
        <w:rPr>
          <w:rFonts w:hint="eastAsia"/>
          <w:sz w:val="28"/>
          <w:szCs w:val="28"/>
        </w:rPr>
        <w:t>根据区域地质资料及现场调查，区域内无断层、裂隙密集带通过，地表未发现滑坡、崩塌、泥石流等地质灾害，由于矿山无开采史，所以区域内未发现废矿渣及土石污染等情况。</w:t>
      </w:r>
      <w:r>
        <w:rPr>
          <w:rFonts w:ascii="宋体" w:hAnsi="宋体"/>
          <w:sz w:val="28"/>
        </w:rPr>
        <w:t>矿区内水土保持良好，松柏等</w:t>
      </w:r>
      <w:r>
        <w:rPr>
          <w:rFonts w:hint="eastAsia" w:ascii="宋体" w:hAnsi="宋体" w:cs="宋体"/>
          <w:sz w:val="28"/>
        </w:rPr>
        <w:t>及</w:t>
      </w:r>
      <w:r>
        <w:rPr>
          <w:rFonts w:ascii="宋体" w:hAnsi="宋体"/>
          <w:sz w:val="28"/>
        </w:rPr>
        <w:t>其他小冠木等茂盛，矿山原始地貌保持完好。</w:t>
      </w:r>
    </w:p>
    <w:p>
      <w:pPr>
        <w:ind w:firstLine="560" w:firstLineChars="200"/>
        <w:rPr>
          <w:rFonts w:hint="eastAsia" w:eastAsia="仿宋_GB2312"/>
          <w:sz w:val="28"/>
        </w:rPr>
      </w:pPr>
      <w:r>
        <w:rPr>
          <w:rFonts w:hint="eastAsia"/>
          <w:sz w:val="28"/>
          <w:szCs w:val="28"/>
        </w:rPr>
        <w:t>矿区环境地质现状较好。</w:t>
      </w:r>
    </w:p>
    <w:p>
      <w:pPr>
        <w:spacing w:line="540" w:lineRule="exact"/>
        <w:ind w:firstLine="560" w:firstLineChars="200"/>
        <w:rPr>
          <w:rFonts w:hint="eastAsia" w:ascii="宋体" w:hAnsi="宋体" w:cs="宋体"/>
          <w:sz w:val="28"/>
        </w:rPr>
      </w:pPr>
      <w:r>
        <w:rPr>
          <w:rFonts w:hint="eastAsia" w:ascii="宋体" w:hAnsi="宋体" w:cs="宋体"/>
          <w:sz w:val="28"/>
        </w:rPr>
        <w:t>将来矿山开采采用从上而下分水平开采方式，产生粉尘较少，噪声小，远离城镇，因此对外界环境影响不大。</w:t>
      </w:r>
    </w:p>
    <w:p>
      <w:pPr>
        <w:spacing w:line="540" w:lineRule="exact"/>
        <w:ind w:firstLine="560" w:firstLineChars="200"/>
        <w:rPr>
          <w:sz w:val="28"/>
        </w:rPr>
      </w:pPr>
      <w:r>
        <w:rPr>
          <w:rFonts w:hAnsi="宋体"/>
          <w:sz w:val="28"/>
        </w:rPr>
        <w:t>区内为斜坡地形，将来矿山弃渣形成泥石流的地形条件具备，为避免泥</w:t>
      </w:r>
      <w:r>
        <w:rPr>
          <w:sz w:val="28"/>
        </w:rPr>
        <w:t>(</w:t>
      </w:r>
      <w:r>
        <w:rPr>
          <w:rFonts w:hAnsi="宋体"/>
          <w:sz w:val="28"/>
        </w:rPr>
        <w:t>渣</w:t>
      </w:r>
      <w:r>
        <w:rPr>
          <w:sz w:val="28"/>
        </w:rPr>
        <w:t>)</w:t>
      </w:r>
      <w:r>
        <w:rPr>
          <w:rFonts w:hAnsi="宋体"/>
          <w:sz w:val="28"/>
        </w:rPr>
        <w:t>石流的形成，建议今后作为废石</w:t>
      </w:r>
      <w:r>
        <w:rPr>
          <w:sz w:val="28"/>
        </w:rPr>
        <w:t>(</w:t>
      </w:r>
      <w:r>
        <w:rPr>
          <w:rFonts w:hAnsi="宋体"/>
          <w:sz w:val="28"/>
        </w:rPr>
        <w:t>土</w:t>
      </w:r>
      <w:r>
        <w:rPr>
          <w:sz w:val="28"/>
        </w:rPr>
        <w:t>)</w:t>
      </w:r>
      <w:r>
        <w:rPr>
          <w:rFonts w:hAnsi="宋体"/>
          <w:sz w:val="28"/>
        </w:rPr>
        <w:t>堆场应重视拦渣墙及溢洪道的设置，在规划设计尾矿坝前，要做专门工程地质勘察，对坝址进行稳定性评价。</w:t>
      </w:r>
    </w:p>
    <w:p>
      <w:pPr>
        <w:spacing w:line="540" w:lineRule="exact"/>
        <w:ind w:firstLine="560" w:firstLineChars="200"/>
        <w:rPr>
          <w:sz w:val="28"/>
        </w:rPr>
      </w:pPr>
      <w:r>
        <w:rPr>
          <w:rFonts w:hAnsi="宋体"/>
          <w:sz w:val="28"/>
        </w:rPr>
        <w:t>矿山生产凡要生产尘粒的部位</w:t>
      </w:r>
      <w:r>
        <w:rPr>
          <w:sz w:val="28"/>
        </w:rPr>
        <w:t>(</w:t>
      </w:r>
      <w:r>
        <w:rPr>
          <w:rFonts w:hAnsi="宋体"/>
          <w:sz w:val="28"/>
        </w:rPr>
        <w:t>如</w:t>
      </w:r>
      <w:r>
        <w:rPr>
          <w:rFonts w:hint="eastAsia" w:hAnsi="宋体"/>
          <w:sz w:val="28"/>
        </w:rPr>
        <w:t>页</w:t>
      </w:r>
      <w:r>
        <w:rPr>
          <w:rFonts w:hAnsi="宋体"/>
          <w:sz w:val="28"/>
        </w:rPr>
        <w:t>岩破碎及浅孔钻机等</w:t>
      </w:r>
      <w:r>
        <w:rPr>
          <w:sz w:val="28"/>
        </w:rPr>
        <w:t>)</w:t>
      </w:r>
      <w:r>
        <w:rPr>
          <w:rFonts w:hAnsi="宋体"/>
          <w:sz w:val="28"/>
        </w:rPr>
        <w:t>都要采取防尘措施，减少对空气的污染；矿山开采时爆破只产生瞬时强声，爆破时噪声虽大，但间歇时间长而持续时间短，因此噪声对外界环境影响不大。</w:t>
      </w:r>
    </w:p>
    <w:p>
      <w:pPr>
        <w:snapToGrid w:val="0"/>
        <w:spacing w:line="600" w:lineRule="exact"/>
        <w:ind w:firstLine="560" w:firstLineChars="200"/>
        <w:rPr>
          <w:sz w:val="28"/>
        </w:rPr>
      </w:pPr>
      <w:r>
        <w:rPr>
          <w:rFonts w:hAnsi="宋体"/>
          <w:sz w:val="28"/>
        </w:rPr>
        <w:t>总之，目前地质环境好，将来矿山开采应重视矿区及周边地质环境和生态环境保护。</w:t>
      </w:r>
    </w:p>
    <w:p>
      <w:pPr>
        <w:pStyle w:val="3"/>
        <w:adjustRightInd w:val="0"/>
        <w:spacing w:before="0" w:after="0" w:line="240" w:lineRule="auto"/>
        <w:ind w:right="105" w:rightChars="50"/>
        <w:jc w:val="left"/>
        <w:rPr>
          <w:rStyle w:val="23"/>
          <w:rFonts w:ascii="Times New Roman" w:hAnsi="Times New Roman" w:eastAsia="宋体"/>
          <w:color w:val="000000"/>
          <w:sz w:val="30"/>
          <w:szCs w:val="30"/>
        </w:rPr>
      </w:pPr>
      <w:bookmarkStart w:id="32" w:name="_Toc59802145"/>
      <w:r>
        <w:rPr>
          <w:rStyle w:val="23"/>
          <w:rFonts w:ascii="Times New Roman" w:hAnsi="Times New Roman" w:eastAsia="宋体"/>
          <w:color w:val="000000"/>
          <w:sz w:val="30"/>
          <w:szCs w:val="30"/>
        </w:rPr>
        <w:t>4.4 开采技术条件小结</w:t>
      </w:r>
      <w:bookmarkEnd w:id="32"/>
    </w:p>
    <w:p>
      <w:pPr>
        <w:ind w:firstLine="560" w:firstLineChars="200"/>
        <w:rPr>
          <w:sz w:val="28"/>
          <w:szCs w:val="28"/>
        </w:rPr>
      </w:pPr>
      <w:bookmarkStart w:id="33" w:name="_Toc161372329"/>
      <w:r>
        <w:rPr>
          <w:rFonts w:hAnsi="宋体"/>
          <w:sz w:val="28"/>
          <w:szCs w:val="28"/>
        </w:rPr>
        <w:t>矿区位于川东低山斜坡区，属构造剥蚀低山斜</w:t>
      </w:r>
      <w:r>
        <w:rPr>
          <w:rFonts w:hint="eastAsia" w:hAnsi="宋体"/>
          <w:sz w:val="28"/>
          <w:szCs w:val="28"/>
        </w:rPr>
        <w:t>沟</w:t>
      </w:r>
      <w:r>
        <w:rPr>
          <w:rFonts w:hAnsi="宋体"/>
          <w:sz w:val="28"/>
          <w:szCs w:val="28"/>
        </w:rPr>
        <w:t>谷地貌类型，矿区范围地形起伏较大，较陡。地表水主要由大气降雨补给，沟谷水为主，自然排泄条件好，地下水由大气降水补给，以</w:t>
      </w:r>
      <w:r>
        <w:rPr>
          <w:rFonts w:hint="eastAsia" w:hAnsi="宋体"/>
          <w:sz w:val="28"/>
          <w:szCs w:val="28"/>
        </w:rPr>
        <w:t>孔隙、</w:t>
      </w:r>
      <w:r>
        <w:rPr>
          <w:rFonts w:hAnsi="宋体"/>
          <w:sz w:val="28"/>
          <w:szCs w:val="28"/>
        </w:rPr>
        <w:t>裂隙水为主</w:t>
      </w:r>
      <w:r>
        <w:rPr>
          <w:rFonts w:hint="eastAsia" w:hAnsi="宋体"/>
          <w:sz w:val="28"/>
          <w:szCs w:val="28"/>
        </w:rPr>
        <w:t>，但泥岩孔隙、裂隙不发育，含水层富水性弱，</w:t>
      </w:r>
      <w:r>
        <w:rPr>
          <w:rFonts w:hAnsi="宋体"/>
          <w:sz w:val="28"/>
          <w:szCs w:val="28"/>
        </w:rPr>
        <w:t>属</w:t>
      </w:r>
      <w:r>
        <w:rPr>
          <w:rFonts w:hint="eastAsia" w:hAnsi="宋体"/>
          <w:sz w:val="28"/>
          <w:szCs w:val="28"/>
        </w:rPr>
        <w:t>相对隔</w:t>
      </w:r>
      <w:r>
        <w:rPr>
          <w:rFonts w:hAnsi="宋体"/>
          <w:sz w:val="28"/>
          <w:szCs w:val="28"/>
        </w:rPr>
        <w:t>水层，</w:t>
      </w:r>
      <w:r>
        <w:rPr>
          <w:rFonts w:hint="eastAsia" w:hAnsi="宋体"/>
          <w:sz w:val="28"/>
          <w:szCs w:val="28"/>
        </w:rPr>
        <w:t>且</w:t>
      </w:r>
      <w:r>
        <w:rPr>
          <w:rFonts w:hAnsi="宋体"/>
          <w:sz w:val="28"/>
          <w:szCs w:val="28"/>
        </w:rPr>
        <w:t>开采矿层位于最低排泄基准面以上，</w:t>
      </w:r>
      <w:r>
        <w:rPr>
          <w:rFonts w:hint="eastAsia" w:hAnsi="宋体"/>
          <w:sz w:val="28"/>
          <w:szCs w:val="28"/>
        </w:rPr>
        <w:t>矿区水文地质条件简单；拟设</w:t>
      </w:r>
      <w:r>
        <w:rPr>
          <w:rFonts w:hAnsi="宋体"/>
          <w:sz w:val="28"/>
          <w:szCs w:val="28"/>
        </w:rPr>
        <w:t>矿</w:t>
      </w:r>
      <w:r>
        <w:rPr>
          <w:rFonts w:hint="eastAsia" w:hAnsi="宋体"/>
          <w:sz w:val="28"/>
          <w:szCs w:val="28"/>
        </w:rPr>
        <w:t>山</w:t>
      </w:r>
      <w:r>
        <w:rPr>
          <w:rFonts w:hAnsi="宋体"/>
          <w:sz w:val="28"/>
          <w:szCs w:val="28"/>
        </w:rPr>
        <w:t>为露天开采，</w:t>
      </w:r>
      <w:r>
        <w:rPr>
          <w:rFonts w:hint="eastAsia"/>
          <w:sz w:val="28"/>
          <w:szCs w:val="28"/>
        </w:rPr>
        <w:t>全层可开采利用，</w:t>
      </w:r>
      <w:r>
        <w:rPr>
          <w:rFonts w:hAnsi="宋体"/>
          <w:sz w:val="28"/>
          <w:szCs w:val="28"/>
        </w:rPr>
        <w:t>岩性相对单一，岩石力学性质差异</w:t>
      </w:r>
      <w:r>
        <w:rPr>
          <w:rFonts w:hint="eastAsia" w:hAnsi="宋体"/>
          <w:sz w:val="28"/>
          <w:szCs w:val="28"/>
        </w:rPr>
        <w:t>小</w:t>
      </w:r>
      <w:r>
        <w:rPr>
          <w:rFonts w:hAnsi="宋体"/>
          <w:sz w:val="28"/>
          <w:szCs w:val="28"/>
        </w:rPr>
        <w:t>，尚不构成对矿山工程地质条件的改变，岩体结构面总体不发育，工程地质问题不突出，工程地质条件</w:t>
      </w:r>
      <w:r>
        <w:rPr>
          <w:rFonts w:hint="eastAsia" w:hAnsi="宋体"/>
          <w:sz w:val="28"/>
          <w:szCs w:val="28"/>
        </w:rPr>
        <w:t>一般；</w:t>
      </w:r>
      <w:r>
        <w:rPr>
          <w:rFonts w:hAnsi="宋体"/>
          <w:sz w:val="28"/>
          <w:szCs w:val="28"/>
        </w:rPr>
        <w:t>矿山采矿活动，对附近环境和水土资源有一定影响，废气物中基本不含有害组分，对植被的生长发育不存在严重破坏，且易恢复治理。根据《固体矿产地质勘查规范总则》</w:t>
      </w:r>
      <w:r>
        <w:rPr>
          <w:sz w:val="28"/>
          <w:szCs w:val="28"/>
        </w:rPr>
        <w:t>(GB/T13908—2002)</w:t>
      </w:r>
      <w:r>
        <w:rPr>
          <w:rFonts w:hAnsi="宋体"/>
          <w:sz w:val="28"/>
          <w:szCs w:val="28"/>
        </w:rPr>
        <w:t>之规定，该矿山开采技术属</w:t>
      </w:r>
      <w:r>
        <w:rPr>
          <w:rFonts w:hint="eastAsia"/>
          <w:sz w:val="28"/>
          <w:szCs w:val="28"/>
        </w:rPr>
        <w:t>“</w:t>
      </w:r>
      <w:r>
        <w:rPr>
          <w:rFonts w:hAnsi="宋体"/>
          <w:sz w:val="28"/>
          <w:szCs w:val="28"/>
        </w:rPr>
        <w:t>三类九型</w:t>
      </w:r>
      <w:r>
        <w:rPr>
          <w:rFonts w:hint="eastAsia" w:hAnsi="宋体"/>
          <w:sz w:val="28"/>
          <w:szCs w:val="28"/>
        </w:rPr>
        <w:t>”</w:t>
      </w:r>
      <w:r>
        <w:rPr>
          <w:rFonts w:hAnsi="宋体"/>
          <w:sz w:val="28"/>
          <w:szCs w:val="28"/>
        </w:rPr>
        <w:t>中的简单类型。</w:t>
      </w:r>
    </w:p>
    <w:p>
      <w:pPr>
        <w:pStyle w:val="2"/>
        <w:spacing w:before="0" w:after="0" w:line="240" w:lineRule="auto"/>
        <w:ind w:right="105" w:rightChars="50"/>
        <w:jc w:val="left"/>
        <w:rPr>
          <w:rStyle w:val="23"/>
          <w:color w:val="000000"/>
          <w:sz w:val="32"/>
          <w:szCs w:val="32"/>
        </w:rPr>
      </w:pPr>
      <w:bookmarkStart w:id="34" w:name="_Toc59802146"/>
      <w:bookmarkStart w:id="35" w:name="_Toc485220917"/>
      <w:r>
        <w:rPr>
          <w:rStyle w:val="23"/>
          <w:color w:val="000000"/>
          <w:sz w:val="32"/>
          <w:szCs w:val="32"/>
        </w:rPr>
        <w:t>5  核实地质工作</w:t>
      </w:r>
      <w:bookmarkEnd w:id="34"/>
      <w:bookmarkEnd w:id="35"/>
    </w:p>
    <w:p>
      <w:pPr>
        <w:pStyle w:val="3"/>
        <w:spacing w:before="0" w:after="0" w:line="240" w:lineRule="auto"/>
        <w:rPr>
          <w:rFonts w:ascii="Times New Roman" w:hAnsi="Times New Roman" w:eastAsia="宋体"/>
          <w:color w:val="000000"/>
          <w:sz w:val="30"/>
        </w:rPr>
      </w:pPr>
      <w:bookmarkStart w:id="36" w:name="_Toc485220918"/>
      <w:bookmarkStart w:id="37" w:name="_Toc59802147"/>
      <w:r>
        <w:rPr>
          <w:rFonts w:ascii="Times New Roman" w:hAnsi="Times New Roman" w:eastAsia="宋体"/>
          <w:color w:val="000000"/>
          <w:sz w:val="30"/>
        </w:rPr>
        <w:t>5.1 核实方法</w:t>
      </w:r>
      <w:bookmarkEnd w:id="36"/>
      <w:bookmarkEnd w:id="37"/>
    </w:p>
    <w:p>
      <w:pPr>
        <w:ind w:firstLine="560" w:firstLineChars="200"/>
        <w:rPr>
          <w:sz w:val="28"/>
          <w:lang w:val="zh-CN"/>
        </w:rPr>
      </w:pPr>
      <w:r>
        <w:rPr>
          <w:rFonts w:hAnsi="宋体"/>
          <w:sz w:val="28"/>
          <w:lang w:val="zh-CN"/>
        </w:rPr>
        <w:t>为详细查明达州市达川区</w:t>
      </w:r>
      <w:r>
        <w:rPr>
          <w:rFonts w:hint="eastAsia" w:hAnsi="宋体"/>
          <w:sz w:val="28"/>
          <w:lang w:val="zh-CN"/>
        </w:rPr>
        <w:t>石桥</w:t>
      </w:r>
      <w:r>
        <w:rPr>
          <w:rFonts w:hAnsi="宋体"/>
          <w:sz w:val="28"/>
          <w:lang w:val="zh-CN"/>
        </w:rPr>
        <w:t>镇</w:t>
      </w:r>
      <w:r>
        <w:rPr>
          <w:rFonts w:hint="eastAsia" w:hAnsi="宋体"/>
          <w:sz w:val="28"/>
          <w:lang w:val="zh-CN"/>
        </w:rPr>
        <w:t>麻油沟</w:t>
      </w:r>
      <w:r>
        <w:rPr>
          <w:rFonts w:hAnsi="宋体"/>
          <w:sz w:val="28"/>
          <w:lang w:val="zh-CN"/>
        </w:rPr>
        <w:t>村</w:t>
      </w:r>
      <w:r>
        <w:rPr>
          <w:rFonts w:hint="eastAsia" w:hAnsi="宋体"/>
          <w:sz w:val="28"/>
          <w:lang w:val="zh-CN"/>
        </w:rPr>
        <w:t>小儿坡页</w:t>
      </w:r>
      <w:r>
        <w:rPr>
          <w:rFonts w:hAnsi="宋体"/>
          <w:sz w:val="28"/>
          <w:lang w:val="zh-CN"/>
        </w:rPr>
        <w:t>岩矿</w:t>
      </w:r>
      <w:r>
        <w:rPr>
          <w:rFonts w:hAnsi="宋体"/>
          <w:sz w:val="28"/>
        </w:rPr>
        <w:t>拟设</w:t>
      </w:r>
      <w:r>
        <w:rPr>
          <w:rFonts w:hAnsi="宋体"/>
          <w:sz w:val="28"/>
          <w:lang w:val="zh-CN"/>
        </w:rPr>
        <w:t>矿区范围的资源赋存，本次采用以往资料收集、实地勘测和室内综合分析的方法完成本次资源储量核实工作。</w:t>
      </w:r>
    </w:p>
    <w:p>
      <w:pPr>
        <w:pStyle w:val="4"/>
        <w:spacing w:before="0" w:after="0" w:line="240" w:lineRule="auto"/>
        <w:rPr>
          <w:rFonts w:eastAsia="仿宋"/>
          <w:sz w:val="28"/>
          <w:szCs w:val="28"/>
        </w:rPr>
      </w:pPr>
      <w:r>
        <w:rPr>
          <w:rFonts w:eastAsia="仿宋"/>
          <w:sz w:val="28"/>
          <w:szCs w:val="28"/>
        </w:rPr>
        <w:t xml:space="preserve">5.1.1 </w:t>
      </w:r>
      <w:r>
        <w:rPr>
          <w:rFonts w:ascii="宋体" w:hAnsi="宋体"/>
          <w:sz w:val="28"/>
          <w:szCs w:val="28"/>
        </w:rPr>
        <w:t>资料收集</w:t>
      </w:r>
    </w:p>
    <w:p>
      <w:pPr>
        <w:spacing w:line="360" w:lineRule="auto"/>
        <w:ind w:firstLine="560" w:firstLineChars="200"/>
        <w:rPr>
          <w:sz w:val="28"/>
          <w:lang w:val="zh-CN"/>
        </w:rPr>
      </w:pPr>
      <w:r>
        <w:rPr>
          <w:rFonts w:hAnsi="宋体"/>
          <w:sz w:val="28"/>
          <w:lang w:val="zh-CN"/>
        </w:rPr>
        <w:t>本次收集了</w:t>
      </w:r>
      <w:r>
        <w:rPr>
          <w:rFonts w:hint="eastAsia" w:hAnsi="宋体"/>
          <w:sz w:val="28"/>
          <w:lang w:val="zh-CN"/>
        </w:rPr>
        <w:t>周边区域同类</w:t>
      </w:r>
      <w:r>
        <w:rPr>
          <w:rFonts w:hAnsi="宋体"/>
          <w:sz w:val="28"/>
          <w:lang w:val="zh-CN"/>
        </w:rPr>
        <w:t>矿山核实报告</w:t>
      </w:r>
      <w:r>
        <w:rPr>
          <w:rFonts w:hint="eastAsia"/>
          <w:sz w:val="28"/>
          <w:lang w:val="zh-CN"/>
        </w:rPr>
        <w:t>1</w:t>
      </w:r>
      <w:r>
        <w:rPr>
          <w:rFonts w:hAnsi="宋体"/>
          <w:sz w:val="28"/>
          <w:lang w:val="zh-CN"/>
        </w:rPr>
        <w:t>份以及该地区前人所作地质工作的有关部分。</w:t>
      </w:r>
    </w:p>
    <w:p>
      <w:pPr>
        <w:pStyle w:val="4"/>
        <w:spacing w:before="0" w:after="0" w:line="240" w:lineRule="auto"/>
        <w:rPr>
          <w:rFonts w:eastAsia="仿宋"/>
          <w:sz w:val="28"/>
          <w:szCs w:val="28"/>
        </w:rPr>
      </w:pPr>
      <w:r>
        <w:rPr>
          <w:rFonts w:eastAsia="仿宋"/>
          <w:sz w:val="28"/>
          <w:szCs w:val="28"/>
        </w:rPr>
        <w:t xml:space="preserve">5.1.2 </w:t>
      </w:r>
      <w:r>
        <w:rPr>
          <w:rFonts w:ascii="宋体" w:hAnsi="宋体"/>
          <w:sz w:val="28"/>
          <w:szCs w:val="28"/>
        </w:rPr>
        <w:t>矿山实地测量</w:t>
      </w:r>
    </w:p>
    <w:p>
      <w:pPr>
        <w:ind w:firstLine="560" w:firstLineChars="200"/>
        <w:rPr>
          <w:sz w:val="28"/>
          <w:szCs w:val="28"/>
          <w:lang w:val="zh-CN"/>
        </w:rPr>
      </w:pPr>
      <w:r>
        <w:rPr>
          <w:rFonts w:hAnsi="宋体"/>
          <w:sz w:val="28"/>
          <w:szCs w:val="28"/>
          <w:lang w:val="zh-CN"/>
        </w:rPr>
        <w:t>本次</w:t>
      </w:r>
      <w:r>
        <w:rPr>
          <w:rFonts w:hAnsi="宋体"/>
          <w:sz w:val="28"/>
          <w:szCs w:val="28"/>
        </w:rPr>
        <w:t>野外工作底图采用</w:t>
      </w:r>
      <w:r>
        <w:rPr>
          <w:sz w:val="28"/>
          <w:szCs w:val="28"/>
        </w:rPr>
        <w:t>1:</w:t>
      </w:r>
      <w:r>
        <w:rPr>
          <w:rFonts w:hint="eastAsia"/>
          <w:sz w:val="28"/>
          <w:szCs w:val="28"/>
        </w:rPr>
        <w:t>10</w:t>
      </w:r>
      <w:r>
        <w:rPr>
          <w:sz w:val="28"/>
          <w:szCs w:val="28"/>
        </w:rPr>
        <w:t>000</w:t>
      </w:r>
      <w:r>
        <w:rPr>
          <w:rFonts w:hAnsi="宋体"/>
          <w:sz w:val="28"/>
          <w:szCs w:val="28"/>
        </w:rPr>
        <w:t>地形图为基础；</w:t>
      </w:r>
      <w:r>
        <w:rPr>
          <w:rFonts w:hint="eastAsia" w:hAnsi="宋体"/>
          <w:sz w:val="28"/>
          <w:szCs w:val="28"/>
        </w:rPr>
        <w:t>原地形图为1954北京坐标系，根据收集的区内已知控制点(2000国家大地坐标系)，将原北京坐标系统的地形图</w:t>
      </w:r>
      <w:r>
        <w:rPr>
          <w:rFonts w:hint="eastAsia"/>
          <w:color w:val="000000"/>
          <w:sz w:val="28"/>
          <w:szCs w:val="28"/>
        </w:rPr>
        <w:t>利用南方数码地形地籍成图软件(Cass 10.1)转换成了2000国家大地坐标系，故本次坐标系统</w:t>
      </w:r>
      <w:r>
        <w:rPr>
          <w:rFonts w:hAnsi="宋体"/>
          <w:sz w:val="28"/>
          <w:szCs w:val="28"/>
        </w:rPr>
        <w:t>采用国家</w:t>
      </w:r>
      <w:r>
        <w:rPr>
          <w:sz w:val="28"/>
          <w:szCs w:val="28"/>
        </w:rPr>
        <w:t>2000</w:t>
      </w:r>
      <w:r>
        <w:rPr>
          <w:rFonts w:hAnsi="宋体"/>
          <w:sz w:val="28"/>
          <w:szCs w:val="28"/>
        </w:rPr>
        <w:t>大地坐标系，</w:t>
      </w:r>
      <w:r>
        <w:rPr>
          <w:sz w:val="28"/>
          <w:szCs w:val="28"/>
        </w:rPr>
        <w:t>1985</w:t>
      </w:r>
      <w:r>
        <w:rPr>
          <w:rFonts w:hint="eastAsia" w:hAnsi="宋体"/>
          <w:sz w:val="28"/>
          <w:szCs w:val="28"/>
        </w:rPr>
        <w:t>国家</w:t>
      </w:r>
      <w:r>
        <w:rPr>
          <w:rFonts w:hAnsi="宋体"/>
          <w:sz w:val="28"/>
          <w:szCs w:val="28"/>
        </w:rPr>
        <w:t>高程</w:t>
      </w:r>
      <w:r>
        <w:rPr>
          <w:rFonts w:hint="eastAsia" w:hAnsi="宋体"/>
          <w:sz w:val="28"/>
          <w:szCs w:val="28"/>
        </w:rPr>
        <w:t>基准</w:t>
      </w:r>
      <w:r>
        <w:rPr>
          <w:rFonts w:hAnsi="宋体"/>
          <w:sz w:val="28"/>
          <w:szCs w:val="28"/>
        </w:rPr>
        <w:t>；采用集思宝</w:t>
      </w:r>
      <w:r>
        <w:rPr>
          <w:sz w:val="28"/>
          <w:szCs w:val="28"/>
        </w:rPr>
        <w:t>GPS+</w:t>
      </w:r>
      <w:r>
        <w:rPr>
          <w:rFonts w:hAnsi="宋体"/>
          <w:sz w:val="28"/>
          <w:szCs w:val="28"/>
        </w:rPr>
        <w:t>北斗手持机</w:t>
      </w:r>
      <w:r>
        <w:rPr>
          <w:rFonts w:hAnsi="宋体"/>
          <w:sz w:val="28"/>
          <w:szCs w:val="28"/>
          <w:lang w:val="zh-CN"/>
        </w:rPr>
        <w:t>对地质点</w:t>
      </w:r>
      <w:r>
        <w:rPr>
          <w:rFonts w:hint="eastAsia" w:hAnsi="宋体"/>
          <w:sz w:val="28"/>
          <w:szCs w:val="28"/>
          <w:lang w:val="zh-CN"/>
        </w:rPr>
        <w:t>进行了测量；地</w:t>
      </w:r>
      <w:r>
        <w:rPr>
          <w:rFonts w:hAnsi="宋体"/>
          <w:sz w:val="28"/>
          <w:szCs w:val="28"/>
          <w:lang w:val="zh-CN"/>
        </w:rPr>
        <w:t>表主要地物、地类点等</w:t>
      </w:r>
      <w:r>
        <w:rPr>
          <w:rFonts w:hint="eastAsia" w:hAnsi="宋体"/>
          <w:sz w:val="28"/>
          <w:szCs w:val="28"/>
          <w:lang w:val="zh-CN"/>
        </w:rPr>
        <w:t>则采用南方测绘RTK(银河1)</w:t>
      </w:r>
      <w:r>
        <w:rPr>
          <w:rFonts w:hAnsi="宋体"/>
          <w:sz w:val="28"/>
          <w:szCs w:val="28"/>
          <w:lang w:val="zh-CN"/>
        </w:rPr>
        <w:t>进行了测量。</w:t>
      </w:r>
    </w:p>
    <w:p>
      <w:pPr>
        <w:pStyle w:val="3"/>
        <w:spacing w:before="0" w:after="0" w:line="240" w:lineRule="auto"/>
        <w:rPr>
          <w:rFonts w:ascii="Times New Roman" w:hAnsi="Times New Roman" w:eastAsia="宋体"/>
          <w:color w:val="000000"/>
          <w:sz w:val="30"/>
        </w:rPr>
      </w:pPr>
      <w:bookmarkStart w:id="38" w:name="_Toc59802148"/>
      <w:r>
        <w:rPr>
          <w:rFonts w:ascii="Times New Roman" w:hAnsi="Times New Roman" w:eastAsia="宋体"/>
          <w:color w:val="000000"/>
          <w:sz w:val="30"/>
        </w:rPr>
        <w:t>5.2 质量评述</w:t>
      </w:r>
      <w:bookmarkEnd w:id="38"/>
    </w:p>
    <w:p>
      <w:pPr>
        <w:ind w:firstLine="560" w:firstLineChars="200"/>
        <w:rPr>
          <w:sz w:val="28"/>
          <w:lang w:val="zh-CN"/>
        </w:rPr>
      </w:pPr>
      <w:r>
        <w:rPr>
          <w:rFonts w:hAnsi="宋体"/>
          <w:sz w:val="28"/>
          <w:szCs w:val="28"/>
        </w:rPr>
        <w:t>矿区矿层厚度分布稳定，矿层质量变化较小。实地调查中，已见地面矿层走向分布，</w:t>
      </w:r>
      <w:r>
        <w:rPr>
          <w:rFonts w:hint="eastAsia" w:hAnsi="宋体"/>
          <w:sz w:val="28"/>
          <w:szCs w:val="28"/>
        </w:rPr>
        <w:t>通过乡村公路开挖已揭露的矿层断面，</w:t>
      </w:r>
      <w:r>
        <w:rPr>
          <w:rFonts w:hAnsi="宋体"/>
          <w:sz w:val="28"/>
          <w:szCs w:val="28"/>
        </w:rPr>
        <w:t>能够直接观测矿层特征，根据所获已有资料综合分析出该矿区矿层的特征。工作中对开采技术条件及相关因素调查较为深入，且采用工程类比法以及同类矿山开采经验为借鉴，核实结果基本符合规范要求。</w:t>
      </w:r>
    </w:p>
    <w:bookmarkEnd w:id="33"/>
    <w:p>
      <w:pPr>
        <w:pStyle w:val="2"/>
        <w:adjustRightInd w:val="0"/>
        <w:spacing w:before="0" w:after="0" w:line="240" w:lineRule="auto"/>
        <w:ind w:left="105" w:leftChars="50" w:right="105" w:rightChars="50"/>
        <w:jc w:val="left"/>
        <w:rPr>
          <w:rStyle w:val="23"/>
          <w:color w:val="000000"/>
          <w:sz w:val="32"/>
          <w:szCs w:val="32"/>
        </w:rPr>
      </w:pPr>
      <w:bookmarkStart w:id="39" w:name="_Toc59802149"/>
      <w:r>
        <w:rPr>
          <w:rStyle w:val="23"/>
          <w:color w:val="000000"/>
          <w:sz w:val="32"/>
          <w:szCs w:val="32"/>
        </w:rPr>
        <w:t>6 资源储量估算</w:t>
      </w:r>
      <w:bookmarkEnd w:id="39"/>
    </w:p>
    <w:p>
      <w:pPr>
        <w:pStyle w:val="3"/>
        <w:spacing w:before="0" w:after="0" w:line="240" w:lineRule="auto"/>
        <w:ind w:right="105" w:rightChars="50"/>
        <w:jc w:val="left"/>
        <w:rPr>
          <w:rFonts w:ascii="Times New Roman" w:hAnsi="Times New Roman" w:eastAsia="宋体"/>
          <w:color w:val="000000"/>
          <w:sz w:val="30"/>
          <w:szCs w:val="30"/>
        </w:rPr>
      </w:pPr>
      <w:bookmarkStart w:id="40" w:name="_Toc59802150"/>
      <w:r>
        <w:rPr>
          <w:rFonts w:ascii="Times New Roman" w:hAnsi="Times New Roman" w:eastAsia="宋体"/>
          <w:color w:val="000000"/>
          <w:sz w:val="30"/>
          <w:szCs w:val="30"/>
        </w:rPr>
        <w:t>6.1 估算范围、对象</w:t>
      </w:r>
      <w:bookmarkEnd w:id="40"/>
    </w:p>
    <w:p>
      <w:pPr>
        <w:autoSpaceDE w:val="0"/>
        <w:autoSpaceDN w:val="0"/>
        <w:adjustRightInd w:val="0"/>
        <w:ind w:left="105" w:leftChars="50" w:right="105" w:rightChars="50" w:firstLine="560" w:firstLineChars="200"/>
        <w:jc w:val="left"/>
        <w:rPr>
          <w:sz w:val="28"/>
          <w:szCs w:val="28"/>
        </w:rPr>
      </w:pPr>
      <w:r>
        <w:rPr>
          <w:rFonts w:hAnsi="宋体"/>
          <w:sz w:val="28"/>
          <w:szCs w:val="28"/>
        </w:rPr>
        <w:t>估算范围：此次资源储量估算范围为拟设置矿区范围，由</w:t>
      </w:r>
      <w:r>
        <w:rPr>
          <w:rFonts w:hint="eastAsia"/>
          <w:sz w:val="28"/>
          <w:szCs w:val="28"/>
        </w:rPr>
        <w:t>12</w:t>
      </w:r>
      <w:r>
        <w:rPr>
          <w:rFonts w:hAnsi="宋体"/>
          <w:sz w:val="28"/>
          <w:szCs w:val="28"/>
        </w:rPr>
        <w:t>个拐点坐标圈定，估算面积为</w:t>
      </w:r>
      <w:r>
        <w:rPr>
          <w:sz w:val="28"/>
          <w:szCs w:val="28"/>
        </w:rPr>
        <w:t>0.1</w:t>
      </w:r>
      <w:r>
        <w:rPr>
          <w:rFonts w:hint="eastAsia"/>
          <w:sz w:val="28"/>
          <w:szCs w:val="28"/>
        </w:rPr>
        <w:t>272</w:t>
      </w:r>
      <w:r>
        <w:rPr>
          <w:sz w:val="28"/>
          <w:szCs w:val="28"/>
        </w:rPr>
        <w:t>km</w:t>
      </w:r>
      <w:r>
        <w:rPr>
          <w:sz w:val="28"/>
          <w:szCs w:val="28"/>
          <w:vertAlign w:val="superscript"/>
        </w:rPr>
        <w:t>2</w:t>
      </w:r>
      <w:r>
        <w:rPr>
          <w:rFonts w:hAnsi="宋体"/>
          <w:sz w:val="28"/>
          <w:szCs w:val="28"/>
        </w:rPr>
        <w:t>，估算标高</w:t>
      </w:r>
      <w:r>
        <w:rPr>
          <w:rFonts w:hint="eastAsia" w:hAnsi="宋体"/>
          <w:sz w:val="28"/>
          <w:szCs w:val="28"/>
        </w:rPr>
        <w:t>+50</w:t>
      </w:r>
      <w:r>
        <w:rPr>
          <w:sz w:val="28"/>
          <w:szCs w:val="28"/>
        </w:rPr>
        <w:t>0</w:t>
      </w:r>
      <w:r>
        <w:rPr>
          <w:rFonts w:hAnsi="宋体"/>
          <w:sz w:val="28"/>
          <w:szCs w:val="28"/>
        </w:rPr>
        <w:t>～</w:t>
      </w:r>
      <w:r>
        <w:rPr>
          <w:rFonts w:hint="eastAsia" w:hAnsi="宋体"/>
          <w:sz w:val="28"/>
          <w:szCs w:val="28"/>
        </w:rPr>
        <w:t>+</w:t>
      </w:r>
      <w:r>
        <w:rPr>
          <w:rFonts w:hint="eastAsia"/>
          <w:sz w:val="28"/>
          <w:szCs w:val="28"/>
        </w:rPr>
        <w:t>360</w:t>
      </w:r>
      <w:r>
        <w:rPr>
          <w:sz w:val="28"/>
          <w:szCs w:val="28"/>
        </w:rPr>
        <w:t>m</w:t>
      </w:r>
      <w:r>
        <w:rPr>
          <w:rFonts w:hAnsi="宋体"/>
          <w:sz w:val="28"/>
          <w:szCs w:val="28"/>
        </w:rPr>
        <w:t>。</w:t>
      </w:r>
    </w:p>
    <w:p>
      <w:pPr>
        <w:autoSpaceDE w:val="0"/>
        <w:autoSpaceDN w:val="0"/>
        <w:adjustRightInd w:val="0"/>
        <w:ind w:left="105" w:leftChars="50" w:right="105" w:rightChars="50" w:firstLine="560" w:firstLineChars="200"/>
        <w:jc w:val="left"/>
        <w:rPr>
          <w:sz w:val="28"/>
          <w:szCs w:val="28"/>
        </w:rPr>
      </w:pPr>
      <w:r>
        <w:rPr>
          <w:rFonts w:hAnsi="宋体"/>
          <w:sz w:val="28"/>
          <w:szCs w:val="28"/>
        </w:rPr>
        <w:t>估算对象：</w:t>
      </w:r>
      <w:r>
        <w:rPr>
          <w:rFonts w:hint="eastAsia" w:hAnsi="宋体"/>
          <w:sz w:val="28"/>
          <w:szCs w:val="28"/>
        </w:rPr>
        <w:t>页岩矿</w:t>
      </w:r>
      <w:r>
        <w:rPr>
          <w:rFonts w:hAnsi="宋体"/>
          <w:sz w:val="28"/>
          <w:szCs w:val="28"/>
        </w:rPr>
        <w:t>。</w:t>
      </w:r>
    </w:p>
    <w:p>
      <w:pPr>
        <w:pStyle w:val="3"/>
        <w:spacing w:before="0" w:after="0" w:line="240" w:lineRule="auto"/>
        <w:rPr>
          <w:rStyle w:val="23"/>
          <w:rFonts w:ascii="Times New Roman" w:hAnsi="Times New Roman" w:eastAsia="宋体"/>
          <w:color w:val="000000"/>
          <w:sz w:val="30"/>
          <w:szCs w:val="30"/>
        </w:rPr>
      </w:pPr>
      <w:bookmarkStart w:id="41" w:name="_Toc59802151"/>
      <w:r>
        <w:rPr>
          <w:rStyle w:val="23"/>
          <w:rFonts w:ascii="Times New Roman" w:hAnsi="Times New Roman" w:eastAsia="宋体"/>
          <w:color w:val="000000"/>
          <w:sz w:val="30"/>
          <w:szCs w:val="30"/>
        </w:rPr>
        <w:t>6.2 工业指标</w:t>
      </w:r>
      <w:bookmarkEnd w:id="41"/>
    </w:p>
    <w:p>
      <w:pPr>
        <w:spacing w:line="360" w:lineRule="auto"/>
        <w:ind w:firstLine="574" w:firstLineChars="205"/>
        <w:rPr>
          <w:rFonts w:eastAsia="仿宋_GB2312"/>
          <w:color w:val="000000"/>
          <w:sz w:val="28"/>
          <w:szCs w:val="28"/>
        </w:rPr>
      </w:pPr>
      <w:r>
        <w:rPr>
          <w:rFonts w:hint="eastAsia"/>
          <w:sz w:val="28"/>
          <w:szCs w:val="28"/>
        </w:rPr>
        <w:t>根据1986年全国矿产储量委员会修订的《矿产工业要求参考手册》中制砖瓦用页岩、煤矸石一般工业要求而定，即SiO</w:t>
      </w:r>
      <w:r>
        <w:rPr>
          <w:rFonts w:hint="eastAsia"/>
          <w:sz w:val="28"/>
          <w:szCs w:val="28"/>
          <w:vertAlign w:val="subscript"/>
        </w:rPr>
        <w:t>2</w:t>
      </w:r>
      <w:r>
        <w:rPr>
          <w:rFonts w:hint="eastAsia"/>
          <w:sz w:val="28"/>
          <w:szCs w:val="28"/>
        </w:rPr>
        <w:t>含量55～80%、Al</w:t>
      </w:r>
      <w:r>
        <w:rPr>
          <w:rFonts w:hint="eastAsia"/>
          <w:sz w:val="28"/>
          <w:szCs w:val="28"/>
          <w:vertAlign w:val="subscript"/>
        </w:rPr>
        <w:t>2</w:t>
      </w:r>
      <w:r>
        <w:rPr>
          <w:rFonts w:hint="eastAsia"/>
          <w:sz w:val="28"/>
          <w:szCs w:val="28"/>
        </w:rPr>
        <w:t>O</w:t>
      </w:r>
      <w:r>
        <w:rPr>
          <w:rFonts w:hint="eastAsia"/>
          <w:sz w:val="28"/>
          <w:szCs w:val="28"/>
          <w:vertAlign w:val="subscript"/>
        </w:rPr>
        <w:t>3</w:t>
      </w:r>
      <w:r>
        <w:rPr>
          <w:rFonts w:hint="eastAsia"/>
          <w:sz w:val="28"/>
          <w:szCs w:val="28"/>
        </w:rPr>
        <w:t>含量7～20%、CaO含量0～15%。该拟设矿山页岩的化学成分各项指标符合上述一般工业指标要求。</w:t>
      </w:r>
    </w:p>
    <w:p>
      <w:pPr>
        <w:pStyle w:val="3"/>
        <w:spacing w:before="0" w:after="0" w:line="240" w:lineRule="auto"/>
        <w:rPr>
          <w:rStyle w:val="23"/>
          <w:rFonts w:ascii="Times New Roman" w:hAnsi="Times New Roman" w:eastAsia="宋体"/>
          <w:color w:val="000000"/>
          <w:sz w:val="30"/>
          <w:szCs w:val="30"/>
        </w:rPr>
      </w:pPr>
      <w:bookmarkStart w:id="42" w:name="_Toc59802152"/>
      <w:r>
        <w:rPr>
          <w:rStyle w:val="23"/>
          <w:rFonts w:ascii="Times New Roman" w:hAnsi="Times New Roman" w:eastAsia="宋体"/>
          <w:color w:val="000000"/>
          <w:sz w:val="30"/>
          <w:szCs w:val="30"/>
        </w:rPr>
        <w:t>6.3 估算方法</w:t>
      </w:r>
      <w:bookmarkEnd w:id="42"/>
    </w:p>
    <w:p>
      <w:pPr>
        <w:ind w:firstLine="560" w:firstLineChars="200"/>
        <w:rPr>
          <w:color w:val="000000"/>
          <w:sz w:val="28"/>
        </w:rPr>
      </w:pPr>
      <w:r>
        <w:rPr>
          <w:rFonts w:hAnsi="宋体"/>
          <w:color w:val="000000"/>
          <w:sz w:val="28"/>
        </w:rPr>
        <w:t>根据该矿特征，矿体规模小、埋藏浅、延伸稳定，层状产出等特点，采用</w:t>
      </w:r>
      <w:r>
        <w:rPr>
          <w:rFonts w:hAnsi="宋体"/>
          <w:sz w:val="28"/>
        </w:rPr>
        <w:t>断面法估算资源储量</w:t>
      </w:r>
      <w:r>
        <w:rPr>
          <w:sz w:val="28"/>
        </w:rPr>
        <w:t>(</w:t>
      </w:r>
      <w:r>
        <w:rPr>
          <w:rFonts w:hAnsi="宋体"/>
          <w:color w:val="000000"/>
          <w:sz w:val="28"/>
        </w:rPr>
        <w:t>相邻两个断面构成一个块段</w:t>
      </w:r>
      <w:r>
        <w:rPr>
          <w:color w:val="000000"/>
          <w:sz w:val="28"/>
        </w:rPr>
        <w:t>)</w:t>
      </w:r>
    </w:p>
    <w:p>
      <w:pPr>
        <w:ind w:firstLine="570"/>
        <w:rPr>
          <w:rFonts w:hint="eastAsia"/>
          <w:color w:val="000000"/>
          <w:sz w:val="28"/>
        </w:rPr>
      </w:pPr>
      <w:r>
        <w:rPr>
          <w:rFonts w:hAnsi="宋体"/>
          <w:color w:val="000000"/>
          <w:sz w:val="28"/>
        </w:rPr>
        <w:t>估算公式为：</w:t>
      </w:r>
      <w:r>
        <w:rPr>
          <w:color w:val="000000"/>
          <w:sz w:val="28"/>
        </w:rPr>
        <w:t xml:space="preserve"> Q=V·D·(1- J)</w:t>
      </w:r>
      <w:r>
        <w:rPr>
          <w:rFonts w:hint="eastAsia"/>
          <w:color w:val="000000"/>
          <w:sz w:val="28"/>
        </w:rPr>
        <w:t>/10000</w:t>
      </w:r>
    </w:p>
    <w:p>
      <w:pPr>
        <w:ind w:firstLine="560" w:firstLineChars="200"/>
        <w:rPr>
          <w:color w:val="000000"/>
          <w:sz w:val="28"/>
        </w:rPr>
      </w:pPr>
      <w:r>
        <w:rPr>
          <w:rFonts w:hAnsi="宋体"/>
          <w:color w:val="000000"/>
          <w:sz w:val="28"/>
        </w:rPr>
        <w:t>式中：</w:t>
      </w:r>
      <w:r>
        <w:rPr>
          <w:color w:val="000000"/>
          <w:sz w:val="28"/>
        </w:rPr>
        <w:t xml:space="preserve">  Q—</w:t>
      </w:r>
      <w:r>
        <w:rPr>
          <w:rFonts w:hAnsi="宋体"/>
          <w:color w:val="000000"/>
          <w:sz w:val="28"/>
        </w:rPr>
        <w:t>为矿石储量</w:t>
      </w:r>
      <w:r>
        <w:rPr>
          <w:color w:val="000000"/>
          <w:sz w:val="28"/>
        </w:rPr>
        <w:t>(</w:t>
      </w:r>
      <w:r>
        <w:rPr>
          <w:rFonts w:hint="eastAsia"/>
          <w:color w:val="000000"/>
          <w:sz w:val="28"/>
        </w:rPr>
        <w:t>万</w:t>
      </w:r>
      <w:r>
        <w:rPr>
          <w:rFonts w:hAnsi="宋体"/>
          <w:color w:val="000000"/>
          <w:sz w:val="28"/>
        </w:rPr>
        <w:t>吨</w:t>
      </w:r>
      <w:r>
        <w:rPr>
          <w:color w:val="000000"/>
          <w:sz w:val="28"/>
        </w:rPr>
        <w:t>)</w:t>
      </w:r>
      <w:r>
        <w:rPr>
          <w:rFonts w:hAnsi="宋体"/>
          <w:color w:val="000000"/>
          <w:sz w:val="28"/>
        </w:rPr>
        <w:t>；</w:t>
      </w:r>
    </w:p>
    <w:p>
      <w:pPr>
        <w:ind w:firstLine="1680" w:firstLineChars="600"/>
        <w:rPr>
          <w:color w:val="000000"/>
          <w:sz w:val="28"/>
        </w:rPr>
      </w:pPr>
      <w:r>
        <w:rPr>
          <w:color w:val="000000"/>
          <w:sz w:val="28"/>
        </w:rPr>
        <w:t>V—</w:t>
      </w:r>
      <w:r>
        <w:rPr>
          <w:rFonts w:hAnsi="宋体"/>
          <w:color w:val="000000"/>
          <w:sz w:val="28"/>
        </w:rPr>
        <w:t>块段体积</w:t>
      </w:r>
      <w:r>
        <w:rPr>
          <w:color w:val="000000"/>
          <w:sz w:val="28"/>
        </w:rPr>
        <w:t>(m</w:t>
      </w:r>
      <w:r>
        <w:rPr>
          <w:color w:val="000000"/>
          <w:sz w:val="28"/>
          <w:vertAlign w:val="superscript"/>
        </w:rPr>
        <w:t>3</w:t>
      </w:r>
      <w:r>
        <w:rPr>
          <w:color w:val="000000"/>
          <w:sz w:val="28"/>
        </w:rPr>
        <w:t>)</w:t>
      </w:r>
      <w:r>
        <w:rPr>
          <w:rFonts w:hAnsi="宋体"/>
          <w:color w:val="000000"/>
          <w:sz w:val="28"/>
        </w:rPr>
        <w:t>；</w:t>
      </w:r>
    </w:p>
    <w:p>
      <w:pPr>
        <w:ind w:firstLine="1685" w:firstLineChars="602"/>
        <w:rPr>
          <w:color w:val="000000"/>
          <w:sz w:val="28"/>
        </w:rPr>
      </w:pPr>
      <w:r>
        <w:rPr>
          <w:color w:val="000000"/>
          <w:sz w:val="28"/>
        </w:rPr>
        <w:t>D—</w:t>
      </w:r>
      <w:r>
        <w:rPr>
          <w:rFonts w:hAnsi="宋体"/>
          <w:color w:val="000000"/>
          <w:sz w:val="28"/>
        </w:rPr>
        <w:t>为矿石视密度</w:t>
      </w:r>
      <w:r>
        <w:rPr>
          <w:color w:val="000000"/>
          <w:sz w:val="28"/>
        </w:rPr>
        <w:t>(</w:t>
      </w:r>
      <w:r>
        <w:rPr>
          <w:rFonts w:hAnsi="宋体"/>
          <w:color w:val="000000"/>
          <w:sz w:val="28"/>
        </w:rPr>
        <w:t>吨</w:t>
      </w:r>
      <w:r>
        <w:rPr>
          <w:color w:val="000000"/>
          <w:sz w:val="28"/>
        </w:rPr>
        <w:t>/m</w:t>
      </w:r>
      <w:r>
        <w:rPr>
          <w:color w:val="000000"/>
          <w:sz w:val="28"/>
          <w:vertAlign w:val="superscript"/>
        </w:rPr>
        <w:t>3</w:t>
      </w:r>
      <w:r>
        <w:rPr>
          <w:color w:val="000000"/>
          <w:sz w:val="28"/>
        </w:rPr>
        <w:t>)</w:t>
      </w:r>
      <w:r>
        <w:rPr>
          <w:rFonts w:hAnsi="宋体"/>
          <w:color w:val="000000"/>
          <w:sz w:val="28"/>
        </w:rPr>
        <w:t>，</w:t>
      </w:r>
      <w:r>
        <w:rPr>
          <w:color w:val="000000"/>
          <w:sz w:val="28"/>
        </w:rPr>
        <w:t>(</w:t>
      </w:r>
      <w:r>
        <w:rPr>
          <w:rFonts w:hAnsi="宋体"/>
          <w:color w:val="000000"/>
          <w:sz w:val="28"/>
        </w:rPr>
        <w:t>该矿矿石视密度据类比取值</w:t>
      </w:r>
      <w:r>
        <w:rPr>
          <w:color w:val="000000"/>
          <w:sz w:val="28"/>
        </w:rPr>
        <w:t>2.</w:t>
      </w:r>
      <w:r>
        <w:rPr>
          <w:rFonts w:hint="eastAsia"/>
          <w:color w:val="000000"/>
          <w:sz w:val="28"/>
        </w:rPr>
        <w:t>40</w:t>
      </w:r>
      <w:r>
        <w:rPr>
          <w:color w:val="000000"/>
          <w:sz w:val="28"/>
        </w:rPr>
        <w:t>)</w:t>
      </w:r>
      <w:r>
        <w:rPr>
          <w:rFonts w:hAnsi="宋体"/>
          <w:color w:val="000000"/>
          <w:sz w:val="28"/>
        </w:rPr>
        <w:t>；</w:t>
      </w:r>
    </w:p>
    <w:p>
      <w:pPr>
        <w:ind w:firstLine="560" w:firstLineChars="200"/>
        <w:rPr>
          <w:color w:val="000000"/>
          <w:sz w:val="28"/>
        </w:rPr>
      </w:pPr>
      <w:r>
        <w:rPr>
          <w:color w:val="000000"/>
          <w:sz w:val="28"/>
        </w:rPr>
        <w:t xml:space="preserve">        J—</w:t>
      </w:r>
      <w:r>
        <w:rPr>
          <w:rFonts w:hAnsi="宋体"/>
          <w:color w:val="000000"/>
          <w:sz w:val="28"/>
        </w:rPr>
        <w:t>为块段矿体的平均夹石率</w:t>
      </w:r>
      <w:r>
        <w:rPr>
          <w:color w:val="000000"/>
          <w:sz w:val="28"/>
        </w:rPr>
        <w:t>(%)</w:t>
      </w:r>
      <w:r>
        <w:rPr>
          <w:rFonts w:hAnsi="宋体"/>
          <w:color w:val="000000"/>
          <w:sz w:val="28"/>
        </w:rPr>
        <w:t>，该拟设矿权内建议取值</w:t>
      </w:r>
      <w:r>
        <w:rPr>
          <w:rFonts w:hint="eastAsia"/>
          <w:color w:val="000000"/>
          <w:sz w:val="28"/>
        </w:rPr>
        <w:t>2</w:t>
      </w:r>
      <w:r>
        <w:rPr>
          <w:color w:val="000000"/>
          <w:sz w:val="28"/>
        </w:rPr>
        <w:t>5%</w:t>
      </w:r>
      <w:r>
        <w:rPr>
          <w:rFonts w:hAnsi="宋体"/>
          <w:color w:val="000000"/>
          <w:sz w:val="28"/>
        </w:rPr>
        <w:t>。</w:t>
      </w:r>
    </w:p>
    <w:p>
      <w:pPr>
        <w:ind w:firstLine="560" w:firstLineChars="200"/>
        <w:rPr>
          <w:color w:val="000000"/>
          <w:sz w:val="28"/>
        </w:rPr>
      </w:pPr>
      <w:r>
        <w:rPr>
          <w:rFonts w:hAnsi="宋体"/>
          <w:color w:val="000000"/>
          <w:sz w:val="28"/>
        </w:rPr>
        <w:t>体积计算公式详见插表</w:t>
      </w:r>
      <w:r>
        <w:rPr>
          <w:rFonts w:hint="eastAsia"/>
          <w:color w:val="000000"/>
          <w:sz w:val="28"/>
        </w:rPr>
        <w:t>4</w:t>
      </w:r>
      <w:r>
        <w:rPr>
          <w:rFonts w:hAnsi="宋体"/>
          <w:color w:val="000000"/>
          <w:sz w:val="28"/>
        </w:rPr>
        <w:t>。</w:t>
      </w:r>
    </w:p>
    <w:p>
      <w:pPr>
        <w:autoSpaceDE w:val="0"/>
        <w:autoSpaceDN w:val="0"/>
        <w:adjustRightInd w:val="0"/>
        <w:spacing w:line="340" w:lineRule="exact"/>
        <w:jc w:val="center"/>
        <w:rPr>
          <w:b/>
          <w:sz w:val="28"/>
          <w:szCs w:val="28"/>
        </w:rPr>
      </w:pPr>
      <w:r>
        <w:rPr>
          <w:b/>
          <w:sz w:val="28"/>
          <w:szCs w:val="28"/>
        </w:rPr>
        <w:t>体积计算公式表</w:t>
      </w:r>
    </w:p>
    <w:p>
      <w:pPr>
        <w:autoSpaceDE w:val="0"/>
        <w:autoSpaceDN w:val="0"/>
        <w:adjustRightInd w:val="0"/>
        <w:spacing w:line="300" w:lineRule="exact"/>
        <w:ind w:right="164" w:firstLine="301" w:firstLineChars="125"/>
        <w:jc w:val="center"/>
        <w:rPr>
          <w:rFonts w:hint="eastAsia" w:eastAsia="仿宋_GB2312"/>
          <w:sz w:val="24"/>
        </w:rPr>
      </w:pPr>
      <w:r>
        <w:rPr>
          <w:rFonts w:eastAsia="仿宋_GB2312"/>
          <w:b/>
          <w:sz w:val="24"/>
        </w:rPr>
        <w:t xml:space="preserve">                                                              </w:t>
      </w:r>
      <w:r>
        <w:rPr>
          <w:rFonts w:eastAsia="仿宋_GB2312"/>
          <w:sz w:val="24"/>
        </w:rPr>
        <w:t xml:space="preserve"> 插表</w:t>
      </w:r>
      <w:r>
        <w:rPr>
          <w:rFonts w:hint="eastAsia" w:eastAsia="仿宋_GB2312"/>
          <w:sz w:val="24"/>
        </w:rPr>
        <w:t>4</w:t>
      </w:r>
    </w:p>
    <w:tbl>
      <w:tblPr>
        <w:tblStyle w:val="1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82"/>
        <w:gridCol w:w="3440"/>
        <w:gridCol w:w="41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2" w:hRule="atLeast"/>
          <w:jc w:val="center"/>
        </w:trPr>
        <w:tc>
          <w:tcPr>
            <w:tcW w:w="821" w:type="pct"/>
            <w:noWrap w:val="0"/>
            <w:vAlign w:val="center"/>
          </w:tcPr>
          <w:p>
            <w:pPr>
              <w:autoSpaceDE w:val="0"/>
              <w:autoSpaceDN w:val="0"/>
              <w:adjustRightInd w:val="0"/>
              <w:jc w:val="center"/>
              <w:rPr>
                <w:rFonts w:eastAsia="仿宋_GB2312"/>
                <w:sz w:val="24"/>
              </w:rPr>
            </w:pPr>
            <w:r>
              <w:rPr>
                <w:rFonts w:eastAsia="仿宋_GB2312"/>
                <w:sz w:val="24"/>
              </w:rPr>
              <w:t>计算方法</w:t>
            </w:r>
          </w:p>
        </w:tc>
        <w:tc>
          <w:tcPr>
            <w:tcW w:w="1906" w:type="pct"/>
            <w:noWrap w:val="0"/>
            <w:vAlign w:val="center"/>
          </w:tcPr>
          <w:p>
            <w:pPr>
              <w:autoSpaceDE w:val="0"/>
              <w:autoSpaceDN w:val="0"/>
              <w:adjustRightInd w:val="0"/>
              <w:jc w:val="center"/>
              <w:rPr>
                <w:rFonts w:eastAsia="仿宋_GB2312"/>
                <w:sz w:val="24"/>
              </w:rPr>
            </w:pPr>
            <w:r>
              <w:rPr>
                <w:rFonts w:eastAsia="仿宋_GB2312"/>
                <w:sz w:val="24"/>
              </w:rPr>
              <w:t>计算公式</w:t>
            </w:r>
          </w:p>
        </w:tc>
        <w:tc>
          <w:tcPr>
            <w:tcW w:w="2273" w:type="pct"/>
            <w:noWrap w:val="0"/>
            <w:vAlign w:val="center"/>
          </w:tcPr>
          <w:p>
            <w:pPr>
              <w:autoSpaceDE w:val="0"/>
              <w:autoSpaceDN w:val="0"/>
              <w:adjustRightInd w:val="0"/>
              <w:jc w:val="center"/>
              <w:rPr>
                <w:rFonts w:eastAsia="仿宋_GB2312"/>
                <w:sz w:val="24"/>
              </w:rPr>
            </w:pPr>
            <w:r>
              <w:rPr>
                <w:rFonts w:eastAsia="仿宋_GB2312"/>
                <w:sz w:val="24"/>
              </w:rPr>
              <w:t>说   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jc w:val="center"/>
        </w:trPr>
        <w:tc>
          <w:tcPr>
            <w:tcW w:w="821" w:type="pct"/>
            <w:noWrap w:val="0"/>
            <w:vAlign w:val="center"/>
          </w:tcPr>
          <w:p>
            <w:pPr>
              <w:autoSpaceDE w:val="0"/>
              <w:autoSpaceDN w:val="0"/>
              <w:adjustRightInd w:val="0"/>
              <w:spacing w:line="500" w:lineRule="exact"/>
              <w:jc w:val="center"/>
              <w:rPr>
                <w:rFonts w:eastAsia="仿宋_GB2312"/>
                <w:sz w:val="24"/>
              </w:rPr>
            </w:pPr>
            <w:r>
              <w:rPr>
                <w:rFonts w:eastAsia="仿宋_GB2312"/>
                <w:sz w:val="24"/>
              </w:rPr>
              <w:t>棱柱体</w:t>
            </w:r>
          </w:p>
        </w:tc>
        <w:tc>
          <w:tcPr>
            <w:tcW w:w="1906" w:type="pct"/>
            <w:noWrap w:val="0"/>
            <w:vAlign w:val="center"/>
          </w:tcPr>
          <w:p>
            <w:pPr>
              <w:autoSpaceDE w:val="0"/>
              <w:autoSpaceDN w:val="0"/>
              <w:adjustRightInd w:val="0"/>
              <w:spacing w:line="500" w:lineRule="exact"/>
              <w:rPr>
                <w:rFonts w:eastAsia="仿宋_GB2312"/>
                <w:sz w:val="24"/>
              </w:rPr>
            </w:pPr>
            <w:r>
              <w:rPr>
                <w:rFonts w:eastAsia="仿宋_GB2312"/>
                <w:sz w:val="24"/>
              </w:rPr>
              <w:t>V=</w:t>
            </w:r>
            <w:r>
              <w:rPr>
                <w:rFonts w:eastAsia="仿宋_GB2312"/>
                <w:position w:val="-10"/>
                <w:sz w:val="28"/>
              </w:rPr>
              <w:object>
                <v:shape id="_x0000_i1025" o:spt="75" type="#_x0000_t75" style="height:28.9pt;width:11.15pt;" o:ole="t" filled="f" o:preferrelative="t" stroked="f" coordsize="21600,21600">
                  <v:path/>
                  <v:fill on="f" alignshape="1" focussize="0,0"/>
                  <v:stroke on="f"/>
                  <v:imagedata r:id="rId19" o:title=""/>
                  <o:lock v:ext="edit" aspectratio="t"/>
                  <w10:wrap type="none"/>
                  <w10:anchorlock/>
                </v:shape>
                <o:OLEObject Type="Embed" ProgID="" ShapeID="_x0000_i1025" DrawAspect="Content" ObjectID="_1468075725" r:id="rId18">
                  <o:LockedField>false</o:LockedField>
                </o:OLEObject>
              </w:object>
            </w:r>
            <w:r>
              <w:rPr>
                <w:rFonts w:eastAsia="仿宋_GB2312"/>
                <w:sz w:val="24"/>
              </w:rPr>
              <w:t>×(S</w:t>
            </w:r>
            <w:r>
              <w:rPr>
                <w:rFonts w:eastAsia="仿宋_GB2312"/>
                <w:sz w:val="24"/>
                <w:vertAlign w:val="subscript"/>
              </w:rPr>
              <w:t>1</w:t>
            </w:r>
            <w:r>
              <w:rPr>
                <w:rFonts w:eastAsia="仿宋_GB2312"/>
                <w:sz w:val="24"/>
              </w:rPr>
              <w:t>+S</w:t>
            </w:r>
            <w:r>
              <w:rPr>
                <w:rFonts w:eastAsia="仿宋_GB2312"/>
                <w:sz w:val="24"/>
                <w:vertAlign w:val="subscript"/>
              </w:rPr>
              <w:t>2</w:t>
            </w:r>
            <w:r>
              <w:rPr>
                <w:rFonts w:eastAsia="仿宋_GB2312"/>
                <w:sz w:val="24"/>
              </w:rPr>
              <w:t>)×L</w:t>
            </w:r>
          </w:p>
        </w:tc>
        <w:tc>
          <w:tcPr>
            <w:tcW w:w="2273" w:type="pct"/>
            <w:vMerge w:val="restart"/>
            <w:noWrap w:val="0"/>
            <w:vAlign w:val="center"/>
          </w:tcPr>
          <w:p>
            <w:pPr>
              <w:autoSpaceDE w:val="0"/>
              <w:autoSpaceDN w:val="0"/>
              <w:adjustRightInd w:val="0"/>
              <w:spacing w:line="240" w:lineRule="exact"/>
              <w:rPr>
                <w:rFonts w:eastAsia="仿宋_GB2312"/>
                <w:sz w:val="24"/>
              </w:rPr>
            </w:pPr>
            <w:r>
              <w:rPr>
                <w:rFonts w:eastAsia="仿宋_GB2312"/>
                <w:sz w:val="24"/>
              </w:rPr>
              <w:t>S</w:t>
            </w:r>
            <w:r>
              <w:rPr>
                <w:rFonts w:eastAsia="仿宋_GB2312"/>
                <w:sz w:val="24"/>
                <w:vertAlign w:val="subscript"/>
              </w:rPr>
              <w:t>1</w:t>
            </w:r>
            <w:r>
              <w:rPr>
                <w:rFonts w:eastAsia="仿宋_GB2312"/>
                <w:sz w:val="24"/>
              </w:rPr>
              <w:t>、S</w:t>
            </w:r>
            <w:r>
              <w:rPr>
                <w:rFonts w:eastAsia="仿宋_GB2312"/>
                <w:sz w:val="24"/>
                <w:vertAlign w:val="subscript"/>
              </w:rPr>
              <w:t>2</w:t>
            </w:r>
            <w:r>
              <w:rPr>
                <w:rFonts w:eastAsia="仿宋_GB2312"/>
                <w:sz w:val="24"/>
              </w:rPr>
              <w:t>为相邻两个</w:t>
            </w:r>
            <w:r>
              <w:rPr>
                <w:rFonts w:hint="eastAsia" w:ascii="宋体" w:hAnsi="宋体" w:cs="宋体"/>
                <w:sz w:val="24"/>
              </w:rPr>
              <w:t>断面</w:t>
            </w:r>
            <w:r>
              <w:rPr>
                <w:rFonts w:eastAsia="仿宋_GB2312"/>
                <w:sz w:val="24"/>
              </w:rPr>
              <w:t>面积；</w:t>
            </w:r>
          </w:p>
          <w:p>
            <w:pPr>
              <w:autoSpaceDE w:val="0"/>
              <w:autoSpaceDN w:val="0"/>
              <w:adjustRightInd w:val="0"/>
              <w:spacing w:line="0" w:lineRule="atLeast"/>
              <w:rPr>
                <w:rFonts w:eastAsia="仿宋_GB2312"/>
                <w:sz w:val="24"/>
              </w:rPr>
            </w:pPr>
            <w:r>
              <w:rPr>
                <w:rFonts w:eastAsia="仿宋_GB2312"/>
                <w:sz w:val="24"/>
              </w:rPr>
              <w:t>L为两个平行</w:t>
            </w:r>
            <w:r>
              <w:rPr>
                <w:rFonts w:hint="eastAsia" w:ascii="宋体" w:hAnsi="宋体" w:cs="宋体"/>
                <w:sz w:val="24"/>
              </w:rPr>
              <w:t>断面</w:t>
            </w:r>
            <w:r>
              <w:rPr>
                <w:rFonts w:eastAsia="仿宋_GB2312"/>
                <w:sz w:val="24"/>
              </w:rPr>
              <w:t>间距。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1" w:type="pct"/>
            <w:noWrap w:val="0"/>
            <w:vAlign w:val="center"/>
          </w:tcPr>
          <w:p>
            <w:pPr>
              <w:autoSpaceDE w:val="0"/>
              <w:autoSpaceDN w:val="0"/>
              <w:adjustRightInd w:val="0"/>
              <w:spacing w:line="500" w:lineRule="exact"/>
              <w:jc w:val="center"/>
              <w:rPr>
                <w:rFonts w:eastAsia="仿宋_GB2312"/>
                <w:sz w:val="24"/>
              </w:rPr>
            </w:pPr>
            <w:r>
              <w:rPr>
                <w:rFonts w:eastAsia="仿宋_GB2312"/>
                <w:sz w:val="24"/>
              </w:rPr>
              <w:t>截锥体</w:t>
            </w:r>
          </w:p>
        </w:tc>
        <w:tc>
          <w:tcPr>
            <w:tcW w:w="1906" w:type="pct"/>
            <w:noWrap w:val="0"/>
            <w:vAlign w:val="center"/>
          </w:tcPr>
          <w:p>
            <w:pPr>
              <w:autoSpaceDE w:val="0"/>
              <w:autoSpaceDN w:val="0"/>
              <w:adjustRightInd w:val="0"/>
              <w:spacing w:line="500" w:lineRule="exact"/>
              <w:rPr>
                <w:rFonts w:eastAsia="仿宋_GB2312"/>
                <w:sz w:val="24"/>
              </w:rPr>
            </w:pPr>
            <w:r>
              <w:rPr>
                <w:rFonts w:eastAsia="仿宋_GB2312"/>
                <w:sz w:val="24"/>
              </w:rPr>
              <w:t>V=</w:t>
            </w:r>
            <w:r>
              <w:rPr>
                <w:rFonts w:eastAsia="仿宋_GB2312"/>
                <w:position w:val="-10"/>
                <w:sz w:val="28"/>
              </w:rPr>
              <w:object>
                <v:shape id="_x0000_i1026" o:spt="75" type="#_x0000_t75" style="height:28.9pt;width:10.25pt;" o:ole="t" filled="f" o:preferrelative="t" stroked="f" coordsize="21600,21600">
                  <v:path/>
                  <v:fill on="f" alignshape="1" focussize="0,0"/>
                  <v:stroke on="f"/>
                  <v:imagedata r:id="rId21" o:title=""/>
                  <o:lock v:ext="edit" aspectratio="t"/>
                  <w10:wrap type="none"/>
                  <w10:anchorlock/>
                </v:shape>
                <o:OLEObject Type="Embed" ProgID="" ShapeID="_x0000_i1026" DrawAspect="Content" ObjectID="_1468075726" r:id="rId20">
                  <o:LockedField>false</o:LockedField>
                </o:OLEObject>
              </w:object>
            </w:r>
            <w:r>
              <w:rPr>
                <w:rFonts w:eastAsia="仿宋_GB2312"/>
                <w:sz w:val="24"/>
              </w:rPr>
              <w:t>×(S</w:t>
            </w:r>
            <w:r>
              <w:rPr>
                <w:rFonts w:eastAsia="仿宋_GB2312"/>
                <w:sz w:val="24"/>
                <w:vertAlign w:val="subscript"/>
              </w:rPr>
              <w:t>1</w:t>
            </w:r>
            <w:r>
              <w:rPr>
                <w:rFonts w:eastAsia="仿宋_GB2312"/>
                <w:sz w:val="24"/>
              </w:rPr>
              <w:t>+S</w:t>
            </w:r>
            <w:r>
              <w:rPr>
                <w:rFonts w:eastAsia="仿宋_GB2312"/>
                <w:sz w:val="24"/>
                <w:vertAlign w:val="subscript"/>
              </w:rPr>
              <w:t>2</w:t>
            </w:r>
            <w:r>
              <w:rPr>
                <w:rFonts w:eastAsia="仿宋_GB2312"/>
                <w:sz w:val="24"/>
              </w:rPr>
              <w:t>+</w:t>
            </w:r>
            <w:r>
              <w:rPr>
                <w:rFonts w:eastAsia="仿宋_GB2312"/>
                <w:position w:val="-10"/>
                <w:sz w:val="28"/>
              </w:rPr>
              <w:object>
                <v:shape id="_x0000_i1027" o:spt="75" type="#_x0000_t75" style="height:18.65pt;width:41.9pt;" o:ole="t" filled="f" o:preferrelative="t" stroked="f" coordsize="21600,21600">
                  <v:path/>
                  <v:fill on="f" alignshape="1" focussize="0,0"/>
                  <v:stroke on="f"/>
                  <v:imagedata r:id="rId23" o:title=""/>
                  <o:lock v:ext="edit" aspectratio="t"/>
                  <w10:wrap type="none"/>
                  <w10:anchorlock/>
                </v:shape>
                <o:OLEObject Type="Embed" ProgID="" ShapeID="_x0000_i1027" DrawAspect="Content" ObjectID="_1468075727" r:id="rId22">
                  <o:LockedField>false</o:LockedField>
                </o:OLEObject>
              </w:object>
            </w:r>
            <w:r>
              <w:rPr>
                <w:rFonts w:eastAsia="仿宋_GB2312"/>
                <w:sz w:val="24"/>
              </w:rPr>
              <w:t>)×L</w:t>
            </w:r>
          </w:p>
        </w:tc>
        <w:tc>
          <w:tcPr>
            <w:tcW w:w="2273" w:type="pct"/>
            <w:vMerge w:val="continue"/>
            <w:noWrap w:val="0"/>
            <w:vAlign w:val="center"/>
          </w:tcPr>
          <w:p>
            <w:pPr>
              <w:autoSpaceDE w:val="0"/>
              <w:autoSpaceDN w:val="0"/>
              <w:adjustRightInd w:val="0"/>
              <w:spacing w:line="0" w:lineRule="atLeast"/>
              <w:rPr>
                <w:rFonts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821" w:type="pct"/>
            <w:noWrap w:val="0"/>
            <w:vAlign w:val="center"/>
          </w:tcPr>
          <w:p>
            <w:pPr>
              <w:autoSpaceDE w:val="0"/>
              <w:autoSpaceDN w:val="0"/>
              <w:adjustRightInd w:val="0"/>
              <w:spacing w:line="500" w:lineRule="exact"/>
              <w:jc w:val="center"/>
              <w:rPr>
                <w:rFonts w:eastAsia="仿宋_GB2312"/>
                <w:sz w:val="24"/>
              </w:rPr>
            </w:pPr>
            <w:r>
              <w:rPr>
                <w:rFonts w:eastAsia="仿宋_GB2312"/>
                <w:sz w:val="24"/>
              </w:rPr>
              <w:t>角锥体</w:t>
            </w:r>
          </w:p>
        </w:tc>
        <w:tc>
          <w:tcPr>
            <w:tcW w:w="1906" w:type="pct"/>
            <w:noWrap w:val="0"/>
            <w:vAlign w:val="center"/>
          </w:tcPr>
          <w:p>
            <w:pPr>
              <w:autoSpaceDE w:val="0"/>
              <w:autoSpaceDN w:val="0"/>
              <w:adjustRightInd w:val="0"/>
              <w:spacing w:line="500" w:lineRule="exact"/>
              <w:rPr>
                <w:rFonts w:eastAsia="仿宋_GB2312"/>
                <w:sz w:val="24"/>
              </w:rPr>
            </w:pPr>
            <w:r>
              <w:rPr>
                <w:rFonts w:eastAsia="仿宋_GB2312"/>
                <w:sz w:val="24"/>
              </w:rPr>
              <w:t>V=</w:t>
            </w:r>
            <w:r>
              <w:rPr>
                <w:rFonts w:eastAsia="仿宋_GB2312"/>
                <w:position w:val="-10"/>
                <w:sz w:val="28"/>
              </w:rPr>
              <w:object>
                <v:shape id="_x0000_i1028" o:spt="75" type="#_x0000_t75" style="height:28.9pt;width:10.25pt;" o:ole="t" filled="f" o:preferrelative="t" stroked="f" coordsize="21600,21600">
                  <v:path/>
                  <v:fill on="f" alignshape="1" focussize="0,0"/>
                  <v:stroke on="f"/>
                  <v:imagedata r:id="rId25" o:title=""/>
                  <o:lock v:ext="edit" aspectratio="t"/>
                  <w10:wrap type="none"/>
                  <w10:anchorlock/>
                </v:shape>
                <o:OLEObject Type="Embed" ProgID="" ShapeID="_x0000_i1028" DrawAspect="Content" ObjectID="_1468075728" r:id="rId24">
                  <o:LockedField>false</o:LockedField>
                </o:OLEObject>
              </w:object>
            </w:r>
            <w:r>
              <w:rPr>
                <w:rFonts w:eastAsia="仿宋_GB2312"/>
                <w:sz w:val="24"/>
              </w:rPr>
              <w:t>×(S</w:t>
            </w:r>
            <w:r>
              <w:rPr>
                <w:rFonts w:eastAsia="仿宋_GB2312"/>
                <w:sz w:val="24"/>
                <w:vertAlign w:val="subscript"/>
              </w:rPr>
              <w:t>1</w:t>
            </w:r>
            <w:r>
              <w:rPr>
                <w:rFonts w:eastAsia="仿宋_GB2312"/>
                <w:sz w:val="24"/>
              </w:rPr>
              <w:t>+S</w:t>
            </w:r>
            <w:r>
              <w:rPr>
                <w:rFonts w:eastAsia="仿宋_GB2312"/>
                <w:sz w:val="24"/>
                <w:vertAlign w:val="subscript"/>
              </w:rPr>
              <w:t>2</w:t>
            </w:r>
            <w:r>
              <w:rPr>
                <w:rFonts w:eastAsia="仿宋_GB2312"/>
                <w:sz w:val="24"/>
              </w:rPr>
              <w:t>)×L</w:t>
            </w:r>
          </w:p>
        </w:tc>
        <w:tc>
          <w:tcPr>
            <w:tcW w:w="2273" w:type="pct"/>
            <w:vMerge w:val="continue"/>
            <w:noWrap w:val="0"/>
            <w:vAlign w:val="center"/>
          </w:tcPr>
          <w:p>
            <w:pPr>
              <w:autoSpaceDE w:val="0"/>
              <w:autoSpaceDN w:val="0"/>
              <w:adjustRightInd w:val="0"/>
              <w:spacing w:line="0" w:lineRule="atLeast"/>
              <w:rPr>
                <w:rFonts w:eastAsia="仿宋_GB2312"/>
                <w:sz w:val="24"/>
              </w:rPr>
            </w:pPr>
          </w:p>
        </w:tc>
      </w:tr>
    </w:tbl>
    <w:p>
      <w:pPr>
        <w:ind w:left="1679" w:leftChars="266" w:hanging="1120" w:hangingChars="400"/>
        <w:rPr>
          <w:color w:val="000000"/>
          <w:sz w:val="28"/>
          <w:szCs w:val="28"/>
        </w:rPr>
      </w:pPr>
      <w:r>
        <w:rPr>
          <w:rFonts w:hAnsi="宋体"/>
          <w:color w:val="000000"/>
          <w:sz w:val="28"/>
          <w:szCs w:val="28"/>
        </w:rPr>
        <w:t>其中：</w:t>
      </w:r>
      <w:r>
        <w:rPr>
          <w:rFonts w:ascii="宋体" w:hAnsi="宋体"/>
          <w:color w:val="000000"/>
          <w:sz w:val="28"/>
          <w:szCs w:val="28"/>
        </w:rPr>
        <w:t>①</w:t>
      </w:r>
      <w:r>
        <w:rPr>
          <w:rFonts w:hAnsi="宋体"/>
          <w:color w:val="000000"/>
          <w:sz w:val="28"/>
          <w:szCs w:val="28"/>
        </w:rPr>
        <w:t>当相邻两垂直断面上矿体之相对面积差</w:t>
      </w:r>
      <w:r>
        <w:rPr>
          <w:color w:val="000000"/>
          <w:position w:val="-36"/>
          <w:sz w:val="28"/>
          <w:szCs w:val="28"/>
        </w:rPr>
        <w:object>
          <v:shape id="_x0000_i1029" o:spt="75" type="#_x0000_t75" style="height:42pt;width:45pt;" o:ole="t" filled="f" stroked="f" coordsize="21600,21600">
            <v:path/>
            <v:fill on="f" focussize="0,0"/>
            <v:stroke on="f"/>
            <v:imagedata r:id="rId27" o:title=""/>
            <o:lock v:ext="edit" grouping="f" rotation="f" text="f" aspectratio="t"/>
            <w10:wrap type="none"/>
            <w10:anchorlock/>
          </v:shape>
          <o:OLEObject Type="Embed" ProgID="Equation.3" ShapeID="_x0000_i1029" DrawAspect="Content" ObjectID="_1468075729" r:id="rId26">
            <o:LockedField>false</o:LockedField>
          </o:OLEObject>
        </w:object>
      </w:r>
      <w:r>
        <w:rPr>
          <w:rFonts w:hAnsi="宋体"/>
          <w:color w:val="000000"/>
          <w:sz w:val="28"/>
          <w:szCs w:val="28"/>
        </w:rPr>
        <w:t>＜</w:t>
      </w:r>
      <w:r>
        <w:rPr>
          <w:color w:val="000000"/>
          <w:sz w:val="28"/>
          <w:szCs w:val="28"/>
        </w:rPr>
        <w:t>40%</w:t>
      </w:r>
      <w:r>
        <w:rPr>
          <w:rFonts w:hAnsi="宋体"/>
          <w:color w:val="000000"/>
          <w:sz w:val="28"/>
          <w:szCs w:val="28"/>
        </w:rPr>
        <w:t>时</w:t>
      </w:r>
      <w:r>
        <w:rPr>
          <w:color w:val="000000"/>
          <w:sz w:val="28"/>
          <w:szCs w:val="28"/>
        </w:rPr>
        <w:t>(</w:t>
      </w:r>
      <w:r>
        <w:rPr>
          <w:rFonts w:hAnsi="宋体"/>
          <w:color w:val="000000"/>
          <w:sz w:val="28"/>
          <w:szCs w:val="28"/>
        </w:rPr>
        <w:t>其中</w:t>
      </w:r>
      <w:r>
        <w:rPr>
          <w:color w:val="000000"/>
          <w:position w:val="-14"/>
          <w:sz w:val="28"/>
          <w:szCs w:val="28"/>
        </w:rPr>
        <w:object>
          <v:shape id="_x0000_i1030" o:spt="75" type="#_x0000_t75" style="height:22pt;width:18pt;" o:ole="t" filled="f" stroked="f" coordsize="21600,21600">
            <v:path/>
            <v:fill on="f" focussize="0,0"/>
            <v:stroke on="f"/>
            <v:imagedata r:id="rId29" o:title=""/>
            <o:lock v:ext="edit" grouping="f" rotation="f" text="f" aspectratio="t"/>
            <w10:wrap type="none"/>
            <w10:anchorlock/>
          </v:shape>
          <o:OLEObject Type="Embed" ProgID="Equation.3" ShapeID="_x0000_i1030" DrawAspect="Content" ObjectID="_1468075730" r:id="rId28">
            <o:LockedField>false</o:LockedField>
          </o:OLEObject>
        </w:object>
      </w:r>
      <w:r>
        <w:rPr>
          <w:rFonts w:hAnsi="宋体"/>
          <w:color w:val="000000"/>
          <w:sz w:val="28"/>
          <w:szCs w:val="28"/>
        </w:rPr>
        <w:t>＞</w:t>
      </w:r>
      <w:r>
        <w:rPr>
          <w:color w:val="000000"/>
          <w:position w:val="-14"/>
          <w:sz w:val="28"/>
          <w:szCs w:val="28"/>
        </w:rPr>
        <w:object>
          <v:shape id="_x0000_i1031" o:spt="75" type="#_x0000_t75" style="height:22pt;width:18pt;" o:ole="t" filled="f" stroked="f" coordsize="21600,21600">
            <v:path/>
            <v:fill on="f" focussize="0,0"/>
            <v:stroke on="f"/>
            <v:imagedata r:id="rId31" o:title=""/>
            <o:lock v:ext="edit" grouping="f" rotation="f" text="f" aspectratio="t"/>
            <w10:wrap type="none"/>
            <w10:anchorlock/>
          </v:shape>
          <o:OLEObject Type="Embed" ProgID="Equation.3" ShapeID="_x0000_i1031" DrawAspect="Content" ObjectID="_1468075731" r:id="rId30">
            <o:LockedField>false</o:LockedField>
          </o:OLEObject>
        </w:object>
      </w:r>
      <w:r>
        <w:rPr>
          <w:color w:val="000000"/>
          <w:sz w:val="28"/>
          <w:szCs w:val="28"/>
        </w:rPr>
        <w:t>)</w:t>
      </w:r>
      <w:r>
        <w:rPr>
          <w:rFonts w:hAnsi="宋体"/>
          <w:color w:val="000000"/>
          <w:sz w:val="28"/>
          <w:szCs w:val="28"/>
        </w:rPr>
        <w:t>，采用棱柱体计算体积；</w:t>
      </w:r>
    </w:p>
    <w:p>
      <w:pPr>
        <w:ind w:left="1679" w:leftChars="666" w:hanging="280" w:hangingChars="100"/>
        <w:rPr>
          <w:color w:val="000000"/>
          <w:sz w:val="28"/>
          <w:szCs w:val="28"/>
        </w:rPr>
      </w:pPr>
      <w:r>
        <w:rPr>
          <w:rFonts w:ascii="宋体" w:hAnsi="宋体"/>
          <w:color w:val="000000"/>
          <w:sz w:val="28"/>
          <w:szCs w:val="28"/>
        </w:rPr>
        <w:t>②</w:t>
      </w:r>
      <w:r>
        <w:rPr>
          <w:rFonts w:hAnsi="宋体"/>
          <w:color w:val="000000"/>
          <w:sz w:val="28"/>
          <w:szCs w:val="28"/>
        </w:rPr>
        <w:t>当相邻两垂直断面上矿体之相对面积差</w:t>
      </w:r>
      <w:r>
        <w:rPr>
          <w:color w:val="000000"/>
          <w:position w:val="-36"/>
          <w:sz w:val="28"/>
          <w:szCs w:val="28"/>
        </w:rPr>
        <w:object>
          <v:shape id="_x0000_i1032" o:spt="75" type="#_x0000_t75" style="height:42pt;width:45pt;" o:ole="t" filled="f" stroked="f" coordsize="21600,21600">
            <v:path/>
            <v:fill on="f" focussize="0,0"/>
            <v:stroke on="f"/>
            <v:imagedata r:id="rId27" o:title=""/>
            <o:lock v:ext="edit" grouping="f" rotation="f" text="f" aspectratio="t"/>
            <w10:wrap type="none"/>
            <w10:anchorlock/>
          </v:shape>
          <o:OLEObject Type="Embed" ProgID="Equation.3" ShapeID="_x0000_i1032" DrawAspect="Content" ObjectID="_1468075732" r:id="rId32">
            <o:LockedField>false</o:LockedField>
          </o:OLEObject>
        </w:object>
      </w:r>
      <w:r>
        <w:rPr>
          <w:rFonts w:hAnsi="宋体"/>
          <w:color w:val="000000"/>
          <w:sz w:val="28"/>
          <w:szCs w:val="28"/>
        </w:rPr>
        <w:t>＞</w:t>
      </w:r>
      <w:r>
        <w:rPr>
          <w:color w:val="000000"/>
          <w:sz w:val="28"/>
          <w:szCs w:val="28"/>
        </w:rPr>
        <w:t>40%</w:t>
      </w:r>
      <w:r>
        <w:rPr>
          <w:rFonts w:hAnsi="宋体"/>
          <w:color w:val="000000"/>
          <w:sz w:val="28"/>
          <w:szCs w:val="28"/>
        </w:rPr>
        <w:t>时</w:t>
      </w:r>
      <w:r>
        <w:rPr>
          <w:color w:val="000000"/>
          <w:sz w:val="28"/>
          <w:szCs w:val="28"/>
        </w:rPr>
        <w:t>(</w:t>
      </w:r>
      <w:r>
        <w:rPr>
          <w:rFonts w:hAnsi="宋体"/>
          <w:color w:val="000000"/>
          <w:sz w:val="28"/>
          <w:szCs w:val="28"/>
        </w:rPr>
        <w:t>其中</w:t>
      </w:r>
      <w:r>
        <w:rPr>
          <w:color w:val="000000"/>
          <w:position w:val="-14"/>
          <w:sz w:val="28"/>
          <w:szCs w:val="28"/>
        </w:rPr>
        <w:object>
          <v:shape id="_x0000_i1033" o:spt="75" type="#_x0000_t75" style="height:22pt;width:18pt;" o:ole="t" filled="f" stroked="f" coordsize="21600,21600">
            <v:path/>
            <v:fill on="f" focussize="0,0"/>
            <v:stroke on="f"/>
            <v:imagedata r:id="rId29" o:title=""/>
            <o:lock v:ext="edit" grouping="f" rotation="f" text="f" aspectratio="t"/>
            <w10:wrap type="none"/>
            <w10:anchorlock/>
          </v:shape>
          <o:OLEObject Type="Embed" ProgID="Equation.3" ShapeID="_x0000_i1033" DrawAspect="Content" ObjectID="_1468075733" r:id="rId33">
            <o:LockedField>false</o:LockedField>
          </o:OLEObject>
        </w:object>
      </w:r>
      <w:r>
        <w:rPr>
          <w:rFonts w:hAnsi="宋体"/>
          <w:color w:val="000000"/>
          <w:sz w:val="28"/>
          <w:szCs w:val="28"/>
        </w:rPr>
        <w:t>＞</w:t>
      </w:r>
      <w:r>
        <w:rPr>
          <w:color w:val="000000"/>
          <w:position w:val="-14"/>
          <w:sz w:val="28"/>
          <w:szCs w:val="28"/>
        </w:rPr>
        <w:object>
          <v:shape id="_x0000_i1034" o:spt="75" type="#_x0000_t75" style="height:22pt;width:18pt;" o:ole="t" filled="f" stroked="f" coordsize="21600,21600">
            <v:path/>
            <v:fill on="f" focussize="0,0"/>
            <v:stroke on="f"/>
            <v:imagedata r:id="rId31" o:title=""/>
            <o:lock v:ext="edit" grouping="f" rotation="f" text="f" aspectratio="t"/>
            <w10:wrap type="none"/>
            <w10:anchorlock/>
          </v:shape>
          <o:OLEObject Type="Embed" ProgID="Equation.3" ShapeID="_x0000_i1034" DrawAspect="Content" ObjectID="_1468075734" r:id="rId34">
            <o:LockedField>false</o:LockedField>
          </o:OLEObject>
        </w:object>
      </w:r>
      <w:r>
        <w:rPr>
          <w:color w:val="000000"/>
          <w:sz w:val="28"/>
          <w:szCs w:val="28"/>
        </w:rPr>
        <w:t>)</w:t>
      </w:r>
      <w:r>
        <w:rPr>
          <w:rFonts w:hAnsi="宋体"/>
          <w:color w:val="000000"/>
          <w:sz w:val="28"/>
          <w:szCs w:val="28"/>
        </w:rPr>
        <w:t>，用截锥体公式计算体积；</w:t>
      </w:r>
    </w:p>
    <w:p>
      <w:pPr>
        <w:ind w:firstLine="1680" w:firstLineChars="600"/>
        <w:rPr>
          <w:color w:val="000000"/>
          <w:sz w:val="28"/>
        </w:rPr>
      </w:pPr>
      <w:r>
        <w:rPr>
          <w:rFonts w:ascii="宋体" w:hAnsi="宋体"/>
          <w:sz w:val="28"/>
          <w:szCs w:val="28"/>
        </w:rPr>
        <w:t>③</w:t>
      </w:r>
      <w:r>
        <w:rPr>
          <w:rFonts w:hAnsi="宋体"/>
          <w:sz w:val="28"/>
          <w:szCs w:val="28"/>
        </w:rPr>
        <w:t>当只有一个断面有效，另一端作点尖灭时</w:t>
      </w:r>
      <w:r>
        <w:rPr>
          <w:sz w:val="28"/>
          <w:szCs w:val="28"/>
        </w:rPr>
        <w:t>(S=0</w:t>
      </w:r>
      <w:r>
        <w:rPr>
          <w:rFonts w:hAnsi="宋体"/>
          <w:sz w:val="28"/>
          <w:szCs w:val="28"/>
        </w:rPr>
        <w:t>时</w:t>
      </w:r>
      <w:r>
        <w:rPr>
          <w:sz w:val="28"/>
          <w:szCs w:val="28"/>
        </w:rPr>
        <w:t>)</w:t>
      </w:r>
      <w:r>
        <w:rPr>
          <w:rFonts w:hAnsi="宋体"/>
          <w:sz w:val="28"/>
          <w:szCs w:val="28"/>
        </w:rPr>
        <w:t>，采用角锥体公式计算。</w:t>
      </w:r>
    </w:p>
    <w:p>
      <w:pPr>
        <w:pStyle w:val="3"/>
        <w:spacing w:before="0" w:after="0" w:line="240" w:lineRule="auto"/>
        <w:rPr>
          <w:rFonts w:ascii="Times New Roman" w:hAnsi="Times New Roman" w:eastAsia="宋体"/>
          <w:color w:val="000000"/>
          <w:sz w:val="30"/>
        </w:rPr>
      </w:pPr>
      <w:bookmarkStart w:id="43" w:name="_Toc30008"/>
      <w:bookmarkStart w:id="44" w:name="_Toc59802153"/>
      <w:r>
        <w:rPr>
          <w:rFonts w:ascii="Times New Roman" w:hAnsi="Times New Roman" w:eastAsia="宋体"/>
          <w:color w:val="000000"/>
          <w:sz w:val="30"/>
        </w:rPr>
        <w:t>6.3 资源储量估算参数确定</w:t>
      </w:r>
      <w:bookmarkEnd w:id="43"/>
      <w:bookmarkEnd w:id="44"/>
    </w:p>
    <w:p>
      <w:pPr>
        <w:rPr>
          <w:b/>
          <w:color w:val="000000"/>
          <w:sz w:val="28"/>
        </w:rPr>
      </w:pPr>
      <w:r>
        <w:rPr>
          <w:b/>
          <w:color w:val="000000"/>
          <w:sz w:val="28"/>
        </w:rPr>
        <w:t>6.3.1</w:t>
      </w:r>
      <w:r>
        <w:rPr>
          <w:rFonts w:hint="eastAsia"/>
          <w:b/>
          <w:color w:val="000000"/>
          <w:sz w:val="28"/>
        </w:rPr>
        <w:t>断面</w:t>
      </w:r>
      <w:r>
        <w:rPr>
          <w:b/>
          <w:color w:val="000000"/>
          <w:sz w:val="28"/>
        </w:rPr>
        <w:t>面积测定</w:t>
      </w:r>
    </w:p>
    <w:p>
      <w:pPr>
        <w:ind w:firstLine="560" w:firstLineChars="200"/>
        <w:rPr>
          <w:sz w:val="28"/>
          <w:szCs w:val="28"/>
        </w:rPr>
      </w:pPr>
      <w:r>
        <w:rPr>
          <w:rFonts w:hAnsi="宋体"/>
          <w:sz w:val="28"/>
        </w:rPr>
        <w:t>在储量估算断面图上，</w:t>
      </w:r>
      <w:r>
        <w:rPr>
          <w:rFonts w:hint="eastAsia" w:hAnsi="宋体"/>
          <w:sz w:val="28"/>
        </w:rPr>
        <w:t>采用</w:t>
      </w:r>
      <w:r>
        <w:rPr>
          <w:sz w:val="28"/>
        </w:rPr>
        <w:t>AutoCAD</w:t>
      </w:r>
      <w:r>
        <w:rPr>
          <w:rFonts w:hAnsi="宋体"/>
          <w:sz w:val="28"/>
        </w:rPr>
        <w:t>制图软件</w:t>
      </w:r>
      <w:r>
        <w:rPr>
          <w:rFonts w:hint="eastAsia" w:hAnsi="宋体"/>
          <w:sz w:val="28"/>
        </w:rPr>
        <w:t>直接读取断面面积</w:t>
      </w:r>
      <w:r>
        <w:rPr>
          <w:rFonts w:hAnsi="宋体"/>
          <w:sz w:val="28"/>
        </w:rPr>
        <w:t>。</w:t>
      </w:r>
    </w:p>
    <w:p>
      <w:pPr>
        <w:rPr>
          <w:rFonts w:hint="eastAsia"/>
          <w:b/>
          <w:color w:val="000000"/>
          <w:sz w:val="28"/>
        </w:rPr>
      </w:pPr>
      <w:r>
        <w:rPr>
          <w:b/>
          <w:color w:val="000000"/>
          <w:sz w:val="28"/>
        </w:rPr>
        <w:t>6.3.2</w:t>
      </w:r>
      <w:r>
        <w:rPr>
          <w:rFonts w:hint="eastAsia"/>
          <w:b/>
          <w:color w:val="000000"/>
          <w:sz w:val="28"/>
        </w:rPr>
        <w:t>断面间距</w:t>
      </w:r>
    </w:p>
    <w:p>
      <w:pPr>
        <w:ind w:firstLine="560" w:firstLineChars="200"/>
        <w:rPr>
          <w:rFonts w:ascii="宋体" w:hAnsi="宋体"/>
          <w:sz w:val="28"/>
        </w:rPr>
      </w:pPr>
      <w:r>
        <w:rPr>
          <w:rFonts w:hint="eastAsia" w:ascii="宋体" w:hAnsi="宋体"/>
          <w:sz w:val="28"/>
        </w:rPr>
        <w:t>若相邻断面是平行的，则</w:t>
      </w:r>
      <w:r>
        <w:rPr>
          <w:rFonts w:ascii="宋体" w:hAnsi="宋体"/>
          <w:sz w:val="28"/>
        </w:rPr>
        <w:t>在电脑直接量取</w:t>
      </w:r>
      <w:r>
        <w:rPr>
          <w:rFonts w:hint="eastAsia" w:ascii="宋体" w:hAnsi="宋体"/>
          <w:sz w:val="28"/>
        </w:rPr>
        <w:t>两平行断面之间的距离；当两断面不平行时，则取两断面之间的平均距离</w:t>
      </w:r>
      <w:r>
        <w:rPr>
          <w:rFonts w:ascii="宋体" w:hAnsi="宋体"/>
          <w:sz w:val="28"/>
        </w:rPr>
        <w:t>。</w:t>
      </w:r>
    </w:p>
    <w:p>
      <w:pPr>
        <w:rPr>
          <w:b/>
          <w:color w:val="000000"/>
          <w:sz w:val="28"/>
        </w:rPr>
      </w:pPr>
      <w:r>
        <w:rPr>
          <w:b/>
          <w:color w:val="000000"/>
          <w:sz w:val="28"/>
        </w:rPr>
        <w:t>6.3.</w:t>
      </w:r>
      <w:r>
        <w:rPr>
          <w:rFonts w:hint="eastAsia"/>
          <w:b/>
          <w:color w:val="000000"/>
          <w:sz w:val="28"/>
        </w:rPr>
        <w:t>3</w:t>
      </w:r>
      <w:r>
        <w:rPr>
          <w:b/>
          <w:color w:val="000000"/>
          <w:sz w:val="28"/>
        </w:rPr>
        <w:t>矿石视密度测定</w:t>
      </w:r>
    </w:p>
    <w:p>
      <w:pPr>
        <w:ind w:firstLine="570"/>
        <w:rPr>
          <w:color w:val="000000"/>
          <w:sz w:val="28"/>
        </w:rPr>
      </w:pPr>
      <w:r>
        <w:rPr>
          <w:rFonts w:hAnsi="宋体"/>
          <w:color w:val="000000"/>
          <w:sz w:val="28"/>
        </w:rPr>
        <w:t>根据同类矿山生产实践经验，采用类比的方法，确定该矿</w:t>
      </w:r>
      <w:r>
        <w:rPr>
          <w:rFonts w:hint="eastAsia" w:hAnsi="宋体"/>
          <w:color w:val="000000"/>
          <w:sz w:val="28"/>
        </w:rPr>
        <w:t>页岩</w:t>
      </w:r>
      <w:r>
        <w:rPr>
          <w:rFonts w:hAnsi="宋体"/>
          <w:color w:val="000000"/>
          <w:sz w:val="28"/>
        </w:rPr>
        <w:t>矿石视密度为</w:t>
      </w:r>
      <w:r>
        <w:rPr>
          <w:color w:val="000000"/>
          <w:sz w:val="28"/>
        </w:rPr>
        <w:t>2.</w:t>
      </w:r>
      <w:r>
        <w:rPr>
          <w:rFonts w:hint="eastAsia"/>
          <w:color w:val="000000"/>
          <w:sz w:val="28"/>
        </w:rPr>
        <w:t>40</w:t>
      </w:r>
      <w:r>
        <w:rPr>
          <w:color w:val="000000"/>
          <w:sz w:val="28"/>
        </w:rPr>
        <w:t>t/m</w:t>
      </w:r>
      <w:r>
        <w:rPr>
          <w:color w:val="000000"/>
          <w:sz w:val="28"/>
          <w:vertAlign w:val="superscript"/>
        </w:rPr>
        <w:t>3</w:t>
      </w:r>
      <w:r>
        <w:rPr>
          <w:rFonts w:hAnsi="宋体"/>
          <w:color w:val="000000"/>
          <w:sz w:val="28"/>
        </w:rPr>
        <w:t>。</w:t>
      </w:r>
    </w:p>
    <w:p>
      <w:pPr>
        <w:rPr>
          <w:b/>
          <w:color w:val="000000"/>
          <w:sz w:val="28"/>
        </w:rPr>
      </w:pPr>
      <w:r>
        <w:rPr>
          <w:b/>
          <w:color w:val="000000"/>
          <w:sz w:val="28"/>
        </w:rPr>
        <w:t>6.3.4块段矿体夹石率的确定</w:t>
      </w:r>
    </w:p>
    <w:p>
      <w:pPr>
        <w:ind w:firstLine="573"/>
        <w:rPr>
          <w:color w:val="000000"/>
          <w:sz w:val="28"/>
        </w:rPr>
      </w:pPr>
      <w:r>
        <w:rPr>
          <w:rFonts w:hAnsi="宋体"/>
          <w:color w:val="000000"/>
          <w:sz w:val="28"/>
        </w:rPr>
        <w:t>该矿矿体为沉积型矿床，经过实地调查发现，矿层界线清楚，厚度、产状均较稳定，矿体在周边部分地段地表已有裸露。在圈定矿体时，考虑到现场的实际情况，夹石率确定为</w:t>
      </w:r>
      <w:r>
        <w:rPr>
          <w:rFonts w:hint="eastAsia"/>
          <w:color w:val="000000"/>
          <w:sz w:val="28"/>
        </w:rPr>
        <w:t>2</w:t>
      </w:r>
      <w:r>
        <w:rPr>
          <w:color w:val="000000"/>
          <w:sz w:val="28"/>
        </w:rPr>
        <w:t>5%</w:t>
      </w:r>
      <w:r>
        <w:rPr>
          <w:rFonts w:hAnsi="宋体"/>
          <w:color w:val="000000"/>
          <w:sz w:val="28"/>
        </w:rPr>
        <w:t>。</w:t>
      </w:r>
    </w:p>
    <w:p>
      <w:pPr>
        <w:pStyle w:val="3"/>
        <w:spacing w:before="0" w:after="0" w:line="240" w:lineRule="auto"/>
        <w:rPr>
          <w:rFonts w:ascii="Times New Roman" w:hAnsi="Times New Roman" w:eastAsia="宋体"/>
          <w:color w:val="000000"/>
          <w:sz w:val="30"/>
        </w:rPr>
      </w:pPr>
      <w:bookmarkStart w:id="45" w:name="_Toc59802154"/>
      <w:bookmarkStart w:id="46" w:name="_Toc26841"/>
      <w:r>
        <w:rPr>
          <w:rFonts w:ascii="Times New Roman" w:hAnsi="Times New Roman" w:eastAsia="宋体"/>
          <w:color w:val="000000"/>
          <w:sz w:val="30"/>
        </w:rPr>
        <w:t>6.4 矿体(层)圈定原则</w:t>
      </w:r>
      <w:bookmarkEnd w:id="45"/>
      <w:bookmarkEnd w:id="46"/>
    </w:p>
    <w:p>
      <w:pPr>
        <w:rPr>
          <w:b/>
          <w:color w:val="000000"/>
          <w:sz w:val="28"/>
        </w:rPr>
      </w:pPr>
      <w:r>
        <w:rPr>
          <w:b/>
          <w:color w:val="000000"/>
          <w:sz w:val="28"/>
        </w:rPr>
        <w:t>6.4.1露天矿山开采一般要求</w:t>
      </w:r>
    </w:p>
    <w:p>
      <w:pPr>
        <w:ind w:firstLine="560" w:firstLineChars="200"/>
        <w:rPr>
          <w:color w:val="000000"/>
          <w:sz w:val="28"/>
        </w:rPr>
      </w:pPr>
      <w:r>
        <w:rPr>
          <w:color w:val="000000"/>
          <w:sz w:val="28"/>
        </w:rPr>
        <w:t>(1)</w:t>
      </w:r>
      <w:r>
        <w:rPr>
          <w:rFonts w:hAnsi="宋体"/>
          <w:color w:val="000000"/>
          <w:sz w:val="28"/>
        </w:rPr>
        <w:t>最低可采标高：一般不低于矿区附近的最低地面标高，如低于最低地面标高，必须通过技术论证确定。</w:t>
      </w:r>
    </w:p>
    <w:p>
      <w:pPr>
        <w:ind w:firstLine="560" w:firstLineChars="200"/>
        <w:rPr>
          <w:color w:val="000000"/>
          <w:sz w:val="28"/>
        </w:rPr>
      </w:pPr>
      <w:r>
        <w:rPr>
          <w:color w:val="000000"/>
          <w:sz w:val="28"/>
        </w:rPr>
        <w:t>(2)</w:t>
      </w:r>
      <w:r>
        <w:rPr>
          <w:rFonts w:hAnsi="宋体"/>
          <w:color w:val="000000"/>
          <w:sz w:val="28"/>
        </w:rPr>
        <w:t>剥采比：覆盖层、脉岩、夹层、边坡围岩的剥离总量与矿石总量之比，一般不大于</w:t>
      </w:r>
      <w:r>
        <w:rPr>
          <w:color w:val="000000"/>
          <w:sz w:val="28"/>
        </w:rPr>
        <w:t>0.5:1(m</w:t>
      </w:r>
      <w:r>
        <w:rPr>
          <w:color w:val="000000"/>
          <w:sz w:val="28"/>
          <w:vertAlign w:val="superscript"/>
        </w:rPr>
        <w:t>3</w:t>
      </w:r>
      <w:r>
        <w:rPr>
          <w:color w:val="000000"/>
          <w:sz w:val="28"/>
        </w:rPr>
        <w:t>/m</w:t>
      </w:r>
      <w:r>
        <w:rPr>
          <w:color w:val="000000"/>
          <w:sz w:val="28"/>
          <w:vertAlign w:val="superscript"/>
        </w:rPr>
        <w:t>3</w:t>
      </w:r>
      <w:r>
        <w:rPr>
          <w:color w:val="000000"/>
          <w:sz w:val="28"/>
        </w:rPr>
        <w:t>)</w:t>
      </w:r>
      <w:r>
        <w:rPr>
          <w:rFonts w:hAnsi="宋体"/>
          <w:color w:val="000000"/>
          <w:sz w:val="28"/>
        </w:rPr>
        <w:t>。</w:t>
      </w:r>
    </w:p>
    <w:p>
      <w:pPr>
        <w:ind w:firstLine="560" w:firstLineChars="200"/>
        <w:rPr>
          <w:color w:val="000000"/>
          <w:sz w:val="28"/>
        </w:rPr>
      </w:pPr>
      <w:r>
        <w:rPr>
          <w:color w:val="000000"/>
          <w:sz w:val="28"/>
        </w:rPr>
        <w:t>(3)</w:t>
      </w:r>
      <w:r>
        <w:rPr>
          <w:rFonts w:hAnsi="宋体"/>
          <w:color w:val="000000"/>
          <w:sz w:val="28"/>
        </w:rPr>
        <w:t>可采厚度：大中型矿一般</w:t>
      </w:r>
      <w:r>
        <w:rPr>
          <w:color w:val="000000"/>
          <w:sz w:val="28"/>
        </w:rPr>
        <w:t>8m</w:t>
      </w:r>
      <w:r>
        <w:rPr>
          <w:rFonts w:hAnsi="宋体"/>
          <w:color w:val="000000"/>
          <w:sz w:val="28"/>
        </w:rPr>
        <w:t>，小矿一般</w:t>
      </w:r>
      <w:r>
        <w:rPr>
          <w:color w:val="000000"/>
          <w:sz w:val="28"/>
        </w:rPr>
        <w:t>4m</w:t>
      </w:r>
      <w:r>
        <w:rPr>
          <w:rFonts w:hAnsi="宋体"/>
          <w:color w:val="000000"/>
          <w:sz w:val="28"/>
        </w:rPr>
        <w:t>。拟设矿山最大可采厚度</w:t>
      </w:r>
      <w:r>
        <w:rPr>
          <w:color w:val="000000"/>
          <w:sz w:val="28"/>
        </w:rPr>
        <w:t>150m</w:t>
      </w:r>
      <w:r>
        <w:rPr>
          <w:rFonts w:hAnsi="宋体"/>
          <w:color w:val="000000"/>
          <w:sz w:val="28"/>
        </w:rPr>
        <w:t>左右。</w:t>
      </w:r>
    </w:p>
    <w:p>
      <w:pPr>
        <w:ind w:firstLine="560" w:firstLineChars="200"/>
        <w:rPr>
          <w:color w:val="000000"/>
          <w:sz w:val="28"/>
        </w:rPr>
      </w:pPr>
      <w:r>
        <w:rPr>
          <w:color w:val="000000"/>
          <w:sz w:val="28"/>
        </w:rPr>
        <w:t>(4)</w:t>
      </w:r>
      <w:r>
        <w:rPr>
          <w:rFonts w:hAnsi="宋体"/>
          <w:color w:val="000000"/>
          <w:sz w:val="28"/>
        </w:rPr>
        <w:t>夹石剔除厚度：岩石状矿一般</w:t>
      </w:r>
      <w:r>
        <w:rPr>
          <w:color w:val="000000"/>
          <w:sz w:val="28"/>
        </w:rPr>
        <w:t>2m</w:t>
      </w:r>
      <w:r>
        <w:rPr>
          <w:rFonts w:hAnsi="宋体"/>
          <w:color w:val="000000"/>
          <w:sz w:val="28"/>
        </w:rPr>
        <w:t>，松软状矿一般</w:t>
      </w:r>
      <w:r>
        <w:rPr>
          <w:color w:val="000000"/>
          <w:sz w:val="28"/>
        </w:rPr>
        <w:t>1m</w:t>
      </w:r>
      <w:r>
        <w:rPr>
          <w:rFonts w:hAnsi="宋体"/>
          <w:color w:val="000000"/>
          <w:sz w:val="28"/>
        </w:rPr>
        <w:t>。该矿夹石剔除厚度</w:t>
      </w:r>
      <w:r>
        <w:rPr>
          <w:color w:val="000000"/>
          <w:sz w:val="28"/>
        </w:rPr>
        <w:t>2m</w:t>
      </w:r>
      <w:r>
        <w:rPr>
          <w:rFonts w:hAnsi="宋体"/>
          <w:color w:val="000000"/>
          <w:sz w:val="28"/>
        </w:rPr>
        <w:t>左右。</w:t>
      </w:r>
    </w:p>
    <w:p>
      <w:pPr>
        <w:ind w:firstLine="560" w:firstLineChars="200"/>
        <w:rPr>
          <w:color w:val="000000"/>
          <w:sz w:val="28"/>
        </w:rPr>
      </w:pPr>
      <w:r>
        <w:rPr>
          <w:color w:val="000000"/>
          <w:sz w:val="28"/>
        </w:rPr>
        <w:t>(5)</w:t>
      </w:r>
      <w:r>
        <w:rPr>
          <w:rFonts w:hAnsi="宋体"/>
          <w:color w:val="000000"/>
          <w:sz w:val="28"/>
        </w:rPr>
        <w:t>最终边坡角：岩石状矿一般</w:t>
      </w:r>
      <w:r>
        <w:rPr>
          <w:color w:val="000000"/>
          <w:sz w:val="28"/>
        </w:rPr>
        <w:t>50°</w:t>
      </w:r>
      <w:r>
        <w:rPr>
          <w:rFonts w:hAnsi="宋体"/>
          <w:color w:val="000000"/>
          <w:sz w:val="28"/>
        </w:rPr>
        <w:t>～</w:t>
      </w:r>
      <w:r>
        <w:rPr>
          <w:color w:val="000000"/>
          <w:sz w:val="28"/>
        </w:rPr>
        <w:t>60°</w:t>
      </w:r>
      <w:r>
        <w:rPr>
          <w:rFonts w:hAnsi="宋体"/>
          <w:color w:val="000000"/>
          <w:sz w:val="28"/>
        </w:rPr>
        <w:t>，松软状矿一般</w:t>
      </w:r>
      <w:r>
        <w:rPr>
          <w:color w:val="000000"/>
          <w:sz w:val="28"/>
        </w:rPr>
        <w:t>50°</w:t>
      </w:r>
      <w:r>
        <w:rPr>
          <w:rFonts w:hAnsi="宋体"/>
          <w:color w:val="000000"/>
          <w:sz w:val="28"/>
        </w:rPr>
        <w:t>。该矿属于岩石状矿，最终开采边坡角确定为</w:t>
      </w:r>
      <w:r>
        <w:rPr>
          <w:color w:val="000000"/>
          <w:sz w:val="28"/>
        </w:rPr>
        <w:t>50°</w:t>
      </w:r>
      <w:r>
        <w:rPr>
          <w:rFonts w:hAnsi="宋体"/>
          <w:color w:val="000000"/>
          <w:sz w:val="28"/>
        </w:rPr>
        <w:t>。</w:t>
      </w:r>
    </w:p>
    <w:p>
      <w:pPr>
        <w:ind w:firstLine="560" w:firstLineChars="200"/>
        <w:rPr>
          <w:color w:val="000000"/>
          <w:sz w:val="28"/>
        </w:rPr>
      </w:pPr>
      <w:r>
        <w:rPr>
          <w:color w:val="000000"/>
          <w:sz w:val="28"/>
        </w:rPr>
        <w:t>(6)</w:t>
      </w:r>
      <w:r>
        <w:rPr>
          <w:rFonts w:hAnsi="宋体"/>
          <w:color w:val="000000"/>
          <w:sz w:val="28"/>
        </w:rPr>
        <w:t>采场最终底盘最小宽度：</w:t>
      </w:r>
    </w:p>
    <w:p>
      <w:pPr>
        <w:ind w:firstLine="560" w:firstLineChars="200"/>
        <w:rPr>
          <w:color w:val="000000"/>
          <w:sz w:val="28"/>
        </w:rPr>
      </w:pPr>
      <w:r>
        <w:rPr>
          <w:rFonts w:hAnsi="宋体"/>
          <w:color w:val="000000"/>
          <w:sz w:val="28"/>
        </w:rPr>
        <w:t>岩石状矿：大中型矿一般不小于</w:t>
      </w:r>
      <w:r>
        <w:rPr>
          <w:color w:val="000000"/>
          <w:sz w:val="28"/>
        </w:rPr>
        <w:t>60m</w:t>
      </w:r>
      <w:r>
        <w:rPr>
          <w:rFonts w:hAnsi="宋体"/>
          <w:color w:val="000000"/>
          <w:sz w:val="28"/>
        </w:rPr>
        <w:t>，小型矿一般不小于</w:t>
      </w:r>
      <w:r>
        <w:rPr>
          <w:color w:val="000000"/>
          <w:sz w:val="28"/>
        </w:rPr>
        <w:t>40m</w:t>
      </w:r>
      <w:r>
        <w:rPr>
          <w:rFonts w:hAnsi="宋体"/>
          <w:color w:val="000000"/>
          <w:sz w:val="28"/>
        </w:rPr>
        <w:t>；</w:t>
      </w:r>
    </w:p>
    <w:p>
      <w:pPr>
        <w:ind w:firstLine="560" w:firstLineChars="200"/>
        <w:rPr>
          <w:color w:val="000000"/>
          <w:sz w:val="28"/>
        </w:rPr>
      </w:pPr>
      <w:r>
        <w:rPr>
          <w:rFonts w:hAnsi="宋体"/>
          <w:color w:val="000000"/>
          <w:sz w:val="28"/>
        </w:rPr>
        <w:t>松软状矿：大中型矿一般不小于</w:t>
      </w:r>
      <w:r>
        <w:rPr>
          <w:color w:val="000000"/>
          <w:sz w:val="28"/>
        </w:rPr>
        <w:t>40m</w:t>
      </w:r>
      <w:r>
        <w:rPr>
          <w:rFonts w:hAnsi="宋体"/>
          <w:color w:val="000000"/>
          <w:sz w:val="28"/>
        </w:rPr>
        <w:t>，小型矿一般不小于</w:t>
      </w:r>
      <w:r>
        <w:rPr>
          <w:color w:val="000000"/>
          <w:sz w:val="28"/>
        </w:rPr>
        <w:t>20m</w:t>
      </w:r>
      <w:r>
        <w:rPr>
          <w:rFonts w:hAnsi="宋体"/>
          <w:color w:val="000000"/>
          <w:sz w:val="28"/>
        </w:rPr>
        <w:t>；</w:t>
      </w:r>
    </w:p>
    <w:p>
      <w:pPr>
        <w:ind w:firstLine="560" w:firstLineChars="200"/>
        <w:rPr>
          <w:color w:val="000000"/>
          <w:sz w:val="28"/>
        </w:rPr>
      </w:pPr>
      <w:r>
        <w:rPr>
          <w:rFonts w:hAnsi="宋体"/>
          <w:color w:val="000000"/>
          <w:sz w:val="28"/>
        </w:rPr>
        <w:t>该矿开采最终底盘最小宽度</w:t>
      </w:r>
      <w:r>
        <w:rPr>
          <w:rFonts w:hint="eastAsia" w:hAnsi="宋体"/>
          <w:color w:val="000000"/>
          <w:sz w:val="28"/>
        </w:rPr>
        <w:t>不小</w:t>
      </w:r>
      <w:r>
        <w:rPr>
          <w:rFonts w:hAnsi="宋体"/>
          <w:color w:val="000000"/>
          <w:sz w:val="28"/>
        </w:rPr>
        <w:t>于</w:t>
      </w:r>
      <w:r>
        <w:rPr>
          <w:color w:val="000000"/>
          <w:sz w:val="28"/>
        </w:rPr>
        <w:t>60m</w:t>
      </w:r>
      <w:r>
        <w:rPr>
          <w:rFonts w:hAnsi="宋体"/>
          <w:color w:val="000000"/>
          <w:sz w:val="28"/>
        </w:rPr>
        <w:t>。</w:t>
      </w:r>
    </w:p>
    <w:p>
      <w:pPr>
        <w:ind w:firstLine="560" w:firstLineChars="200"/>
        <w:rPr>
          <w:color w:val="000000"/>
          <w:sz w:val="28"/>
        </w:rPr>
      </w:pPr>
      <w:r>
        <w:rPr>
          <w:color w:val="000000"/>
          <w:sz w:val="28"/>
        </w:rPr>
        <w:t>(7)</w:t>
      </w:r>
      <w:r>
        <w:rPr>
          <w:rFonts w:hAnsi="宋体"/>
          <w:color w:val="000000"/>
          <w:sz w:val="28"/>
        </w:rPr>
        <w:t>爆破安全距离：矿床开采边界对公路、铁路、高压线、居民区和其他主要建筑物的爆破安全距离一般不小于</w:t>
      </w:r>
      <w:r>
        <w:rPr>
          <w:color w:val="000000"/>
          <w:sz w:val="28"/>
        </w:rPr>
        <w:t>300m</w:t>
      </w:r>
      <w:r>
        <w:rPr>
          <w:rFonts w:hAnsi="宋体"/>
          <w:color w:val="000000"/>
          <w:sz w:val="28"/>
        </w:rPr>
        <w:t>。</w:t>
      </w:r>
    </w:p>
    <w:p>
      <w:pPr>
        <w:rPr>
          <w:b/>
          <w:color w:val="000000"/>
          <w:sz w:val="28"/>
        </w:rPr>
      </w:pPr>
      <w:r>
        <w:rPr>
          <w:b/>
          <w:color w:val="000000"/>
          <w:sz w:val="28"/>
        </w:rPr>
        <w:t>6.4.2矿体圈定基本原则</w:t>
      </w:r>
    </w:p>
    <w:p>
      <w:pPr>
        <w:ind w:firstLine="630" w:firstLineChars="225"/>
        <w:rPr>
          <w:color w:val="000000"/>
          <w:sz w:val="28"/>
        </w:rPr>
      </w:pPr>
      <w:r>
        <w:rPr>
          <w:color w:val="000000"/>
          <w:sz w:val="28"/>
        </w:rPr>
        <w:t>(1)</w:t>
      </w:r>
      <w:r>
        <w:rPr>
          <w:rFonts w:hAnsi="宋体"/>
          <w:color w:val="000000"/>
          <w:sz w:val="28"/>
        </w:rPr>
        <w:t>该矿为层状构造，</w:t>
      </w:r>
      <w:r>
        <w:rPr>
          <w:rFonts w:hint="eastAsia" w:hAnsi="宋体"/>
          <w:color w:val="000000"/>
          <w:sz w:val="28"/>
        </w:rPr>
        <w:t>岩性岩相稳定，</w:t>
      </w:r>
      <w:r>
        <w:rPr>
          <w:rFonts w:hAnsi="宋体"/>
          <w:color w:val="000000"/>
          <w:sz w:val="28"/>
        </w:rPr>
        <w:t>向四周展布，延伸较远，</w:t>
      </w:r>
      <w:r>
        <w:rPr>
          <w:rFonts w:hAnsi="宋体"/>
          <w:sz w:val="28"/>
        </w:rPr>
        <w:t>本次以拟设置矿权范围拐点坐标为圈矿基础。</w:t>
      </w:r>
    </w:p>
    <w:p>
      <w:pPr>
        <w:ind w:firstLine="560" w:firstLineChars="200"/>
        <w:rPr>
          <w:color w:val="000000"/>
          <w:sz w:val="28"/>
        </w:rPr>
      </w:pPr>
      <w:r>
        <w:rPr>
          <w:color w:val="000000"/>
          <w:sz w:val="28"/>
        </w:rPr>
        <w:t>(2)</w:t>
      </w:r>
      <w:r>
        <w:rPr>
          <w:rFonts w:hAnsi="宋体"/>
          <w:color w:val="000000"/>
          <w:sz w:val="28"/>
        </w:rPr>
        <w:t>根据矿区地形地貌与地质条件确定开采标高。</w:t>
      </w:r>
    </w:p>
    <w:p>
      <w:pPr>
        <w:ind w:firstLine="560" w:firstLineChars="200"/>
        <w:rPr>
          <w:color w:val="000000"/>
          <w:sz w:val="28"/>
        </w:rPr>
      </w:pPr>
      <w:r>
        <w:rPr>
          <w:color w:val="000000"/>
          <w:sz w:val="28"/>
        </w:rPr>
        <w:t>(3)</w:t>
      </w:r>
      <w:r>
        <w:rPr>
          <w:rFonts w:hAnsi="宋体"/>
          <w:color w:val="000000"/>
          <w:sz w:val="28"/>
        </w:rPr>
        <w:t>充分考虑采矿技术条件，包括安全生产要求。</w:t>
      </w:r>
    </w:p>
    <w:p>
      <w:pPr>
        <w:pStyle w:val="3"/>
        <w:spacing w:before="0" w:after="0" w:line="240" w:lineRule="auto"/>
        <w:rPr>
          <w:rFonts w:ascii="Times New Roman" w:hAnsi="Times New Roman" w:eastAsia="宋体"/>
          <w:color w:val="000000"/>
          <w:sz w:val="30"/>
        </w:rPr>
      </w:pPr>
      <w:bookmarkStart w:id="47" w:name="_Toc59802155"/>
      <w:bookmarkStart w:id="48" w:name="_Toc25453"/>
      <w:r>
        <w:rPr>
          <w:rFonts w:ascii="Times New Roman" w:hAnsi="Times New Roman" w:eastAsia="宋体"/>
          <w:color w:val="000000"/>
          <w:sz w:val="30"/>
        </w:rPr>
        <w:t>6.5 采空区边界圈定</w:t>
      </w:r>
      <w:bookmarkEnd w:id="47"/>
      <w:bookmarkEnd w:id="48"/>
    </w:p>
    <w:p>
      <w:pPr>
        <w:ind w:firstLine="560" w:firstLineChars="200"/>
        <w:rPr>
          <w:rFonts w:ascii="宋体" w:hAnsi="宋体"/>
          <w:sz w:val="28"/>
          <w:szCs w:val="28"/>
        </w:rPr>
      </w:pPr>
      <w:r>
        <w:rPr>
          <w:rFonts w:ascii="宋体" w:hAnsi="宋体"/>
          <w:sz w:val="28"/>
        </w:rPr>
        <w:t>矿山目前尚未进行开采，无已开采区。</w:t>
      </w:r>
    </w:p>
    <w:p>
      <w:pPr>
        <w:pStyle w:val="3"/>
        <w:spacing w:before="0" w:after="0" w:line="240" w:lineRule="auto"/>
        <w:rPr>
          <w:rStyle w:val="23"/>
          <w:rFonts w:ascii="Times New Roman" w:hAnsi="Times New Roman" w:eastAsia="宋体"/>
          <w:color w:val="000000"/>
          <w:sz w:val="30"/>
          <w:szCs w:val="30"/>
        </w:rPr>
      </w:pPr>
      <w:bookmarkStart w:id="49" w:name="_Toc59802156"/>
      <w:r>
        <w:rPr>
          <w:rStyle w:val="23"/>
          <w:rFonts w:ascii="Times New Roman" w:hAnsi="Times New Roman" w:eastAsia="宋体"/>
          <w:color w:val="000000"/>
          <w:sz w:val="30"/>
          <w:szCs w:val="30"/>
        </w:rPr>
        <w:t>6.6 资源储量类型确定</w:t>
      </w:r>
      <w:bookmarkEnd w:id="49"/>
    </w:p>
    <w:p>
      <w:pPr>
        <w:ind w:firstLine="560" w:firstLineChars="200"/>
        <w:rPr>
          <w:sz w:val="28"/>
          <w:szCs w:val="28"/>
        </w:rPr>
      </w:pPr>
      <w:r>
        <w:rPr>
          <w:rFonts w:hAnsi="宋体"/>
          <w:sz w:val="28"/>
          <w:szCs w:val="28"/>
        </w:rPr>
        <w:t>拟设置矿区地质构造整体较简单，矿体属沉积矿层，矿层厚度和质量均较稳定，所在区域矿层有乡村公路开挖揭露，倾向上冲沟切割揭露，矿层出露良好，层位及厚度稳定。根据</w:t>
      </w:r>
      <w:r>
        <w:rPr>
          <w:rFonts w:hAnsi="宋体"/>
          <w:sz w:val="28"/>
          <w:lang w:val="zh-CN"/>
        </w:rPr>
        <w:t>《固体矿产资源储量分类》</w:t>
      </w:r>
      <w:r>
        <w:rPr>
          <w:sz w:val="28"/>
          <w:lang w:val="zh-CN"/>
        </w:rPr>
        <w:t>(GB/T17766-2020)</w:t>
      </w:r>
      <w:r>
        <w:rPr>
          <w:rFonts w:hAnsi="宋体"/>
          <w:sz w:val="28"/>
          <w:szCs w:val="28"/>
        </w:rPr>
        <w:t>的有关规定，结合四川省矿产资源储量评审中心《对矿山保有资源储量核实报告有关问题的处理意见》，资源储量类型划定为控制资源量。</w:t>
      </w:r>
    </w:p>
    <w:p>
      <w:pPr>
        <w:pStyle w:val="3"/>
        <w:spacing w:before="0" w:after="0" w:line="240" w:lineRule="auto"/>
        <w:rPr>
          <w:rStyle w:val="23"/>
          <w:rFonts w:ascii="Times New Roman" w:hAnsi="Times New Roman" w:eastAsia="宋体"/>
          <w:color w:val="000000"/>
          <w:sz w:val="30"/>
          <w:szCs w:val="30"/>
        </w:rPr>
      </w:pPr>
      <w:bookmarkStart w:id="50" w:name="_Toc59802157"/>
      <w:r>
        <w:rPr>
          <w:rStyle w:val="23"/>
          <w:rFonts w:ascii="Times New Roman" w:hAnsi="Times New Roman" w:eastAsia="宋体"/>
          <w:color w:val="000000"/>
          <w:sz w:val="30"/>
          <w:szCs w:val="30"/>
        </w:rPr>
        <w:t>6.6 估算结果</w:t>
      </w:r>
      <w:bookmarkEnd w:id="50"/>
    </w:p>
    <w:p>
      <w:pPr>
        <w:pStyle w:val="4"/>
        <w:spacing w:before="0" w:after="0" w:line="240" w:lineRule="auto"/>
        <w:rPr>
          <w:sz w:val="28"/>
          <w:szCs w:val="28"/>
          <w:lang w:val="zh-CN"/>
        </w:rPr>
      </w:pPr>
      <w:r>
        <w:rPr>
          <w:sz w:val="28"/>
          <w:szCs w:val="28"/>
        </w:rPr>
        <w:t>6</w:t>
      </w:r>
      <w:r>
        <w:rPr>
          <w:sz w:val="28"/>
          <w:szCs w:val="28"/>
          <w:lang w:val="zh-CN"/>
        </w:rPr>
        <w:t>.6.1储量估算结果</w:t>
      </w:r>
    </w:p>
    <w:p>
      <w:pPr>
        <w:ind w:right="15" w:rightChars="7" w:firstLine="702" w:firstLineChars="251"/>
        <w:rPr>
          <w:rFonts w:hint="eastAsia" w:hAnsi="宋体"/>
          <w:color w:val="000000"/>
          <w:sz w:val="28"/>
          <w:szCs w:val="28"/>
        </w:rPr>
      </w:pPr>
      <w:r>
        <w:rPr>
          <w:rFonts w:hAnsi="宋体"/>
          <w:color w:val="000000"/>
          <w:sz w:val="28"/>
          <w:szCs w:val="28"/>
        </w:rPr>
        <w:t>截止</w:t>
      </w:r>
      <w:r>
        <w:rPr>
          <w:color w:val="000000"/>
          <w:sz w:val="28"/>
          <w:szCs w:val="28"/>
        </w:rPr>
        <w:t>2020</w:t>
      </w:r>
      <w:r>
        <w:rPr>
          <w:rFonts w:hAnsi="宋体"/>
          <w:color w:val="000000"/>
          <w:sz w:val="28"/>
          <w:szCs w:val="28"/>
        </w:rPr>
        <w:t>年</w:t>
      </w:r>
      <w:r>
        <w:rPr>
          <w:color w:val="000000"/>
          <w:sz w:val="28"/>
          <w:szCs w:val="28"/>
        </w:rPr>
        <w:t>12</w:t>
      </w:r>
      <w:r>
        <w:rPr>
          <w:rFonts w:hAnsi="宋体"/>
          <w:color w:val="000000"/>
          <w:sz w:val="28"/>
          <w:szCs w:val="28"/>
        </w:rPr>
        <w:t>月底，拟设置矿权范围内累计查明资源量</w:t>
      </w:r>
      <w:r>
        <w:rPr>
          <w:color w:val="000000"/>
          <w:sz w:val="28"/>
          <w:szCs w:val="28"/>
        </w:rPr>
        <w:t>10</w:t>
      </w:r>
      <w:r>
        <w:rPr>
          <w:rFonts w:hint="eastAsia"/>
          <w:color w:val="000000"/>
          <w:sz w:val="28"/>
          <w:szCs w:val="28"/>
        </w:rPr>
        <w:t>62.9</w:t>
      </w:r>
      <w:r>
        <w:rPr>
          <w:rFonts w:hAnsi="宋体"/>
          <w:color w:val="000000"/>
          <w:sz w:val="28"/>
          <w:szCs w:val="28"/>
        </w:rPr>
        <w:t>万吨</w:t>
      </w:r>
      <w:r>
        <w:rPr>
          <w:color w:val="000000"/>
          <w:sz w:val="28"/>
          <w:szCs w:val="28"/>
        </w:rPr>
        <w:t>(</w:t>
      </w:r>
      <w:r>
        <w:rPr>
          <w:rFonts w:hAnsi="宋体"/>
          <w:color w:val="000000"/>
          <w:sz w:val="28"/>
          <w:szCs w:val="28"/>
        </w:rPr>
        <w:t>矿石体积</w:t>
      </w:r>
      <w:r>
        <w:rPr>
          <w:rFonts w:hint="eastAsia"/>
          <w:color w:val="000000"/>
          <w:sz w:val="28"/>
          <w:szCs w:val="28"/>
        </w:rPr>
        <w:t>442.91</w:t>
      </w:r>
      <w:r>
        <w:rPr>
          <w:rFonts w:hAnsi="宋体"/>
          <w:color w:val="000000"/>
          <w:sz w:val="28"/>
          <w:szCs w:val="28"/>
        </w:rPr>
        <w:t>万</w:t>
      </w:r>
      <w:r>
        <w:rPr>
          <w:color w:val="000000"/>
          <w:sz w:val="28"/>
          <w:szCs w:val="28"/>
        </w:rPr>
        <w:t>m</w:t>
      </w:r>
      <w:r>
        <w:rPr>
          <w:color w:val="000000"/>
          <w:sz w:val="28"/>
          <w:szCs w:val="28"/>
          <w:vertAlign w:val="superscript"/>
        </w:rPr>
        <w:t>3</w:t>
      </w:r>
      <w:r>
        <w:rPr>
          <w:color w:val="000000"/>
          <w:sz w:val="28"/>
          <w:szCs w:val="28"/>
        </w:rPr>
        <w:t>)</w:t>
      </w:r>
      <w:r>
        <w:rPr>
          <w:rFonts w:hAnsi="宋体"/>
          <w:color w:val="000000"/>
          <w:sz w:val="28"/>
          <w:szCs w:val="28"/>
        </w:rPr>
        <w:t>，全为保有资源量，详见插表</w:t>
      </w:r>
      <w:r>
        <w:rPr>
          <w:color w:val="000000"/>
          <w:sz w:val="28"/>
          <w:szCs w:val="28"/>
        </w:rPr>
        <w:t>5</w:t>
      </w:r>
      <w:r>
        <w:rPr>
          <w:rFonts w:hAnsi="宋体"/>
          <w:color w:val="000000"/>
          <w:sz w:val="28"/>
          <w:szCs w:val="28"/>
        </w:rPr>
        <w:t>。</w:t>
      </w:r>
    </w:p>
    <w:p>
      <w:pPr>
        <w:spacing w:line="0" w:lineRule="atLeast"/>
        <w:jc w:val="center"/>
        <w:rPr>
          <w:b/>
          <w:color w:val="000000"/>
          <w:sz w:val="28"/>
          <w:szCs w:val="28"/>
        </w:rPr>
      </w:pPr>
      <w:r>
        <w:rPr>
          <w:rFonts w:hint="eastAsia"/>
          <w:b/>
          <w:color w:val="000000"/>
          <w:sz w:val="28"/>
          <w:szCs w:val="28"/>
        </w:rPr>
        <w:t>小儿坡页</w:t>
      </w:r>
      <w:r>
        <w:rPr>
          <w:b/>
          <w:color w:val="000000"/>
          <w:sz w:val="28"/>
          <w:szCs w:val="28"/>
        </w:rPr>
        <w:t>岩矿资源量估算结果表</w:t>
      </w:r>
    </w:p>
    <w:p>
      <w:pPr>
        <w:spacing w:line="0" w:lineRule="atLeast"/>
        <w:jc w:val="right"/>
        <w:rPr>
          <w:rFonts w:hint="eastAsia" w:eastAsia="仿宋_GB2312"/>
          <w:color w:val="000000"/>
          <w:sz w:val="24"/>
        </w:rPr>
      </w:pPr>
      <w:r>
        <w:rPr>
          <w:rFonts w:ascii="宋体" w:hAnsi="宋体"/>
          <w:color w:val="000000"/>
          <w:sz w:val="24"/>
        </w:rPr>
        <w:t>插表</w:t>
      </w:r>
      <w:r>
        <w:rPr>
          <w:rFonts w:hint="eastAsia" w:eastAsia="仿宋_GB2312"/>
          <w:color w:val="000000"/>
          <w:sz w:val="24"/>
        </w:rPr>
        <w:t>5</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8"/>
        <w:gridCol w:w="635"/>
        <w:gridCol w:w="1309"/>
        <w:gridCol w:w="849"/>
        <w:gridCol w:w="702"/>
        <w:gridCol w:w="810"/>
        <w:gridCol w:w="912"/>
        <w:gridCol w:w="718"/>
        <w:gridCol w:w="810"/>
        <w:gridCol w:w="856"/>
        <w:gridCol w:w="8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tcBorders>
              <w:top w:val="single" w:color="auto" w:sz="8" w:space="0"/>
              <w:left w:val="single" w:color="auto" w:sz="8" w:space="0"/>
              <w:bottom w:val="single" w:color="auto" w:sz="4" w:space="0"/>
            </w:tcBorders>
            <w:noWrap w:val="0"/>
            <w:vAlign w:val="center"/>
          </w:tcPr>
          <w:p>
            <w:pPr>
              <w:spacing w:line="0" w:lineRule="atLeast"/>
              <w:jc w:val="center"/>
              <w:rPr>
                <w:w w:val="90"/>
                <w:sz w:val="24"/>
              </w:rPr>
            </w:pPr>
            <w:r>
              <w:rPr>
                <w:rFonts w:hAnsi="宋体"/>
                <w:w w:val="90"/>
                <w:sz w:val="24"/>
              </w:rPr>
              <w:t>块段</w:t>
            </w:r>
          </w:p>
          <w:p>
            <w:pPr>
              <w:spacing w:line="0" w:lineRule="atLeast"/>
              <w:jc w:val="center"/>
              <w:rPr>
                <w:w w:val="90"/>
                <w:sz w:val="24"/>
              </w:rPr>
            </w:pPr>
            <w:r>
              <w:rPr>
                <w:rFonts w:hAnsi="宋体"/>
                <w:w w:val="90"/>
                <w:sz w:val="24"/>
              </w:rPr>
              <w:t>编号</w:t>
            </w:r>
          </w:p>
        </w:tc>
        <w:tc>
          <w:tcPr>
            <w:tcW w:w="0" w:type="auto"/>
            <w:tcBorders>
              <w:top w:val="single" w:color="auto" w:sz="8" w:space="0"/>
              <w:bottom w:val="single" w:color="auto" w:sz="4" w:space="0"/>
            </w:tcBorders>
            <w:noWrap w:val="0"/>
            <w:vAlign w:val="center"/>
          </w:tcPr>
          <w:p>
            <w:pPr>
              <w:spacing w:line="0" w:lineRule="atLeast"/>
              <w:jc w:val="center"/>
              <w:rPr>
                <w:w w:val="90"/>
                <w:sz w:val="24"/>
              </w:rPr>
            </w:pPr>
            <w:r>
              <w:rPr>
                <w:rFonts w:hAnsi="宋体"/>
                <w:w w:val="90"/>
                <w:sz w:val="24"/>
              </w:rPr>
              <w:t>断面</w:t>
            </w:r>
          </w:p>
          <w:p>
            <w:pPr>
              <w:spacing w:line="0" w:lineRule="atLeast"/>
              <w:jc w:val="center"/>
              <w:rPr>
                <w:w w:val="90"/>
                <w:sz w:val="24"/>
              </w:rPr>
            </w:pPr>
            <w:r>
              <w:rPr>
                <w:rFonts w:hAnsi="宋体"/>
                <w:w w:val="90"/>
                <w:sz w:val="24"/>
              </w:rPr>
              <w:t>编号</w:t>
            </w:r>
          </w:p>
        </w:tc>
        <w:tc>
          <w:tcPr>
            <w:tcW w:w="0" w:type="auto"/>
            <w:tcBorders>
              <w:top w:val="single" w:color="auto" w:sz="8" w:space="0"/>
              <w:bottom w:val="single" w:color="auto" w:sz="4" w:space="0"/>
            </w:tcBorders>
            <w:noWrap w:val="0"/>
            <w:vAlign w:val="center"/>
          </w:tcPr>
          <w:p>
            <w:pPr>
              <w:spacing w:line="0" w:lineRule="atLeast"/>
              <w:jc w:val="center"/>
              <w:rPr>
                <w:w w:val="90"/>
                <w:sz w:val="24"/>
              </w:rPr>
            </w:pPr>
            <w:r>
              <w:rPr>
                <w:rFonts w:hAnsi="宋体"/>
                <w:w w:val="90"/>
                <w:sz w:val="24"/>
              </w:rPr>
              <w:t>断面面积</w:t>
            </w:r>
          </w:p>
          <w:p>
            <w:pPr>
              <w:spacing w:line="0" w:lineRule="atLeast"/>
              <w:jc w:val="center"/>
              <w:rPr>
                <w:w w:val="90"/>
                <w:sz w:val="24"/>
              </w:rPr>
            </w:pPr>
            <w:r>
              <w:rPr>
                <w:w w:val="90"/>
                <w:sz w:val="24"/>
              </w:rPr>
              <w:t>(m</w:t>
            </w:r>
            <w:r>
              <w:rPr>
                <w:w w:val="90"/>
                <w:sz w:val="24"/>
                <w:vertAlign w:val="superscript"/>
              </w:rPr>
              <w:t>2</w:t>
            </w:r>
            <w:r>
              <w:rPr>
                <w:w w:val="90"/>
                <w:sz w:val="24"/>
              </w:rPr>
              <w:t>)</w:t>
            </w:r>
          </w:p>
        </w:tc>
        <w:tc>
          <w:tcPr>
            <w:tcW w:w="0" w:type="auto"/>
            <w:tcBorders>
              <w:top w:val="single" w:color="auto" w:sz="8" w:space="0"/>
              <w:bottom w:val="single" w:color="auto" w:sz="4" w:space="0"/>
            </w:tcBorders>
            <w:noWrap w:val="0"/>
            <w:vAlign w:val="center"/>
          </w:tcPr>
          <w:p>
            <w:pPr>
              <w:widowControl/>
              <w:jc w:val="left"/>
              <w:rPr>
                <w:w w:val="90"/>
                <w:sz w:val="24"/>
              </w:rPr>
            </w:pPr>
            <w:r>
              <w:rPr>
                <w:rFonts w:hAnsi="宋体"/>
                <w:w w:val="90"/>
                <w:sz w:val="24"/>
              </w:rPr>
              <w:t>块段平</w:t>
            </w:r>
          </w:p>
          <w:p>
            <w:pPr>
              <w:spacing w:line="0" w:lineRule="atLeast"/>
              <w:jc w:val="center"/>
              <w:rPr>
                <w:w w:val="90"/>
                <w:sz w:val="24"/>
              </w:rPr>
            </w:pPr>
            <w:r>
              <w:rPr>
                <w:rFonts w:hAnsi="宋体"/>
                <w:w w:val="90"/>
                <w:sz w:val="24"/>
              </w:rPr>
              <w:t>均面积</w:t>
            </w:r>
          </w:p>
          <w:p>
            <w:pPr>
              <w:spacing w:line="0" w:lineRule="atLeast"/>
              <w:jc w:val="center"/>
              <w:rPr>
                <w:w w:val="90"/>
                <w:sz w:val="24"/>
              </w:rPr>
            </w:pPr>
            <w:r>
              <w:rPr>
                <w:w w:val="90"/>
                <w:sz w:val="24"/>
              </w:rPr>
              <w:t>(m</w:t>
            </w:r>
            <w:r>
              <w:rPr>
                <w:w w:val="90"/>
                <w:sz w:val="24"/>
                <w:vertAlign w:val="superscript"/>
              </w:rPr>
              <w:t>2</w:t>
            </w:r>
            <w:r>
              <w:rPr>
                <w:w w:val="90"/>
                <w:sz w:val="24"/>
              </w:rPr>
              <w:t>)</w:t>
            </w:r>
          </w:p>
        </w:tc>
        <w:tc>
          <w:tcPr>
            <w:tcW w:w="0" w:type="auto"/>
            <w:tcBorders>
              <w:top w:val="single" w:color="auto" w:sz="8" w:space="0"/>
              <w:bottom w:val="single" w:color="auto" w:sz="4" w:space="0"/>
            </w:tcBorders>
            <w:noWrap w:val="0"/>
            <w:vAlign w:val="center"/>
          </w:tcPr>
          <w:p>
            <w:pPr>
              <w:spacing w:line="0" w:lineRule="atLeast"/>
              <w:jc w:val="center"/>
              <w:rPr>
                <w:w w:val="90"/>
                <w:sz w:val="24"/>
              </w:rPr>
            </w:pPr>
            <w:r>
              <w:rPr>
                <w:rFonts w:hAnsi="宋体"/>
                <w:w w:val="90"/>
                <w:sz w:val="24"/>
              </w:rPr>
              <w:t>断面</w:t>
            </w:r>
          </w:p>
          <w:p>
            <w:pPr>
              <w:spacing w:line="0" w:lineRule="atLeast"/>
              <w:jc w:val="center"/>
              <w:rPr>
                <w:w w:val="90"/>
                <w:sz w:val="24"/>
              </w:rPr>
            </w:pPr>
            <w:r>
              <w:rPr>
                <w:rFonts w:hAnsi="宋体"/>
                <w:w w:val="90"/>
                <w:sz w:val="24"/>
              </w:rPr>
              <w:t>距离</w:t>
            </w:r>
          </w:p>
          <w:p>
            <w:pPr>
              <w:spacing w:line="0" w:lineRule="atLeast"/>
              <w:jc w:val="center"/>
              <w:rPr>
                <w:w w:val="90"/>
                <w:sz w:val="24"/>
              </w:rPr>
            </w:pPr>
            <w:r>
              <w:rPr>
                <w:w w:val="90"/>
                <w:sz w:val="24"/>
              </w:rPr>
              <w:t>(m)</w:t>
            </w:r>
          </w:p>
        </w:tc>
        <w:tc>
          <w:tcPr>
            <w:tcW w:w="0" w:type="auto"/>
            <w:tcBorders>
              <w:top w:val="single" w:color="auto" w:sz="8" w:space="0"/>
              <w:bottom w:val="single" w:color="auto" w:sz="4" w:space="0"/>
            </w:tcBorders>
            <w:noWrap w:val="0"/>
            <w:vAlign w:val="center"/>
          </w:tcPr>
          <w:p>
            <w:pPr>
              <w:spacing w:line="0" w:lineRule="atLeast"/>
              <w:jc w:val="center"/>
              <w:rPr>
                <w:rFonts w:hint="eastAsia"/>
                <w:w w:val="90"/>
                <w:sz w:val="24"/>
              </w:rPr>
            </w:pPr>
            <w:r>
              <w:rPr>
                <w:rFonts w:hint="eastAsia" w:hAnsi="宋体"/>
                <w:w w:val="90"/>
                <w:sz w:val="24"/>
              </w:rPr>
              <w:t>块段</w:t>
            </w:r>
          </w:p>
          <w:p>
            <w:pPr>
              <w:spacing w:line="0" w:lineRule="atLeast"/>
              <w:jc w:val="center"/>
              <w:rPr>
                <w:w w:val="90"/>
                <w:sz w:val="24"/>
              </w:rPr>
            </w:pPr>
            <w:r>
              <w:rPr>
                <w:rFonts w:hAnsi="宋体"/>
                <w:w w:val="90"/>
                <w:sz w:val="24"/>
              </w:rPr>
              <w:t>体积</w:t>
            </w:r>
          </w:p>
          <w:p>
            <w:pPr>
              <w:spacing w:line="0" w:lineRule="atLeast"/>
              <w:jc w:val="center"/>
              <w:rPr>
                <w:spacing w:val="-12"/>
                <w:w w:val="90"/>
                <w:sz w:val="24"/>
              </w:rPr>
            </w:pPr>
            <w:r>
              <w:rPr>
                <w:spacing w:val="-12"/>
                <w:w w:val="90"/>
                <w:sz w:val="24"/>
              </w:rPr>
              <w:t>(</w:t>
            </w:r>
            <w:r>
              <w:rPr>
                <w:rFonts w:hAnsi="宋体"/>
                <w:spacing w:val="-12"/>
                <w:w w:val="90"/>
                <w:sz w:val="24"/>
              </w:rPr>
              <w:t>万</w:t>
            </w:r>
            <w:r>
              <w:rPr>
                <w:spacing w:val="-12"/>
                <w:w w:val="90"/>
                <w:sz w:val="24"/>
              </w:rPr>
              <w:t>m</w:t>
            </w:r>
            <w:r>
              <w:rPr>
                <w:spacing w:val="-12"/>
                <w:w w:val="90"/>
                <w:sz w:val="24"/>
                <w:vertAlign w:val="superscript"/>
              </w:rPr>
              <w:t>3</w:t>
            </w:r>
            <w:r>
              <w:rPr>
                <w:spacing w:val="-12"/>
                <w:w w:val="90"/>
                <w:sz w:val="24"/>
              </w:rPr>
              <w:t>)</w:t>
            </w:r>
          </w:p>
        </w:tc>
        <w:tc>
          <w:tcPr>
            <w:tcW w:w="0" w:type="auto"/>
            <w:tcBorders>
              <w:top w:val="single" w:color="auto" w:sz="8" w:space="0"/>
              <w:bottom w:val="single" w:color="auto" w:sz="4" w:space="0"/>
            </w:tcBorders>
            <w:noWrap w:val="0"/>
            <w:vAlign w:val="center"/>
          </w:tcPr>
          <w:p>
            <w:pPr>
              <w:pStyle w:val="15"/>
              <w:spacing w:line="0" w:lineRule="atLeast"/>
              <w:ind w:left="480" w:hanging="480"/>
              <w:rPr>
                <w:rFonts w:eastAsia="宋体"/>
                <w:b w:val="0"/>
                <w:w w:val="90"/>
                <w:sz w:val="24"/>
              </w:rPr>
            </w:pPr>
            <w:r>
              <w:rPr>
                <w:rFonts w:hAnsi="宋体" w:eastAsia="宋体"/>
                <w:b w:val="0"/>
                <w:w w:val="90"/>
                <w:sz w:val="24"/>
              </w:rPr>
              <w:t>夹石率</w:t>
            </w:r>
          </w:p>
          <w:p>
            <w:pPr>
              <w:spacing w:line="0" w:lineRule="atLeast"/>
              <w:jc w:val="center"/>
              <w:rPr>
                <w:w w:val="90"/>
                <w:sz w:val="24"/>
              </w:rPr>
            </w:pPr>
            <w:r>
              <w:rPr>
                <w:w w:val="90"/>
                <w:sz w:val="24"/>
              </w:rPr>
              <w:t>(%)</w:t>
            </w:r>
          </w:p>
        </w:tc>
        <w:tc>
          <w:tcPr>
            <w:tcW w:w="0" w:type="auto"/>
            <w:tcBorders>
              <w:top w:val="single" w:color="auto" w:sz="8" w:space="0"/>
              <w:bottom w:val="single" w:color="auto" w:sz="4" w:space="0"/>
            </w:tcBorders>
            <w:noWrap w:val="0"/>
            <w:vAlign w:val="center"/>
          </w:tcPr>
          <w:p>
            <w:pPr>
              <w:spacing w:line="0" w:lineRule="atLeast"/>
              <w:jc w:val="center"/>
              <w:rPr>
                <w:w w:val="90"/>
                <w:sz w:val="24"/>
              </w:rPr>
            </w:pPr>
            <w:r>
              <w:rPr>
                <w:rFonts w:hAnsi="宋体"/>
                <w:w w:val="90"/>
                <w:sz w:val="24"/>
              </w:rPr>
              <w:t>视密</w:t>
            </w:r>
          </w:p>
          <w:p>
            <w:pPr>
              <w:spacing w:line="0" w:lineRule="atLeast"/>
              <w:jc w:val="center"/>
              <w:rPr>
                <w:w w:val="90"/>
                <w:sz w:val="24"/>
              </w:rPr>
            </w:pPr>
            <w:r>
              <w:rPr>
                <w:rFonts w:hAnsi="宋体"/>
                <w:w w:val="90"/>
                <w:sz w:val="24"/>
              </w:rPr>
              <w:t>度</w:t>
            </w:r>
          </w:p>
          <w:p>
            <w:pPr>
              <w:spacing w:line="0" w:lineRule="atLeast"/>
              <w:jc w:val="center"/>
              <w:rPr>
                <w:w w:val="90"/>
                <w:sz w:val="24"/>
              </w:rPr>
            </w:pPr>
            <w:r>
              <w:rPr>
                <w:w w:val="90"/>
                <w:sz w:val="24"/>
              </w:rPr>
              <w:t>(t/m</w:t>
            </w:r>
            <w:r>
              <w:rPr>
                <w:w w:val="90"/>
                <w:sz w:val="24"/>
                <w:vertAlign w:val="superscript"/>
              </w:rPr>
              <w:t>3</w:t>
            </w:r>
            <w:r>
              <w:rPr>
                <w:w w:val="90"/>
                <w:sz w:val="24"/>
              </w:rPr>
              <w:t>)</w:t>
            </w:r>
          </w:p>
        </w:tc>
        <w:tc>
          <w:tcPr>
            <w:tcW w:w="0" w:type="auto"/>
            <w:tcBorders>
              <w:top w:val="single" w:color="auto" w:sz="8" w:space="0"/>
              <w:bottom w:val="single" w:color="auto" w:sz="4" w:space="0"/>
            </w:tcBorders>
            <w:noWrap w:val="0"/>
            <w:vAlign w:val="center"/>
          </w:tcPr>
          <w:p>
            <w:pPr>
              <w:spacing w:line="0" w:lineRule="atLeast"/>
              <w:jc w:val="center"/>
              <w:rPr>
                <w:rFonts w:hint="eastAsia"/>
                <w:w w:val="90"/>
                <w:sz w:val="24"/>
              </w:rPr>
            </w:pPr>
            <w:r>
              <w:rPr>
                <w:rFonts w:hint="eastAsia"/>
                <w:w w:val="90"/>
                <w:sz w:val="24"/>
              </w:rPr>
              <w:t>矿石</w:t>
            </w:r>
          </w:p>
          <w:p>
            <w:pPr>
              <w:spacing w:line="0" w:lineRule="atLeast"/>
              <w:jc w:val="center"/>
              <w:rPr>
                <w:rFonts w:hint="eastAsia"/>
                <w:w w:val="90"/>
                <w:sz w:val="24"/>
              </w:rPr>
            </w:pPr>
            <w:r>
              <w:rPr>
                <w:rFonts w:hint="eastAsia"/>
                <w:w w:val="90"/>
                <w:sz w:val="24"/>
              </w:rPr>
              <w:t>体积</w:t>
            </w:r>
          </w:p>
          <w:p>
            <w:pPr>
              <w:spacing w:line="0" w:lineRule="atLeast"/>
              <w:jc w:val="center"/>
              <w:rPr>
                <w:rFonts w:hint="eastAsia"/>
                <w:w w:val="90"/>
                <w:sz w:val="24"/>
              </w:rPr>
            </w:pPr>
            <w:r>
              <w:rPr>
                <w:spacing w:val="-12"/>
                <w:w w:val="90"/>
                <w:sz w:val="24"/>
              </w:rPr>
              <w:t>(</w:t>
            </w:r>
            <w:r>
              <w:rPr>
                <w:rFonts w:hAnsi="宋体"/>
                <w:spacing w:val="-12"/>
                <w:w w:val="90"/>
                <w:sz w:val="24"/>
              </w:rPr>
              <w:t>万</w:t>
            </w:r>
            <w:r>
              <w:rPr>
                <w:spacing w:val="-12"/>
                <w:w w:val="90"/>
                <w:sz w:val="24"/>
              </w:rPr>
              <w:t>m</w:t>
            </w:r>
            <w:r>
              <w:rPr>
                <w:spacing w:val="-12"/>
                <w:w w:val="90"/>
                <w:sz w:val="24"/>
                <w:vertAlign w:val="superscript"/>
              </w:rPr>
              <w:t>3</w:t>
            </w:r>
            <w:r>
              <w:rPr>
                <w:spacing w:val="-12"/>
                <w:w w:val="90"/>
                <w:sz w:val="24"/>
              </w:rPr>
              <w:t>)</w:t>
            </w:r>
          </w:p>
        </w:tc>
        <w:tc>
          <w:tcPr>
            <w:tcW w:w="0" w:type="auto"/>
            <w:tcBorders>
              <w:top w:val="single" w:color="auto" w:sz="8" w:space="0"/>
              <w:bottom w:val="single" w:color="auto" w:sz="4" w:space="0"/>
            </w:tcBorders>
            <w:noWrap w:val="0"/>
            <w:vAlign w:val="center"/>
          </w:tcPr>
          <w:p>
            <w:pPr>
              <w:spacing w:line="0" w:lineRule="atLeast"/>
              <w:jc w:val="center"/>
              <w:rPr>
                <w:w w:val="90"/>
                <w:sz w:val="24"/>
              </w:rPr>
            </w:pPr>
            <w:r>
              <w:rPr>
                <w:rFonts w:hint="eastAsia" w:hAnsi="宋体"/>
                <w:w w:val="90"/>
                <w:sz w:val="24"/>
              </w:rPr>
              <w:t>资源</w:t>
            </w:r>
            <w:r>
              <w:rPr>
                <w:rFonts w:hAnsi="宋体"/>
                <w:w w:val="90"/>
                <w:sz w:val="24"/>
              </w:rPr>
              <w:t>量</w:t>
            </w:r>
          </w:p>
          <w:p>
            <w:pPr>
              <w:spacing w:line="0" w:lineRule="atLeast"/>
              <w:jc w:val="center"/>
              <w:rPr>
                <w:w w:val="90"/>
                <w:sz w:val="24"/>
              </w:rPr>
            </w:pPr>
            <w:r>
              <w:rPr>
                <w:w w:val="90"/>
                <w:sz w:val="24"/>
              </w:rPr>
              <w:t>(</w:t>
            </w:r>
            <w:r>
              <w:rPr>
                <w:rFonts w:hAnsi="宋体"/>
                <w:w w:val="90"/>
                <w:sz w:val="24"/>
              </w:rPr>
              <w:t>万吨</w:t>
            </w:r>
            <w:r>
              <w:rPr>
                <w:w w:val="90"/>
                <w:sz w:val="24"/>
              </w:rPr>
              <w:t>)</w:t>
            </w:r>
          </w:p>
        </w:tc>
        <w:tc>
          <w:tcPr>
            <w:tcW w:w="0" w:type="auto"/>
            <w:tcBorders>
              <w:top w:val="single" w:color="auto" w:sz="8" w:space="0"/>
              <w:bottom w:val="single" w:color="auto" w:sz="4" w:space="0"/>
              <w:right w:val="single" w:color="auto" w:sz="8" w:space="0"/>
            </w:tcBorders>
            <w:noWrap w:val="0"/>
            <w:vAlign w:val="center"/>
          </w:tcPr>
          <w:p>
            <w:pPr>
              <w:spacing w:line="0" w:lineRule="atLeast"/>
              <w:jc w:val="center"/>
              <w:rPr>
                <w:w w:val="90"/>
                <w:sz w:val="24"/>
              </w:rPr>
            </w:pPr>
            <w:r>
              <w:rPr>
                <w:rFonts w:hint="eastAsia" w:hAnsi="宋体"/>
                <w:w w:val="90"/>
                <w:sz w:val="24"/>
              </w:rPr>
              <w:t>资源</w:t>
            </w:r>
            <w:r>
              <w:rPr>
                <w:rFonts w:hAnsi="宋体"/>
                <w:w w:val="90"/>
                <w:sz w:val="24"/>
              </w:rPr>
              <w:t>量</w:t>
            </w:r>
          </w:p>
          <w:p>
            <w:pPr>
              <w:spacing w:line="0" w:lineRule="atLeast"/>
              <w:jc w:val="center"/>
              <w:rPr>
                <w:w w:val="90"/>
                <w:sz w:val="24"/>
              </w:rPr>
            </w:pPr>
            <w:r>
              <w:rPr>
                <w:rFonts w:hAnsi="宋体"/>
                <w:w w:val="90"/>
                <w:sz w:val="24"/>
              </w:rPr>
              <w:t>类别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0" w:hRule="atLeast"/>
          <w:jc w:val="center"/>
        </w:trPr>
        <w:tc>
          <w:tcPr>
            <w:tcW w:w="0" w:type="auto"/>
            <w:vMerge w:val="restart"/>
            <w:tcBorders>
              <w:left w:val="single" w:color="auto" w:sz="8" w:space="0"/>
            </w:tcBorders>
            <w:noWrap w:val="0"/>
            <w:vAlign w:val="center"/>
          </w:tcPr>
          <w:p>
            <w:pPr>
              <w:spacing w:line="400" w:lineRule="exact"/>
              <w:jc w:val="center"/>
              <w:rPr>
                <w:w w:val="90"/>
                <w:sz w:val="24"/>
              </w:rPr>
            </w:pPr>
            <w:r>
              <w:rPr>
                <w:rFonts w:hAnsi="宋体"/>
                <w:w w:val="90"/>
                <w:sz w:val="24"/>
              </w:rPr>
              <w:t>保</w:t>
            </w:r>
            <w:r>
              <w:rPr>
                <w:w w:val="90"/>
                <w:sz w:val="24"/>
              </w:rPr>
              <w:t>1</w:t>
            </w:r>
          </w:p>
        </w:tc>
        <w:tc>
          <w:tcPr>
            <w:tcW w:w="0" w:type="auto"/>
            <w:noWrap w:val="0"/>
            <w:vAlign w:val="center"/>
          </w:tcPr>
          <w:p>
            <w:pPr>
              <w:spacing w:line="0" w:lineRule="atLeast"/>
              <w:jc w:val="center"/>
              <w:rPr>
                <w:w w:val="90"/>
                <w:sz w:val="24"/>
              </w:rPr>
            </w:pPr>
            <w:r>
              <w:rPr>
                <w:w w:val="90"/>
                <w:sz w:val="24"/>
              </w:rPr>
              <w:t>1-1′</w:t>
            </w:r>
          </w:p>
        </w:tc>
        <w:tc>
          <w:tcPr>
            <w:tcW w:w="0" w:type="auto"/>
            <w:noWrap w:val="0"/>
            <w:vAlign w:val="center"/>
          </w:tcPr>
          <w:p>
            <w:pPr>
              <w:spacing w:line="0" w:lineRule="atLeast"/>
              <w:jc w:val="center"/>
              <w:rPr>
                <w:rFonts w:hint="eastAsia"/>
                <w:w w:val="90"/>
                <w:sz w:val="24"/>
              </w:rPr>
            </w:pPr>
            <w:r>
              <w:rPr>
                <w:w w:val="90"/>
                <w:sz w:val="24"/>
              </w:rPr>
              <w:t>S1</w:t>
            </w:r>
            <w:r>
              <w:rPr>
                <w:rFonts w:hAnsi="宋体"/>
                <w:w w:val="90"/>
                <w:sz w:val="24"/>
              </w:rPr>
              <w:t>保</w:t>
            </w:r>
            <w:r>
              <w:rPr>
                <w:w w:val="90"/>
                <w:sz w:val="24"/>
              </w:rPr>
              <w:t>=</w:t>
            </w:r>
            <w:r>
              <w:rPr>
                <w:rFonts w:hint="eastAsia"/>
                <w:w w:val="90"/>
                <w:sz w:val="24"/>
              </w:rPr>
              <w:t>20707</w:t>
            </w:r>
          </w:p>
        </w:tc>
        <w:tc>
          <w:tcPr>
            <w:tcW w:w="0" w:type="auto"/>
            <w:vMerge w:val="restart"/>
            <w:noWrap w:val="0"/>
            <w:vAlign w:val="center"/>
          </w:tcPr>
          <w:p>
            <w:pPr>
              <w:spacing w:line="0" w:lineRule="atLeast"/>
              <w:jc w:val="center"/>
              <w:rPr>
                <w:rFonts w:hint="eastAsia"/>
                <w:w w:val="90"/>
                <w:sz w:val="24"/>
              </w:rPr>
            </w:pPr>
            <w:r>
              <w:rPr>
                <w:rFonts w:hint="eastAsia"/>
                <w:w w:val="90"/>
                <w:sz w:val="24"/>
              </w:rPr>
              <w:t>19660</w:t>
            </w:r>
          </w:p>
        </w:tc>
        <w:tc>
          <w:tcPr>
            <w:tcW w:w="0" w:type="auto"/>
            <w:vMerge w:val="restart"/>
            <w:noWrap w:val="0"/>
            <w:vAlign w:val="center"/>
          </w:tcPr>
          <w:p>
            <w:pPr>
              <w:spacing w:line="0" w:lineRule="atLeast"/>
              <w:jc w:val="center"/>
              <w:rPr>
                <w:rFonts w:hint="eastAsia"/>
                <w:w w:val="90"/>
                <w:sz w:val="24"/>
              </w:rPr>
            </w:pPr>
            <w:r>
              <w:rPr>
                <w:rFonts w:hint="eastAsia"/>
                <w:w w:val="90"/>
                <w:sz w:val="24"/>
              </w:rPr>
              <w:t>101.6</w:t>
            </w:r>
          </w:p>
        </w:tc>
        <w:tc>
          <w:tcPr>
            <w:tcW w:w="0" w:type="auto"/>
            <w:vMerge w:val="restart"/>
            <w:noWrap w:val="0"/>
            <w:vAlign w:val="center"/>
          </w:tcPr>
          <w:p>
            <w:pPr>
              <w:spacing w:line="0" w:lineRule="atLeast"/>
              <w:jc w:val="center"/>
              <w:rPr>
                <w:rFonts w:hint="eastAsia"/>
                <w:w w:val="90"/>
                <w:sz w:val="24"/>
              </w:rPr>
            </w:pPr>
            <w:r>
              <w:rPr>
                <w:rFonts w:hint="eastAsia"/>
                <w:w w:val="90"/>
                <w:sz w:val="24"/>
              </w:rPr>
              <w:t>199.75</w:t>
            </w:r>
          </w:p>
        </w:tc>
        <w:tc>
          <w:tcPr>
            <w:tcW w:w="0" w:type="auto"/>
            <w:vMerge w:val="restart"/>
            <w:noWrap w:val="0"/>
            <w:vAlign w:val="center"/>
          </w:tcPr>
          <w:p>
            <w:pPr>
              <w:spacing w:line="0" w:lineRule="atLeast"/>
              <w:jc w:val="center"/>
              <w:rPr>
                <w:w w:val="90"/>
                <w:sz w:val="24"/>
              </w:rPr>
            </w:pPr>
            <w:r>
              <w:rPr>
                <w:rFonts w:hint="eastAsia"/>
                <w:w w:val="90"/>
                <w:sz w:val="24"/>
              </w:rPr>
              <w:t>2</w:t>
            </w:r>
            <w:r>
              <w:rPr>
                <w:w w:val="90"/>
                <w:sz w:val="24"/>
              </w:rPr>
              <w:t>5</w:t>
            </w:r>
          </w:p>
        </w:tc>
        <w:tc>
          <w:tcPr>
            <w:tcW w:w="0" w:type="auto"/>
            <w:vMerge w:val="restart"/>
            <w:noWrap w:val="0"/>
            <w:vAlign w:val="center"/>
          </w:tcPr>
          <w:p>
            <w:pPr>
              <w:jc w:val="center"/>
              <w:rPr>
                <w:rFonts w:hint="eastAsia"/>
                <w:w w:val="90"/>
                <w:sz w:val="24"/>
              </w:rPr>
            </w:pPr>
            <w:r>
              <w:rPr>
                <w:w w:val="90"/>
                <w:sz w:val="24"/>
              </w:rPr>
              <w:t>2.</w:t>
            </w:r>
            <w:r>
              <w:rPr>
                <w:rFonts w:hint="eastAsia"/>
                <w:w w:val="90"/>
                <w:sz w:val="24"/>
              </w:rPr>
              <w:t>40</w:t>
            </w:r>
          </w:p>
        </w:tc>
        <w:tc>
          <w:tcPr>
            <w:tcW w:w="0" w:type="auto"/>
            <w:vMerge w:val="restart"/>
            <w:noWrap w:val="0"/>
            <w:vAlign w:val="center"/>
          </w:tcPr>
          <w:p>
            <w:pPr>
              <w:spacing w:line="0" w:lineRule="atLeast"/>
              <w:jc w:val="center"/>
              <w:rPr>
                <w:rFonts w:hint="eastAsia"/>
                <w:w w:val="90"/>
                <w:sz w:val="24"/>
              </w:rPr>
            </w:pPr>
            <w:r>
              <w:rPr>
                <w:rFonts w:hint="eastAsia"/>
                <w:w w:val="90"/>
                <w:sz w:val="24"/>
              </w:rPr>
              <w:t>149.81</w:t>
            </w:r>
          </w:p>
        </w:tc>
        <w:tc>
          <w:tcPr>
            <w:tcW w:w="0" w:type="auto"/>
            <w:vMerge w:val="restart"/>
            <w:noWrap w:val="0"/>
            <w:vAlign w:val="center"/>
          </w:tcPr>
          <w:p>
            <w:pPr>
              <w:spacing w:line="0" w:lineRule="atLeast"/>
              <w:jc w:val="center"/>
              <w:rPr>
                <w:rFonts w:hint="eastAsia"/>
                <w:w w:val="90"/>
                <w:sz w:val="24"/>
              </w:rPr>
            </w:pPr>
            <w:r>
              <w:rPr>
                <w:rFonts w:hint="eastAsia"/>
                <w:w w:val="90"/>
                <w:sz w:val="24"/>
              </w:rPr>
              <w:t>359.5</w:t>
            </w:r>
          </w:p>
        </w:tc>
        <w:tc>
          <w:tcPr>
            <w:tcW w:w="0" w:type="auto"/>
            <w:vMerge w:val="restart"/>
            <w:tcBorders>
              <w:right w:val="single" w:color="auto" w:sz="8" w:space="0"/>
            </w:tcBorders>
            <w:noWrap w:val="0"/>
            <w:vAlign w:val="center"/>
          </w:tcPr>
          <w:p>
            <w:pPr>
              <w:spacing w:line="0" w:lineRule="atLeast"/>
              <w:jc w:val="center"/>
              <w:rPr>
                <w:rFonts w:hint="eastAsia"/>
                <w:w w:val="90"/>
                <w:sz w:val="24"/>
              </w:rPr>
            </w:pPr>
            <w:r>
              <w:rPr>
                <w:rFonts w:hint="eastAsia"/>
                <w:w w:val="90"/>
                <w:sz w:val="24"/>
              </w:rPr>
              <w:t>控制</w:t>
            </w:r>
          </w:p>
          <w:p>
            <w:pPr>
              <w:spacing w:line="0" w:lineRule="atLeast"/>
              <w:jc w:val="center"/>
              <w:rPr>
                <w:rFonts w:hint="eastAsia"/>
                <w:w w:val="90"/>
                <w:sz w:val="24"/>
              </w:rPr>
            </w:pPr>
            <w:r>
              <w:rPr>
                <w:rFonts w:hint="eastAsia"/>
                <w:w w:val="90"/>
                <w:sz w:val="24"/>
              </w:rPr>
              <w:t>资源量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0" w:hRule="atLeast"/>
          <w:jc w:val="center"/>
        </w:trPr>
        <w:tc>
          <w:tcPr>
            <w:tcW w:w="0" w:type="auto"/>
            <w:vMerge w:val="continue"/>
            <w:tcBorders>
              <w:left w:val="single" w:color="auto" w:sz="8" w:space="0"/>
            </w:tcBorders>
            <w:noWrap w:val="0"/>
            <w:vAlign w:val="center"/>
          </w:tcPr>
          <w:p>
            <w:pPr>
              <w:spacing w:line="400" w:lineRule="exact"/>
              <w:jc w:val="center"/>
              <w:rPr>
                <w:w w:val="90"/>
                <w:sz w:val="24"/>
              </w:rPr>
            </w:pPr>
          </w:p>
        </w:tc>
        <w:tc>
          <w:tcPr>
            <w:tcW w:w="0" w:type="auto"/>
            <w:noWrap w:val="0"/>
            <w:vAlign w:val="center"/>
          </w:tcPr>
          <w:p>
            <w:pPr>
              <w:spacing w:line="0" w:lineRule="atLeast"/>
              <w:jc w:val="center"/>
              <w:rPr>
                <w:w w:val="90"/>
                <w:sz w:val="24"/>
              </w:rPr>
            </w:pPr>
            <w:r>
              <w:rPr>
                <w:w w:val="90"/>
                <w:sz w:val="24"/>
              </w:rPr>
              <w:t>2-2′</w:t>
            </w:r>
          </w:p>
        </w:tc>
        <w:tc>
          <w:tcPr>
            <w:tcW w:w="0" w:type="auto"/>
            <w:noWrap w:val="0"/>
            <w:vAlign w:val="center"/>
          </w:tcPr>
          <w:p>
            <w:pPr>
              <w:spacing w:line="0" w:lineRule="atLeast"/>
              <w:jc w:val="center"/>
              <w:rPr>
                <w:rFonts w:hint="eastAsia"/>
                <w:w w:val="90"/>
                <w:sz w:val="24"/>
              </w:rPr>
            </w:pPr>
            <w:r>
              <w:rPr>
                <w:w w:val="90"/>
                <w:sz w:val="24"/>
              </w:rPr>
              <w:t>S2</w:t>
            </w:r>
            <w:r>
              <w:rPr>
                <w:rFonts w:hAnsi="宋体"/>
                <w:w w:val="90"/>
                <w:sz w:val="24"/>
              </w:rPr>
              <w:t>保</w:t>
            </w:r>
            <w:r>
              <w:rPr>
                <w:w w:val="90"/>
                <w:sz w:val="24"/>
              </w:rPr>
              <w:t>=</w:t>
            </w:r>
            <w:r>
              <w:rPr>
                <w:rFonts w:hint="eastAsia"/>
                <w:w w:val="90"/>
                <w:sz w:val="24"/>
              </w:rPr>
              <w:t>18613</w:t>
            </w:r>
          </w:p>
        </w:tc>
        <w:tc>
          <w:tcPr>
            <w:tcW w:w="0" w:type="auto"/>
            <w:vMerge w:val="continue"/>
            <w:noWrap w:val="0"/>
            <w:vAlign w:val="center"/>
          </w:tcPr>
          <w:p>
            <w:pPr>
              <w:spacing w:line="0" w:lineRule="atLeast"/>
              <w:jc w:val="center"/>
              <w:rPr>
                <w:w w:val="90"/>
                <w:sz w:val="24"/>
              </w:rPr>
            </w:pPr>
          </w:p>
        </w:tc>
        <w:tc>
          <w:tcPr>
            <w:tcW w:w="0" w:type="auto"/>
            <w:vMerge w:val="continue"/>
            <w:noWrap w:val="0"/>
            <w:vAlign w:val="center"/>
          </w:tcPr>
          <w:p>
            <w:pPr>
              <w:spacing w:line="0" w:lineRule="atLeast"/>
              <w:jc w:val="center"/>
              <w:rPr>
                <w:w w:val="90"/>
                <w:sz w:val="24"/>
              </w:rPr>
            </w:pPr>
          </w:p>
        </w:tc>
        <w:tc>
          <w:tcPr>
            <w:tcW w:w="0" w:type="auto"/>
            <w:vMerge w:val="continue"/>
            <w:noWrap w:val="0"/>
            <w:vAlign w:val="center"/>
          </w:tcPr>
          <w:p>
            <w:pPr>
              <w:spacing w:line="0" w:lineRule="atLeast"/>
              <w:jc w:val="center"/>
              <w:rPr>
                <w:w w:val="90"/>
                <w:sz w:val="24"/>
              </w:rPr>
            </w:pPr>
          </w:p>
        </w:tc>
        <w:tc>
          <w:tcPr>
            <w:tcW w:w="0" w:type="auto"/>
            <w:vMerge w:val="continue"/>
            <w:noWrap w:val="0"/>
            <w:vAlign w:val="center"/>
          </w:tcPr>
          <w:p>
            <w:pPr>
              <w:spacing w:line="0" w:lineRule="atLeast"/>
              <w:jc w:val="center"/>
              <w:rPr>
                <w:w w:val="90"/>
                <w:sz w:val="24"/>
              </w:rPr>
            </w:pPr>
          </w:p>
        </w:tc>
        <w:tc>
          <w:tcPr>
            <w:tcW w:w="0" w:type="auto"/>
            <w:vMerge w:val="continue"/>
            <w:noWrap w:val="0"/>
            <w:vAlign w:val="center"/>
          </w:tcPr>
          <w:p>
            <w:pPr>
              <w:spacing w:line="0" w:lineRule="atLeast"/>
              <w:jc w:val="center"/>
              <w:rPr>
                <w:w w:val="90"/>
                <w:sz w:val="24"/>
              </w:rPr>
            </w:pPr>
          </w:p>
        </w:tc>
        <w:tc>
          <w:tcPr>
            <w:tcW w:w="0" w:type="auto"/>
            <w:vMerge w:val="continue"/>
            <w:noWrap w:val="0"/>
            <w:vAlign w:val="center"/>
          </w:tcPr>
          <w:p>
            <w:pPr>
              <w:spacing w:line="0" w:lineRule="atLeast"/>
              <w:jc w:val="center"/>
              <w:rPr>
                <w:w w:val="90"/>
                <w:sz w:val="24"/>
              </w:rPr>
            </w:pPr>
          </w:p>
        </w:tc>
        <w:tc>
          <w:tcPr>
            <w:tcW w:w="0" w:type="auto"/>
            <w:vMerge w:val="continue"/>
            <w:noWrap w:val="0"/>
            <w:vAlign w:val="center"/>
          </w:tcPr>
          <w:p>
            <w:pPr>
              <w:spacing w:line="0" w:lineRule="atLeast"/>
              <w:jc w:val="center"/>
              <w:rPr>
                <w:w w:val="90"/>
                <w:sz w:val="24"/>
              </w:rPr>
            </w:pPr>
          </w:p>
        </w:tc>
        <w:tc>
          <w:tcPr>
            <w:tcW w:w="0" w:type="auto"/>
            <w:vMerge w:val="continue"/>
            <w:tcBorders>
              <w:right w:val="single" w:color="auto" w:sz="8" w:space="0"/>
            </w:tcBorders>
            <w:noWrap w:val="0"/>
            <w:vAlign w:val="center"/>
          </w:tcPr>
          <w:p>
            <w:pPr>
              <w:spacing w:line="0" w:lineRule="atLeast"/>
              <w:jc w:val="center"/>
              <w:rPr>
                <w:w w:val="9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5" w:hRule="atLeast"/>
          <w:jc w:val="center"/>
        </w:trPr>
        <w:tc>
          <w:tcPr>
            <w:tcW w:w="0" w:type="auto"/>
            <w:vMerge w:val="restart"/>
            <w:tcBorders>
              <w:left w:val="single" w:color="auto" w:sz="8" w:space="0"/>
            </w:tcBorders>
            <w:noWrap w:val="0"/>
            <w:vAlign w:val="center"/>
          </w:tcPr>
          <w:p>
            <w:pPr>
              <w:spacing w:line="400" w:lineRule="exact"/>
              <w:jc w:val="center"/>
              <w:rPr>
                <w:w w:val="90"/>
                <w:sz w:val="24"/>
              </w:rPr>
            </w:pPr>
            <w:r>
              <w:rPr>
                <w:rFonts w:hAnsi="宋体"/>
                <w:w w:val="90"/>
                <w:sz w:val="24"/>
              </w:rPr>
              <w:t>保</w:t>
            </w:r>
            <w:r>
              <w:rPr>
                <w:w w:val="90"/>
                <w:sz w:val="24"/>
              </w:rPr>
              <w:t>2</w:t>
            </w:r>
          </w:p>
        </w:tc>
        <w:tc>
          <w:tcPr>
            <w:tcW w:w="0" w:type="auto"/>
            <w:noWrap w:val="0"/>
            <w:vAlign w:val="center"/>
          </w:tcPr>
          <w:p>
            <w:pPr>
              <w:spacing w:line="0" w:lineRule="atLeast"/>
              <w:jc w:val="center"/>
              <w:rPr>
                <w:w w:val="90"/>
                <w:sz w:val="24"/>
              </w:rPr>
            </w:pPr>
            <w:r>
              <w:rPr>
                <w:w w:val="90"/>
                <w:sz w:val="24"/>
              </w:rPr>
              <w:t>2-2′</w:t>
            </w:r>
          </w:p>
        </w:tc>
        <w:tc>
          <w:tcPr>
            <w:tcW w:w="0" w:type="auto"/>
            <w:noWrap w:val="0"/>
            <w:vAlign w:val="center"/>
          </w:tcPr>
          <w:p>
            <w:pPr>
              <w:spacing w:line="0" w:lineRule="atLeast"/>
              <w:jc w:val="center"/>
              <w:rPr>
                <w:rFonts w:hint="eastAsia"/>
                <w:spacing w:val="-20"/>
                <w:w w:val="90"/>
                <w:sz w:val="24"/>
              </w:rPr>
            </w:pPr>
            <w:r>
              <w:rPr>
                <w:spacing w:val="-20"/>
                <w:w w:val="90"/>
                <w:sz w:val="24"/>
              </w:rPr>
              <w:t>S2</w:t>
            </w:r>
            <w:r>
              <w:rPr>
                <w:rFonts w:hint="eastAsia"/>
                <w:spacing w:val="-20"/>
                <w:w w:val="90"/>
                <w:sz w:val="24"/>
              </w:rPr>
              <w:t>′</w:t>
            </w:r>
            <w:r>
              <w:rPr>
                <w:rFonts w:hAnsi="宋体"/>
                <w:spacing w:val="-20"/>
                <w:w w:val="90"/>
                <w:sz w:val="24"/>
              </w:rPr>
              <w:t>保</w:t>
            </w:r>
            <w:r>
              <w:rPr>
                <w:spacing w:val="-20"/>
                <w:w w:val="90"/>
                <w:sz w:val="24"/>
              </w:rPr>
              <w:t>=</w:t>
            </w:r>
            <w:r>
              <w:rPr>
                <w:rFonts w:hint="eastAsia"/>
                <w:spacing w:val="-20"/>
                <w:w w:val="90"/>
                <w:sz w:val="24"/>
              </w:rPr>
              <w:t>12704</w:t>
            </w:r>
          </w:p>
        </w:tc>
        <w:tc>
          <w:tcPr>
            <w:tcW w:w="0" w:type="auto"/>
            <w:vMerge w:val="restart"/>
            <w:noWrap w:val="0"/>
            <w:vAlign w:val="center"/>
          </w:tcPr>
          <w:p>
            <w:pPr>
              <w:spacing w:line="0" w:lineRule="atLeast"/>
              <w:jc w:val="center"/>
              <w:rPr>
                <w:rFonts w:hint="eastAsia"/>
                <w:w w:val="90"/>
                <w:sz w:val="24"/>
              </w:rPr>
            </w:pPr>
            <w:r>
              <w:rPr>
                <w:rFonts w:hint="eastAsia"/>
                <w:w w:val="90"/>
                <w:sz w:val="24"/>
              </w:rPr>
              <w:t>12019</w:t>
            </w:r>
          </w:p>
        </w:tc>
        <w:tc>
          <w:tcPr>
            <w:tcW w:w="0" w:type="auto"/>
            <w:vMerge w:val="restart"/>
            <w:noWrap w:val="0"/>
            <w:vAlign w:val="center"/>
          </w:tcPr>
          <w:p>
            <w:pPr>
              <w:spacing w:line="0" w:lineRule="atLeast"/>
              <w:jc w:val="center"/>
              <w:rPr>
                <w:rFonts w:hint="eastAsia"/>
                <w:w w:val="90"/>
                <w:sz w:val="24"/>
              </w:rPr>
            </w:pPr>
            <w:r>
              <w:rPr>
                <w:rFonts w:hint="eastAsia"/>
                <w:w w:val="90"/>
                <w:sz w:val="24"/>
              </w:rPr>
              <w:t>66.7</w:t>
            </w:r>
          </w:p>
        </w:tc>
        <w:tc>
          <w:tcPr>
            <w:tcW w:w="0" w:type="auto"/>
            <w:vMerge w:val="restart"/>
            <w:noWrap w:val="0"/>
            <w:vAlign w:val="center"/>
          </w:tcPr>
          <w:p>
            <w:pPr>
              <w:spacing w:line="0" w:lineRule="atLeast"/>
              <w:jc w:val="center"/>
              <w:rPr>
                <w:rFonts w:hint="eastAsia"/>
                <w:w w:val="90"/>
                <w:sz w:val="24"/>
              </w:rPr>
            </w:pPr>
            <w:r>
              <w:rPr>
                <w:rFonts w:hint="eastAsia"/>
                <w:w w:val="90"/>
                <w:sz w:val="24"/>
              </w:rPr>
              <w:t>80.17</w:t>
            </w:r>
          </w:p>
        </w:tc>
        <w:tc>
          <w:tcPr>
            <w:tcW w:w="0" w:type="auto"/>
            <w:vMerge w:val="restart"/>
            <w:noWrap w:val="0"/>
            <w:vAlign w:val="center"/>
          </w:tcPr>
          <w:p>
            <w:pPr>
              <w:spacing w:line="0" w:lineRule="atLeast"/>
              <w:jc w:val="center"/>
              <w:rPr>
                <w:w w:val="90"/>
                <w:sz w:val="24"/>
              </w:rPr>
            </w:pPr>
            <w:r>
              <w:rPr>
                <w:rFonts w:hint="eastAsia"/>
                <w:w w:val="90"/>
                <w:sz w:val="24"/>
              </w:rPr>
              <w:t>2</w:t>
            </w:r>
            <w:r>
              <w:rPr>
                <w:w w:val="90"/>
                <w:sz w:val="24"/>
              </w:rPr>
              <w:t>5</w:t>
            </w:r>
          </w:p>
        </w:tc>
        <w:tc>
          <w:tcPr>
            <w:tcW w:w="0" w:type="auto"/>
            <w:vMerge w:val="restart"/>
            <w:noWrap w:val="0"/>
            <w:vAlign w:val="center"/>
          </w:tcPr>
          <w:p>
            <w:pPr>
              <w:jc w:val="center"/>
              <w:rPr>
                <w:rFonts w:hint="eastAsia"/>
                <w:w w:val="90"/>
                <w:sz w:val="24"/>
              </w:rPr>
            </w:pPr>
            <w:r>
              <w:rPr>
                <w:w w:val="90"/>
                <w:sz w:val="24"/>
              </w:rPr>
              <w:t>2.</w:t>
            </w:r>
            <w:r>
              <w:rPr>
                <w:rFonts w:hint="eastAsia"/>
                <w:w w:val="90"/>
                <w:sz w:val="24"/>
              </w:rPr>
              <w:t>40</w:t>
            </w:r>
          </w:p>
        </w:tc>
        <w:tc>
          <w:tcPr>
            <w:tcW w:w="0" w:type="auto"/>
            <w:vMerge w:val="restart"/>
            <w:noWrap w:val="0"/>
            <w:vAlign w:val="center"/>
          </w:tcPr>
          <w:p>
            <w:pPr>
              <w:spacing w:line="0" w:lineRule="atLeast"/>
              <w:jc w:val="center"/>
              <w:rPr>
                <w:rFonts w:hint="eastAsia"/>
                <w:w w:val="90"/>
                <w:sz w:val="24"/>
              </w:rPr>
            </w:pPr>
            <w:r>
              <w:rPr>
                <w:rFonts w:hint="eastAsia"/>
                <w:w w:val="90"/>
                <w:sz w:val="24"/>
              </w:rPr>
              <w:t>60.13</w:t>
            </w:r>
          </w:p>
        </w:tc>
        <w:tc>
          <w:tcPr>
            <w:tcW w:w="0" w:type="auto"/>
            <w:vMerge w:val="restart"/>
            <w:noWrap w:val="0"/>
            <w:vAlign w:val="center"/>
          </w:tcPr>
          <w:p>
            <w:pPr>
              <w:spacing w:line="0" w:lineRule="atLeast"/>
              <w:jc w:val="center"/>
              <w:rPr>
                <w:rFonts w:hint="eastAsia"/>
                <w:w w:val="90"/>
                <w:sz w:val="24"/>
              </w:rPr>
            </w:pPr>
            <w:r>
              <w:rPr>
                <w:rFonts w:hint="eastAsia"/>
                <w:w w:val="90"/>
                <w:sz w:val="24"/>
              </w:rPr>
              <w:t>144.3</w:t>
            </w:r>
          </w:p>
        </w:tc>
        <w:tc>
          <w:tcPr>
            <w:tcW w:w="0" w:type="auto"/>
            <w:vMerge w:val="continue"/>
            <w:tcBorders>
              <w:right w:val="single" w:color="auto" w:sz="8" w:space="0"/>
            </w:tcBorders>
            <w:noWrap w:val="0"/>
            <w:vAlign w:val="center"/>
          </w:tcPr>
          <w:p>
            <w:pPr>
              <w:spacing w:line="0" w:lineRule="atLeast"/>
              <w:jc w:val="center"/>
              <w:rPr>
                <w:rFonts w:hint="eastAsia"/>
                <w:w w:val="9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5" w:hRule="atLeast"/>
          <w:jc w:val="center"/>
        </w:trPr>
        <w:tc>
          <w:tcPr>
            <w:tcW w:w="0" w:type="auto"/>
            <w:vMerge w:val="continue"/>
            <w:tcBorders>
              <w:left w:val="single" w:color="auto" w:sz="8" w:space="0"/>
            </w:tcBorders>
            <w:noWrap w:val="0"/>
            <w:vAlign w:val="center"/>
          </w:tcPr>
          <w:p>
            <w:pPr>
              <w:spacing w:line="400" w:lineRule="exact"/>
              <w:jc w:val="center"/>
              <w:rPr>
                <w:w w:val="90"/>
                <w:sz w:val="24"/>
              </w:rPr>
            </w:pPr>
          </w:p>
        </w:tc>
        <w:tc>
          <w:tcPr>
            <w:tcW w:w="0" w:type="auto"/>
            <w:noWrap w:val="0"/>
            <w:vAlign w:val="center"/>
          </w:tcPr>
          <w:p>
            <w:pPr>
              <w:spacing w:line="0" w:lineRule="atLeast"/>
              <w:jc w:val="center"/>
              <w:rPr>
                <w:w w:val="90"/>
                <w:sz w:val="24"/>
              </w:rPr>
            </w:pPr>
            <w:r>
              <w:rPr>
                <w:w w:val="90"/>
                <w:sz w:val="24"/>
              </w:rPr>
              <w:t>3-3′</w:t>
            </w:r>
          </w:p>
        </w:tc>
        <w:tc>
          <w:tcPr>
            <w:tcW w:w="0" w:type="auto"/>
            <w:noWrap w:val="0"/>
            <w:vAlign w:val="center"/>
          </w:tcPr>
          <w:p>
            <w:pPr>
              <w:spacing w:line="0" w:lineRule="atLeast"/>
              <w:jc w:val="center"/>
              <w:rPr>
                <w:rFonts w:hint="eastAsia"/>
                <w:w w:val="90"/>
                <w:sz w:val="24"/>
              </w:rPr>
            </w:pPr>
            <w:r>
              <w:rPr>
                <w:w w:val="90"/>
                <w:sz w:val="24"/>
              </w:rPr>
              <w:t>S3</w:t>
            </w:r>
            <w:r>
              <w:rPr>
                <w:rFonts w:hAnsi="宋体"/>
                <w:w w:val="90"/>
                <w:sz w:val="24"/>
              </w:rPr>
              <w:t>保</w:t>
            </w:r>
            <w:r>
              <w:rPr>
                <w:w w:val="90"/>
                <w:sz w:val="24"/>
              </w:rPr>
              <w:t>=</w:t>
            </w:r>
            <w:r>
              <w:rPr>
                <w:rFonts w:hint="eastAsia"/>
                <w:w w:val="90"/>
                <w:sz w:val="24"/>
              </w:rPr>
              <w:t>11334</w:t>
            </w:r>
          </w:p>
        </w:tc>
        <w:tc>
          <w:tcPr>
            <w:tcW w:w="0" w:type="auto"/>
            <w:vMerge w:val="continue"/>
            <w:noWrap w:val="0"/>
            <w:vAlign w:val="center"/>
          </w:tcPr>
          <w:p>
            <w:pPr>
              <w:spacing w:line="0" w:lineRule="atLeast"/>
              <w:jc w:val="center"/>
              <w:rPr>
                <w:w w:val="90"/>
                <w:sz w:val="24"/>
              </w:rPr>
            </w:pPr>
          </w:p>
        </w:tc>
        <w:tc>
          <w:tcPr>
            <w:tcW w:w="0" w:type="auto"/>
            <w:vMerge w:val="continue"/>
            <w:noWrap w:val="0"/>
            <w:vAlign w:val="center"/>
          </w:tcPr>
          <w:p>
            <w:pPr>
              <w:spacing w:line="0" w:lineRule="atLeast"/>
              <w:jc w:val="center"/>
              <w:rPr>
                <w:w w:val="90"/>
                <w:sz w:val="24"/>
              </w:rPr>
            </w:pPr>
          </w:p>
        </w:tc>
        <w:tc>
          <w:tcPr>
            <w:tcW w:w="0" w:type="auto"/>
            <w:vMerge w:val="continue"/>
            <w:noWrap w:val="0"/>
            <w:vAlign w:val="center"/>
          </w:tcPr>
          <w:p>
            <w:pPr>
              <w:spacing w:line="0" w:lineRule="atLeast"/>
              <w:jc w:val="center"/>
              <w:rPr>
                <w:w w:val="90"/>
                <w:sz w:val="24"/>
              </w:rPr>
            </w:pPr>
          </w:p>
        </w:tc>
        <w:tc>
          <w:tcPr>
            <w:tcW w:w="0" w:type="auto"/>
            <w:vMerge w:val="continue"/>
            <w:noWrap w:val="0"/>
            <w:vAlign w:val="center"/>
          </w:tcPr>
          <w:p>
            <w:pPr>
              <w:spacing w:line="0" w:lineRule="atLeast"/>
              <w:jc w:val="center"/>
              <w:rPr>
                <w:w w:val="90"/>
                <w:sz w:val="24"/>
              </w:rPr>
            </w:pPr>
          </w:p>
        </w:tc>
        <w:tc>
          <w:tcPr>
            <w:tcW w:w="0" w:type="auto"/>
            <w:vMerge w:val="continue"/>
            <w:noWrap w:val="0"/>
            <w:vAlign w:val="center"/>
          </w:tcPr>
          <w:p>
            <w:pPr>
              <w:spacing w:line="0" w:lineRule="atLeast"/>
              <w:jc w:val="center"/>
              <w:rPr>
                <w:w w:val="90"/>
                <w:sz w:val="24"/>
              </w:rPr>
            </w:pPr>
          </w:p>
        </w:tc>
        <w:tc>
          <w:tcPr>
            <w:tcW w:w="0" w:type="auto"/>
            <w:vMerge w:val="continue"/>
            <w:noWrap w:val="0"/>
            <w:vAlign w:val="center"/>
          </w:tcPr>
          <w:p>
            <w:pPr>
              <w:spacing w:line="0" w:lineRule="atLeast"/>
              <w:jc w:val="center"/>
              <w:rPr>
                <w:w w:val="90"/>
                <w:sz w:val="24"/>
              </w:rPr>
            </w:pPr>
          </w:p>
        </w:tc>
        <w:tc>
          <w:tcPr>
            <w:tcW w:w="0" w:type="auto"/>
            <w:vMerge w:val="continue"/>
            <w:noWrap w:val="0"/>
            <w:vAlign w:val="center"/>
          </w:tcPr>
          <w:p>
            <w:pPr>
              <w:spacing w:line="0" w:lineRule="atLeast"/>
              <w:jc w:val="center"/>
              <w:rPr>
                <w:w w:val="90"/>
                <w:sz w:val="24"/>
              </w:rPr>
            </w:pPr>
          </w:p>
        </w:tc>
        <w:tc>
          <w:tcPr>
            <w:tcW w:w="0" w:type="auto"/>
            <w:vMerge w:val="continue"/>
            <w:tcBorders>
              <w:right w:val="single" w:color="auto" w:sz="8" w:space="0"/>
            </w:tcBorders>
            <w:noWrap w:val="0"/>
            <w:vAlign w:val="center"/>
          </w:tcPr>
          <w:p>
            <w:pPr>
              <w:spacing w:line="0" w:lineRule="atLeast"/>
              <w:jc w:val="center"/>
              <w:rPr>
                <w:w w:val="9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5" w:hRule="atLeast"/>
          <w:jc w:val="center"/>
        </w:trPr>
        <w:tc>
          <w:tcPr>
            <w:tcW w:w="0" w:type="auto"/>
            <w:vMerge w:val="restart"/>
            <w:tcBorders>
              <w:left w:val="single" w:color="auto" w:sz="8" w:space="0"/>
            </w:tcBorders>
            <w:noWrap w:val="0"/>
            <w:vAlign w:val="center"/>
          </w:tcPr>
          <w:p>
            <w:pPr>
              <w:spacing w:line="400" w:lineRule="exact"/>
              <w:jc w:val="center"/>
              <w:rPr>
                <w:rFonts w:hint="eastAsia"/>
                <w:w w:val="90"/>
                <w:sz w:val="24"/>
              </w:rPr>
            </w:pPr>
            <w:r>
              <w:rPr>
                <w:rFonts w:hint="eastAsia"/>
                <w:w w:val="90"/>
                <w:sz w:val="24"/>
              </w:rPr>
              <w:t>保3</w:t>
            </w:r>
          </w:p>
        </w:tc>
        <w:tc>
          <w:tcPr>
            <w:tcW w:w="0" w:type="auto"/>
            <w:noWrap w:val="0"/>
            <w:vAlign w:val="center"/>
          </w:tcPr>
          <w:p>
            <w:pPr>
              <w:spacing w:line="0" w:lineRule="atLeast"/>
              <w:jc w:val="center"/>
              <w:rPr>
                <w:w w:val="90"/>
                <w:sz w:val="24"/>
              </w:rPr>
            </w:pPr>
            <w:r>
              <w:rPr>
                <w:rFonts w:hint="eastAsia"/>
                <w:w w:val="90"/>
                <w:sz w:val="24"/>
              </w:rPr>
              <w:t>3</w:t>
            </w:r>
            <w:r>
              <w:rPr>
                <w:w w:val="90"/>
                <w:sz w:val="24"/>
              </w:rPr>
              <w:t>-</w:t>
            </w:r>
            <w:r>
              <w:rPr>
                <w:rFonts w:hint="eastAsia"/>
                <w:w w:val="90"/>
                <w:sz w:val="24"/>
              </w:rPr>
              <w:t>3</w:t>
            </w:r>
            <w:r>
              <w:rPr>
                <w:w w:val="90"/>
                <w:sz w:val="24"/>
              </w:rPr>
              <w:t>′</w:t>
            </w:r>
          </w:p>
        </w:tc>
        <w:tc>
          <w:tcPr>
            <w:tcW w:w="0" w:type="auto"/>
            <w:noWrap w:val="0"/>
            <w:vAlign w:val="center"/>
          </w:tcPr>
          <w:p>
            <w:pPr>
              <w:spacing w:line="0" w:lineRule="atLeast"/>
              <w:jc w:val="center"/>
              <w:rPr>
                <w:w w:val="90"/>
                <w:sz w:val="24"/>
              </w:rPr>
            </w:pPr>
            <w:r>
              <w:rPr>
                <w:w w:val="90"/>
                <w:sz w:val="24"/>
              </w:rPr>
              <w:t>S3</w:t>
            </w:r>
            <w:r>
              <w:rPr>
                <w:rFonts w:hAnsi="宋体"/>
                <w:w w:val="90"/>
                <w:sz w:val="24"/>
              </w:rPr>
              <w:t>保</w:t>
            </w:r>
            <w:r>
              <w:rPr>
                <w:w w:val="90"/>
                <w:sz w:val="24"/>
              </w:rPr>
              <w:t>=</w:t>
            </w:r>
            <w:r>
              <w:rPr>
                <w:rFonts w:hint="eastAsia"/>
                <w:w w:val="90"/>
                <w:sz w:val="24"/>
              </w:rPr>
              <w:t>11334</w:t>
            </w:r>
          </w:p>
        </w:tc>
        <w:tc>
          <w:tcPr>
            <w:tcW w:w="0" w:type="auto"/>
            <w:vMerge w:val="restart"/>
            <w:noWrap w:val="0"/>
            <w:vAlign w:val="center"/>
          </w:tcPr>
          <w:p>
            <w:pPr>
              <w:spacing w:line="0" w:lineRule="atLeast"/>
              <w:jc w:val="center"/>
              <w:rPr>
                <w:rFonts w:hint="eastAsia"/>
                <w:w w:val="90"/>
                <w:sz w:val="24"/>
              </w:rPr>
            </w:pPr>
            <w:r>
              <w:rPr>
                <w:rFonts w:hint="eastAsia"/>
                <w:w w:val="90"/>
                <w:sz w:val="24"/>
              </w:rPr>
              <w:t>14452</w:t>
            </w:r>
          </w:p>
        </w:tc>
        <w:tc>
          <w:tcPr>
            <w:tcW w:w="0" w:type="auto"/>
            <w:vMerge w:val="restart"/>
            <w:noWrap w:val="0"/>
            <w:vAlign w:val="center"/>
          </w:tcPr>
          <w:p>
            <w:pPr>
              <w:spacing w:line="0" w:lineRule="atLeast"/>
              <w:jc w:val="center"/>
              <w:rPr>
                <w:rFonts w:hint="eastAsia"/>
                <w:w w:val="90"/>
                <w:sz w:val="24"/>
              </w:rPr>
            </w:pPr>
            <w:r>
              <w:rPr>
                <w:rFonts w:hint="eastAsia"/>
                <w:w w:val="90"/>
                <w:sz w:val="24"/>
              </w:rPr>
              <w:t>101.9</w:t>
            </w:r>
          </w:p>
        </w:tc>
        <w:tc>
          <w:tcPr>
            <w:tcW w:w="0" w:type="auto"/>
            <w:vMerge w:val="restart"/>
            <w:noWrap w:val="0"/>
            <w:vAlign w:val="center"/>
          </w:tcPr>
          <w:p>
            <w:pPr>
              <w:spacing w:line="0" w:lineRule="atLeast"/>
              <w:jc w:val="center"/>
              <w:rPr>
                <w:rFonts w:hint="eastAsia"/>
                <w:w w:val="90"/>
                <w:sz w:val="24"/>
              </w:rPr>
            </w:pPr>
            <w:r>
              <w:rPr>
                <w:rFonts w:hint="eastAsia"/>
                <w:w w:val="90"/>
                <w:sz w:val="24"/>
              </w:rPr>
              <w:t>147.27</w:t>
            </w:r>
          </w:p>
        </w:tc>
        <w:tc>
          <w:tcPr>
            <w:tcW w:w="0" w:type="auto"/>
            <w:vMerge w:val="restart"/>
            <w:noWrap w:val="0"/>
            <w:vAlign w:val="center"/>
          </w:tcPr>
          <w:p>
            <w:pPr>
              <w:spacing w:line="0" w:lineRule="atLeast"/>
              <w:jc w:val="center"/>
              <w:rPr>
                <w:rFonts w:hint="eastAsia"/>
                <w:w w:val="90"/>
                <w:sz w:val="24"/>
              </w:rPr>
            </w:pPr>
            <w:r>
              <w:rPr>
                <w:rFonts w:hint="eastAsia"/>
                <w:w w:val="90"/>
                <w:sz w:val="24"/>
              </w:rPr>
              <w:t>25</w:t>
            </w:r>
          </w:p>
        </w:tc>
        <w:tc>
          <w:tcPr>
            <w:tcW w:w="0" w:type="auto"/>
            <w:vMerge w:val="restart"/>
            <w:noWrap w:val="0"/>
            <w:vAlign w:val="center"/>
          </w:tcPr>
          <w:p>
            <w:pPr>
              <w:spacing w:line="0" w:lineRule="atLeast"/>
              <w:jc w:val="center"/>
              <w:rPr>
                <w:rFonts w:hint="eastAsia"/>
                <w:w w:val="90"/>
                <w:sz w:val="24"/>
              </w:rPr>
            </w:pPr>
            <w:r>
              <w:rPr>
                <w:rFonts w:hint="eastAsia"/>
                <w:w w:val="90"/>
                <w:sz w:val="24"/>
              </w:rPr>
              <w:t>2.40</w:t>
            </w:r>
          </w:p>
        </w:tc>
        <w:tc>
          <w:tcPr>
            <w:tcW w:w="0" w:type="auto"/>
            <w:vMerge w:val="restart"/>
            <w:noWrap w:val="0"/>
            <w:vAlign w:val="center"/>
          </w:tcPr>
          <w:p>
            <w:pPr>
              <w:spacing w:line="0" w:lineRule="atLeast"/>
              <w:jc w:val="center"/>
              <w:rPr>
                <w:rFonts w:hint="eastAsia"/>
                <w:w w:val="90"/>
                <w:sz w:val="24"/>
              </w:rPr>
            </w:pPr>
            <w:r>
              <w:rPr>
                <w:rFonts w:hint="eastAsia"/>
                <w:w w:val="90"/>
                <w:sz w:val="24"/>
              </w:rPr>
              <w:t>110.45</w:t>
            </w:r>
          </w:p>
        </w:tc>
        <w:tc>
          <w:tcPr>
            <w:tcW w:w="0" w:type="auto"/>
            <w:vMerge w:val="restart"/>
            <w:noWrap w:val="0"/>
            <w:vAlign w:val="center"/>
          </w:tcPr>
          <w:p>
            <w:pPr>
              <w:spacing w:line="0" w:lineRule="atLeast"/>
              <w:jc w:val="center"/>
              <w:rPr>
                <w:rFonts w:hint="eastAsia"/>
                <w:w w:val="90"/>
                <w:sz w:val="24"/>
              </w:rPr>
            </w:pPr>
            <w:r>
              <w:rPr>
                <w:rFonts w:hint="eastAsia"/>
                <w:w w:val="90"/>
                <w:sz w:val="24"/>
              </w:rPr>
              <w:t>265.1</w:t>
            </w:r>
          </w:p>
        </w:tc>
        <w:tc>
          <w:tcPr>
            <w:tcW w:w="0" w:type="auto"/>
            <w:vMerge w:val="continue"/>
            <w:tcBorders>
              <w:right w:val="single" w:color="auto" w:sz="8" w:space="0"/>
            </w:tcBorders>
            <w:noWrap w:val="0"/>
            <w:vAlign w:val="center"/>
          </w:tcPr>
          <w:p>
            <w:pPr>
              <w:spacing w:line="0" w:lineRule="atLeast"/>
              <w:jc w:val="center"/>
              <w:rPr>
                <w:w w:val="9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5" w:hRule="atLeast"/>
          <w:jc w:val="center"/>
        </w:trPr>
        <w:tc>
          <w:tcPr>
            <w:tcW w:w="0" w:type="auto"/>
            <w:vMerge w:val="continue"/>
            <w:tcBorders>
              <w:left w:val="single" w:color="auto" w:sz="8" w:space="0"/>
            </w:tcBorders>
            <w:noWrap w:val="0"/>
            <w:vAlign w:val="center"/>
          </w:tcPr>
          <w:p>
            <w:pPr>
              <w:spacing w:line="400" w:lineRule="exact"/>
              <w:jc w:val="center"/>
              <w:rPr>
                <w:w w:val="90"/>
                <w:sz w:val="24"/>
              </w:rPr>
            </w:pPr>
          </w:p>
        </w:tc>
        <w:tc>
          <w:tcPr>
            <w:tcW w:w="0" w:type="auto"/>
            <w:noWrap w:val="0"/>
            <w:vAlign w:val="center"/>
          </w:tcPr>
          <w:p>
            <w:pPr>
              <w:spacing w:line="0" w:lineRule="atLeast"/>
              <w:jc w:val="center"/>
              <w:rPr>
                <w:w w:val="90"/>
                <w:sz w:val="24"/>
              </w:rPr>
            </w:pPr>
            <w:r>
              <w:rPr>
                <w:rFonts w:hint="eastAsia"/>
                <w:w w:val="90"/>
                <w:sz w:val="24"/>
              </w:rPr>
              <w:t>4</w:t>
            </w:r>
            <w:r>
              <w:rPr>
                <w:w w:val="90"/>
                <w:sz w:val="24"/>
              </w:rPr>
              <w:t>-</w:t>
            </w:r>
            <w:r>
              <w:rPr>
                <w:rFonts w:hint="eastAsia"/>
                <w:w w:val="90"/>
                <w:sz w:val="24"/>
              </w:rPr>
              <w:t>4</w:t>
            </w:r>
            <w:r>
              <w:rPr>
                <w:w w:val="90"/>
                <w:sz w:val="24"/>
              </w:rPr>
              <w:t>′</w:t>
            </w:r>
          </w:p>
        </w:tc>
        <w:tc>
          <w:tcPr>
            <w:tcW w:w="0" w:type="auto"/>
            <w:noWrap w:val="0"/>
            <w:vAlign w:val="center"/>
          </w:tcPr>
          <w:p>
            <w:pPr>
              <w:spacing w:line="0" w:lineRule="atLeast"/>
              <w:jc w:val="center"/>
              <w:rPr>
                <w:w w:val="90"/>
                <w:sz w:val="24"/>
              </w:rPr>
            </w:pPr>
            <w:r>
              <w:rPr>
                <w:w w:val="90"/>
                <w:sz w:val="24"/>
              </w:rPr>
              <w:t>S</w:t>
            </w:r>
            <w:r>
              <w:rPr>
                <w:rFonts w:hint="eastAsia"/>
                <w:w w:val="90"/>
                <w:sz w:val="24"/>
              </w:rPr>
              <w:t>4</w:t>
            </w:r>
            <w:r>
              <w:rPr>
                <w:rFonts w:hAnsi="宋体"/>
                <w:w w:val="90"/>
                <w:sz w:val="24"/>
              </w:rPr>
              <w:t>保</w:t>
            </w:r>
            <w:r>
              <w:rPr>
                <w:w w:val="90"/>
                <w:sz w:val="24"/>
              </w:rPr>
              <w:t>=</w:t>
            </w:r>
            <w:r>
              <w:rPr>
                <w:rFonts w:hint="eastAsia"/>
                <w:w w:val="90"/>
                <w:sz w:val="24"/>
              </w:rPr>
              <w:t>17570</w:t>
            </w:r>
          </w:p>
        </w:tc>
        <w:tc>
          <w:tcPr>
            <w:tcW w:w="0" w:type="auto"/>
            <w:vMerge w:val="continue"/>
            <w:noWrap w:val="0"/>
            <w:vAlign w:val="center"/>
          </w:tcPr>
          <w:p>
            <w:pPr>
              <w:spacing w:line="0" w:lineRule="atLeast"/>
              <w:jc w:val="center"/>
              <w:rPr>
                <w:w w:val="90"/>
                <w:sz w:val="24"/>
              </w:rPr>
            </w:pPr>
          </w:p>
        </w:tc>
        <w:tc>
          <w:tcPr>
            <w:tcW w:w="0" w:type="auto"/>
            <w:vMerge w:val="continue"/>
            <w:noWrap w:val="0"/>
            <w:vAlign w:val="center"/>
          </w:tcPr>
          <w:p>
            <w:pPr>
              <w:spacing w:line="0" w:lineRule="atLeast"/>
              <w:jc w:val="center"/>
              <w:rPr>
                <w:w w:val="90"/>
                <w:sz w:val="24"/>
              </w:rPr>
            </w:pPr>
          </w:p>
        </w:tc>
        <w:tc>
          <w:tcPr>
            <w:tcW w:w="0" w:type="auto"/>
            <w:vMerge w:val="continue"/>
            <w:noWrap w:val="0"/>
            <w:vAlign w:val="center"/>
          </w:tcPr>
          <w:p>
            <w:pPr>
              <w:spacing w:line="0" w:lineRule="atLeast"/>
              <w:jc w:val="center"/>
              <w:rPr>
                <w:w w:val="90"/>
                <w:sz w:val="24"/>
              </w:rPr>
            </w:pPr>
          </w:p>
        </w:tc>
        <w:tc>
          <w:tcPr>
            <w:tcW w:w="0" w:type="auto"/>
            <w:vMerge w:val="continue"/>
            <w:noWrap w:val="0"/>
            <w:vAlign w:val="center"/>
          </w:tcPr>
          <w:p>
            <w:pPr>
              <w:spacing w:line="0" w:lineRule="atLeast"/>
              <w:jc w:val="center"/>
              <w:rPr>
                <w:w w:val="90"/>
                <w:sz w:val="24"/>
              </w:rPr>
            </w:pPr>
          </w:p>
        </w:tc>
        <w:tc>
          <w:tcPr>
            <w:tcW w:w="0" w:type="auto"/>
            <w:vMerge w:val="continue"/>
            <w:noWrap w:val="0"/>
            <w:vAlign w:val="center"/>
          </w:tcPr>
          <w:p>
            <w:pPr>
              <w:spacing w:line="0" w:lineRule="atLeast"/>
              <w:jc w:val="center"/>
              <w:rPr>
                <w:w w:val="90"/>
                <w:sz w:val="24"/>
              </w:rPr>
            </w:pPr>
          </w:p>
        </w:tc>
        <w:tc>
          <w:tcPr>
            <w:tcW w:w="0" w:type="auto"/>
            <w:vMerge w:val="continue"/>
            <w:noWrap w:val="0"/>
            <w:vAlign w:val="center"/>
          </w:tcPr>
          <w:p>
            <w:pPr>
              <w:spacing w:line="0" w:lineRule="atLeast"/>
              <w:jc w:val="center"/>
              <w:rPr>
                <w:w w:val="90"/>
                <w:sz w:val="24"/>
              </w:rPr>
            </w:pPr>
          </w:p>
        </w:tc>
        <w:tc>
          <w:tcPr>
            <w:tcW w:w="0" w:type="auto"/>
            <w:vMerge w:val="continue"/>
            <w:noWrap w:val="0"/>
            <w:vAlign w:val="center"/>
          </w:tcPr>
          <w:p>
            <w:pPr>
              <w:spacing w:line="0" w:lineRule="atLeast"/>
              <w:jc w:val="center"/>
              <w:rPr>
                <w:w w:val="90"/>
                <w:sz w:val="24"/>
              </w:rPr>
            </w:pPr>
          </w:p>
        </w:tc>
        <w:tc>
          <w:tcPr>
            <w:tcW w:w="0" w:type="auto"/>
            <w:vMerge w:val="continue"/>
            <w:tcBorders>
              <w:right w:val="single" w:color="auto" w:sz="8" w:space="0"/>
            </w:tcBorders>
            <w:noWrap w:val="0"/>
            <w:vAlign w:val="center"/>
          </w:tcPr>
          <w:p>
            <w:pPr>
              <w:spacing w:line="0" w:lineRule="atLeast"/>
              <w:jc w:val="center"/>
              <w:rPr>
                <w:w w:val="9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5" w:hRule="atLeast"/>
          <w:jc w:val="center"/>
        </w:trPr>
        <w:tc>
          <w:tcPr>
            <w:tcW w:w="0" w:type="auto"/>
            <w:vMerge w:val="restart"/>
            <w:tcBorders>
              <w:left w:val="single" w:color="auto" w:sz="8" w:space="0"/>
            </w:tcBorders>
            <w:noWrap w:val="0"/>
            <w:vAlign w:val="center"/>
          </w:tcPr>
          <w:p>
            <w:pPr>
              <w:spacing w:line="400" w:lineRule="exact"/>
              <w:jc w:val="center"/>
              <w:rPr>
                <w:w w:val="90"/>
                <w:sz w:val="24"/>
              </w:rPr>
            </w:pPr>
            <w:r>
              <w:rPr>
                <w:rFonts w:hint="eastAsia"/>
                <w:w w:val="90"/>
                <w:sz w:val="24"/>
              </w:rPr>
              <w:t>保4</w:t>
            </w:r>
          </w:p>
        </w:tc>
        <w:tc>
          <w:tcPr>
            <w:tcW w:w="0" w:type="auto"/>
            <w:noWrap w:val="0"/>
            <w:vAlign w:val="center"/>
          </w:tcPr>
          <w:p>
            <w:pPr>
              <w:spacing w:line="0" w:lineRule="atLeast"/>
              <w:jc w:val="center"/>
              <w:rPr>
                <w:w w:val="90"/>
                <w:sz w:val="24"/>
              </w:rPr>
            </w:pPr>
            <w:r>
              <w:rPr>
                <w:rFonts w:hint="eastAsia"/>
                <w:w w:val="90"/>
                <w:sz w:val="24"/>
              </w:rPr>
              <w:t>4</w:t>
            </w:r>
            <w:r>
              <w:rPr>
                <w:w w:val="90"/>
                <w:sz w:val="24"/>
              </w:rPr>
              <w:t>-</w:t>
            </w:r>
            <w:r>
              <w:rPr>
                <w:rFonts w:hint="eastAsia"/>
                <w:w w:val="90"/>
                <w:sz w:val="24"/>
              </w:rPr>
              <w:t>4</w:t>
            </w:r>
            <w:r>
              <w:rPr>
                <w:w w:val="90"/>
                <w:sz w:val="24"/>
              </w:rPr>
              <w:t>′</w:t>
            </w:r>
          </w:p>
        </w:tc>
        <w:tc>
          <w:tcPr>
            <w:tcW w:w="0" w:type="auto"/>
            <w:noWrap w:val="0"/>
            <w:vAlign w:val="center"/>
          </w:tcPr>
          <w:p>
            <w:pPr>
              <w:spacing w:line="0" w:lineRule="atLeast"/>
              <w:jc w:val="center"/>
              <w:rPr>
                <w:w w:val="90"/>
                <w:sz w:val="24"/>
              </w:rPr>
            </w:pPr>
            <w:r>
              <w:rPr>
                <w:w w:val="90"/>
                <w:sz w:val="24"/>
              </w:rPr>
              <w:t>S</w:t>
            </w:r>
            <w:r>
              <w:rPr>
                <w:rFonts w:hint="eastAsia"/>
                <w:w w:val="90"/>
                <w:sz w:val="24"/>
              </w:rPr>
              <w:t>4</w:t>
            </w:r>
            <w:r>
              <w:rPr>
                <w:rFonts w:hAnsi="宋体"/>
                <w:w w:val="90"/>
                <w:sz w:val="24"/>
              </w:rPr>
              <w:t>保</w:t>
            </w:r>
            <w:r>
              <w:rPr>
                <w:w w:val="90"/>
                <w:sz w:val="24"/>
              </w:rPr>
              <w:t>=</w:t>
            </w:r>
            <w:r>
              <w:rPr>
                <w:rFonts w:hint="eastAsia"/>
                <w:w w:val="90"/>
                <w:sz w:val="24"/>
              </w:rPr>
              <w:t>17570</w:t>
            </w:r>
          </w:p>
        </w:tc>
        <w:tc>
          <w:tcPr>
            <w:tcW w:w="0" w:type="auto"/>
            <w:vMerge w:val="restart"/>
            <w:noWrap w:val="0"/>
            <w:vAlign w:val="center"/>
          </w:tcPr>
          <w:p>
            <w:pPr>
              <w:spacing w:line="0" w:lineRule="atLeast"/>
              <w:jc w:val="center"/>
              <w:rPr>
                <w:rFonts w:hint="eastAsia"/>
                <w:w w:val="90"/>
                <w:sz w:val="24"/>
              </w:rPr>
            </w:pPr>
            <w:r>
              <w:rPr>
                <w:rFonts w:hint="eastAsia"/>
                <w:w w:val="90"/>
                <w:sz w:val="24"/>
              </w:rPr>
              <w:t>14770</w:t>
            </w:r>
          </w:p>
        </w:tc>
        <w:tc>
          <w:tcPr>
            <w:tcW w:w="0" w:type="auto"/>
            <w:vMerge w:val="restart"/>
            <w:noWrap w:val="0"/>
            <w:vAlign w:val="center"/>
          </w:tcPr>
          <w:p>
            <w:pPr>
              <w:spacing w:line="0" w:lineRule="atLeast"/>
              <w:jc w:val="center"/>
              <w:rPr>
                <w:rFonts w:hint="eastAsia"/>
                <w:w w:val="90"/>
                <w:sz w:val="24"/>
              </w:rPr>
            </w:pPr>
            <w:r>
              <w:rPr>
                <w:rFonts w:hint="eastAsia"/>
                <w:w w:val="90"/>
                <w:sz w:val="24"/>
              </w:rPr>
              <w:t>110.6</w:t>
            </w:r>
          </w:p>
        </w:tc>
        <w:tc>
          <w:tcPr>
            <w:tcW w:w="0" w:type="auto"/>
            <w:vMerge w:val="restart"/>
            <w:noWrap w:val="0"/>
            <w:vAlign w:val="center"/>
          </w:tcPr>
          <w:p>
            <w:pPr>
              <w:spacing w:line="0" w:lineRule="atLeast"/>
              <w:jc w:val="center"/>
              <w:rPr>
                <w:rFonts w:hint="eastAsia"/>
                <w:w w:val="90"/>
                <w:sz w:val="24"/>
              </w:rPr>
            </w:pPr>
            <w:r>
              <w:rPr>
                <w:rFonts w:hint="eastAsia"/>
                <w:w w:val="90"/>
                <w:sz w:val="24"/>
              </w:rPr>
              <w:t>163.36</w:t>
            </w:r>
          </w:p>
        </w:tc>
        <w:tc>
          <w:tcPr>
            <w:tcW w:w="0" w:type="auto"/>
            <w:vMerge w:val="restart"/>
            <w:noWrap w:val="0"/>
            <w:vAlign w:val="center"/>
          </w:tcPr>
          <w:p>
            <w:pPr>
              <w:spacing w:line="0" w:lineRule="atLeast"/>
              <w:jc w:val="center"/>
              <w:rPr>
                <w:rFonts w:hint="eastAsia"/>
                <w:w w:val="90"/>
                <w:sz w:val="24"/>
              </w:rPr>
            </w:pPr>
            <w:r>
              <w:rPr>
                <w:rFonts w:hint="eastAsia"/>
                <w:w w:val="90"/>
                <w:sz w:val="24"/>
              </w:rPr>
              <w:t>25</w:t>
            </w:r>
          </w:p>
        </w:tc>
        <w:tc>
          <w:tcPr>
            <w:tcW w:w="0" w:type="auto"/>
            <w:vMerge w:val="restart"/>
            <w:noWrap w:val="0"/>
            <w:vAlign w:val="center"/>
          </w:tcPr>
          <w:p>
            <w:pPr>
              <w:spacing w:line="0" w:lineRule="atLeast"/>
              <w:jc w:val="center"/>
              <w:rPr>
                <w:rFonts w:hint="eastAsia"/>
                <w:w w:val="90"/>
                <w:sz w:val="24"/>
              </w:rPr>
            </w:pPr>
            <w:r>
              <w:rPr>
                <w:rFonts w:hint="eastAsia"/>
                <w:w w:val="90"/>
                <w:sz w:val="24"/>
              </w:rPr>
              <w:t>2.40</w:t>
            </w:r>
          </w:p>
        </w:tc>
        <w:tc>
          <w:tcPr>
            <w:tcW w:w="0" w:type="auto"/>
            <w:vMerge w:val="restart"/>
            <w:noWrap w:val="0"/>
            <w:vAlign w:val="center"/>
          </w:tcPr>
          <w:p>
            <w:pPr>
              <w:spacing w:line="0" w:lineRule="atLeast"/>
              <w:jc w:val="center"/>
              <w:rPr>
                <w:rFonts w:hint="eastAsia"/>
                <w:w w:val="90"/>
                <w:sz w:val="24"/>
              </w:rPr>
            </w:pPr>
            <w:r>
              <w:rPr>
                <w:rFonts w:hint="eastAsia"/>
                <w:w w:val="90"/>
                <w:sz w:val="24"/>
              </w:rPr>
              <w:t>122.52</w:t>
            </w:r>
          </w:p>
        </w:tc>
        <w:tc>
          <w:tcPr>
            <w:tcW w:w="0" w:type="auto"/>
            <w:vMerge w:val="restart"/>
            <w:noWrap w:val="0"/>
            <w:vAlign w:val="center"/>
          </w:tcPr>
          <w:p>
            <w:pPr>
              <w:spacing w:line="0" w:lineRule="atLeast"/>
              <w:jc w:val="center"/>
              <w:rPr>
                <w:rFonts w:hint="eastAsia"/>
                <w:w w:val="90"/>
                <w:sz w:val="24"/>
              </w:rPr>
            </w:pPr>
            <w:r>
              <w:rPr>
                <w:rFonts w:hint="eastAsia"/>
                <w:w w:val="90"/>
                <w:sz w:val="24"/>
              </w:rPr>
              <w:t>294.0</w:t>
            </w:r>
          </w:p>
        </w:tc>
        <w:tc>
          <w:tcPr>
            <w:tcW w:w="0" w:type="auto"/>
            <w:vMerge w:val="continue"/>
            <w:tcBorders>
              <w:right w:val="single" w:color="auto" w:sz="8" w:space="0"/>
            </w:tcBorders>
            <w:noWrap w:val="0"/>
            <w:vAlign w:val="center"/>
          </w:tcPr>
          <w:p>
            <w:pPr>
              <w:spacing w:line="0" w:lineRule="atLeast"/>
              <w:jc w:val="center"/>
              <w:rPr>
                <w:w w:val="9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5" w:hRule="atLeast"/>
          <w:jc w:val="center"/>
        </w:trPr>
        <w:tc>
          <w:tcPr>
            <w:tcW w:w="0" w:type="auto"/>
            <w:vMerge w:val="continue"/>
            <w:tcBorders>
              <w:left w:val="single" w:color="auto" w:sz="8" w:space="0"/>
            </w:tcBorders>
            <w:noWrap w:val="0"/>
            <w:vAlign w:val="center"/>
          </w:tcPr>
          <w:p>
            <w:pPr>
              <w:spacing w:line="400" w:lineRule="exact"/>
              <w:jc w:val="center"/>
              <w:rPr>
                <w:w w:val="90"/>
                <w:sz w:val="24"/>
              </w:rPr>
            </w:pPr>
          </w:p>
        </w:tc>
        <w:tc>
          <w:tcPr>
            <w:tcW w:w="0" w:type="auto"/>
            <w:noWrap w:val="0"/>
            <w:vAlign w:val="center"/>
          </w:tcPr>
          <w:p>
            <w:pPr>
              <w:spacing w:line="0" w:lineRule="atLeast"/>
              <w:jc w:val="center"/>
              <w:rPr>
                <w:w w:val="90"/>
                <w:sz w:val="24"/>
              </w:rPr>
            </w:pPr>
            <w:r>
              <w:rPr>
                <w:rFonts w:hint="eastAsia"/>
                <w:w w:val="90"/>
                <w:sz w:val="24"/>
              </w:rPr>
              <w:t>5</w:t>
            </w:r>
            <w:r>
              <w:rPr>
                <w:w w:val="90"/>
                <w:sz w:val="24"/>
              </w:rPr>
              <w:t>-</w:t>
            </w:r>
            <w:r>
              <w:rPr>
                <w:rFonts w:hint="eastAsia"/>
                <w:w w:val="90"/>
                <w:sz w:val="24"/>
              </w:rPr>
              <w:t>5</w:t>
            </w:r>
            <w:r>
              <w:rPr>
                <w:w w:val="90"/>
                <w:sz w:val="24"/>
              </w:rPr>
              <w:t>′</w:t>
            </w:r>
          </w:p>
        </w:tc>
        <w:tc>
          <w:tcPr>
            <w:tcW w:w="0" w:type="auto"/>
            <w:noWrap w:val="0"/>
            <w:vAlign w:val="center"/>
          </w:tcPr>
          <w:p>
            <w:pPr>
              <w:spacing w:line="0" w:lineRule="atLeast"/>
              <w:jc w:val="center"/>
              <w:rPr>
                <w:w w:val="90"/>
                <w:sz w:val="24"/>
              </w:rPr>
            </w:pPr>
            <w:r>
              <w:rPr>
                <w:w w:val="90"/>
                <w:sz w:val="24"/>
              </w:rPr>
              <w:t>S</w:t>
            </w:r>
            <w:r>
              <w:rPr>
                <w:rFonts w:hint="eastAsia"/>
                <w:w w:val="90"/>
                <w:sz w:val="24"/>
              </w:rPr>
              <w:t>5</w:t>
            </w:r>
            <w:r>
              <w:rPr>
                <w:rFonts w:hAnsi="宋体"/>
                <w:w w:val="90"/>
                <w:sz w:val="24"/>
              </w:rPr>
              <w:t>保</w:t>
            </w:r>
            <w:r>
              <w:rPr>
                <w:w w:val="90"/>
                <w:sz w:val="24"/>
              </w:rPr>
              <w:t>=</w:t>
            </w:r>
            <w:r>
              <w:rPr>
                <w:rFonts w:hint="eastAsia"/>
                <w:w w:val="90"/>
                <w:sz w:val="24"/>
              </w:rPr>
              <w:t>11971</w:t>
            </w:r>
          </w:p>
        </w:tc>
        <w:tc>
          <w:tcPr>
            <w:tcW w:w="0" w:type="auto"/>
            <w:vMerge w:val="continue"/>
            <w:noWrap w:val="0"/>
            <w:vAlign w:val="center"/>
          </w:tcPr>
          <w:p>
            <w:pPr>
              <w:spacing w:line="0" w:lineRule="atLeast"/>
              <w:jc w:val="center"/>
              <w:rPr>
                <w:w w:val="90"/>
                <w:sz w:val="24"/>
              </w:rPr>
            </w:pPr>
          </w:p>
        </w:tc>
        <w:tc>
          <w:tcPr>
            <w:tcW w:w="0" w:type="auto"/>
            <w:vMerge w:val="continue"/>
            <w:noWrap w:val="0"/>
            <w:vAlign w:val="center"/>
          </w:tcPr>
          <w:p>
            <w:pPr>
              <w:spacing w:line="0" w:lineRule="atLeast"/>
              <w:jc w:val="center"/>
              <w:rPr>
                <w:w w:val="90"/>
                <w:sz w:val="24"/>
              </w:rPr>
            </w:pPr>
          </w:p>
        </w:tc>
        <w:tc>
          <w:tcPr>
            <w:tcW w:w="0" w:type="auto"/>
            <w:vMerge w:val="continue"/>
            <w:noWrap w:val="0"/>
            <w:vAlign w:val="center"/>
          </w:tcPr>
          <w:p>
            <w:pPr>
              <w:spacing w:line="0" w:lineRule="atLeast"/>
              <w:jc w:val="center"/>
              <w:rPr>
                <w:w w:val="90"/>
                <w:sz w:val="24"/>
              </w:rPr>
            </w:pPr>
          </w:p>
        </w:tc>
        <w:tc>
          <w:tcPr>
            <w:tcW w:w="0" w:type="auto"/>
            <w:vMerge w:val="continue"/>
            <w:noWrap w:val="0"/>
            <w:vAlign w:val="center"/>
          </w:tcPr>
          <w:p>
            <w:pPr>
              <w:spacing w:line="0" w:lineRule="atLeast"/>
              <w:jc w:val="center"/>
              <w:rPr>
                <w:w w:val="90"/>
                <w:sz w:val="24"/>
              </w:rPr>
            </w:pPr>
          </w:p>
        </w:tc>
        <w:tc>
          <w:tcPr>
            <w:tcW w:w="0" w:type="auto"/>
            <w:vMerge w:val="continue"/>
            <w:noWrap w:val="0"/>
            <w:vAlign w:val="center"/>
          </w:tcPr>
          <w:p>
            <w:pPr>
              <w:spacing w:line="0" w:lineRule="atLeast"/>
              <w:jc w:val="center"/>
              <w:rPr>
                <w:w w:val="90"/>
                <w:sz w:val="24"/>
              </w:rPr>
            </w:pPr>
          </w:p>
        </w:tc>
        <w:tc>
          <w:tcPr>
            <w:tcW w:w="0" w:type="auto"/>
            <w:vMerge w:val="continue"/>
            <w:noWrap w:val="0"/>
            <w:vAlign w:val="center"/>
          </w:tcPr>
          <w:p>
            <w:pPr>
              <w:spacing w:line="0" w:lineRule="atLeast"/>
              <w:jc w:val="center"/>
              <w:rPr>
                <w:w w:val="90"/>
                <w:sz w:val="24"/>
              </w:rPr>
            </w:pPr>
          </w:p>
        </w:tc>
        <w:tc>
          <w:tcPr>
            <w:tcW w:w="0" w:type="auto"/>
            <w:vMerge w:val="continue"/>
            <w:noWrap w:val="0"/>
            <w:vAlign w:val="center"/>
          </w:tcPr>
          <w:p>
            <w:pPr>
              <w:spacing w:line="0" w:lineRule="atLeast"/>
              <w:jc w:val="center"/>
              <w:rPr>
                <w:w w:val="90"/>
                <w:sz w:val="24"/>
              </w:rPr>
            </w:pPr>
          </w:p>
        </w:tc>
        <w:tc>
          <w:tcPr>
            <w:tcW w:w="0" w:type="auto"/>
            <w:vMerge w:val="continue"/>
            <w:tcBorders>
              <w:right w:val="single" w:color="auto" w:sz="8" w:space="0"/>
            </w:tcBorders>
            <w:noWrap w:val="0"/>
            <w:vAlign w:val="center"/>
          </w:tcPr>
          <w:p>
            <w:pPr>
              <w:spacing w:line="0" w:lineRule="atLeast"/>
              <w:jc w:val="center"/>
              <w:rPr>
                <w:w w:val="9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5" w:hRule="atLeast"/>
          <w:jc w:val="center"/>
        </w:trPr>
        <w:tc>
          <w:tcPr>
            <w:tcW w:w="0" w:type="auto"/>
            <w:gridSpan w:val="3"/>
            <w:tcBorders>
              <w:left w:val="single" w:color="auto" w:sz="8" w:space="0"/>
              <w:bottom w:val="single" w:color="auto" w:sz="8" w:space="0"/>
            </w:tcBorders>
            <w:noWrap w:val="0"/>
            <w:vAlign w:val="center"/>
          </w:tcPr>
          <w:p>
            <w:pPr>
              <w:spacing w:line="0" w:lineRule="atLeast"/>
              <w:jc w:val="center"/>
              <w:rPr>
                <w:w w:val="90"/>
                <w:sz w:val="24"/>
              </w:rPr>
            </w:pPr>
            <w:r>
              <w:rPr>
                <w:rFonts w:hAnsi="宋体"/>
                <w:w w:val="90"/>
                <w:sz w:val="24"/>
              </w:rPr>
              <w:t>全矿累计查明资源储量</w:t>
            </w:r>
          </w:p>
        </w:tc>
        <w:tc>
          <w:tcPr>
            <w:tcW w:w="0" w:type="auto"/>
            <w:tcBorders>
              <w:bottom w:val="single" w:color="auto" w:sz="8" w:space="0"/>
            </w:tcBorders>
            <w:noWrap w:val="0"/>
            <w:vAlign w:val="center"/>
          </w:tcPr>
          <w:p>
            <w:pPr>
              <w:spacing w:line="0" w:lineRule="atLeast"/>
              <w:jc w:val="center"/>
              <w:rPr>
                <w:w w:val="90"/>
                <w:sz w:val="24"/>
              </w:rPr>
            </w:pPr>
          </w:p>
        </w:tc>
        <w:tc>
          <w:tcPr>
            <w:tcW w:w="0" w:type="auto"/>
            <w:tcBorders>
              <w:bottom w:val="single" w:color="auto" w:sz="8" w:space="0"/>
            </w:tcBorders>
            <w:noWrap w:val="0"/>
            <w:vAlign w:val="center"/>
          </w:tcPr>
          <w:p>
            <w:pPr>
              <w:spacing w:line="0" w:lineRule="atLeast"/>
              <w:jc w:val="center"/>
              <w:rPr>
                <w:w w:val="90"/>
                <w:sz w:val="24"/>
              </w:rPr>
            </w:pPr>
          </w:p>
        </w:tc>
        <w:tc>
          <w:tcPr>
            <w:tcW w:w="0" w:type="auto"/>
            <w:tcBorders>
              <w:bottom w:val="single" w:color="auto" w:sz="8" w:space="0"/>
            </w:tcBorders>
            <w:noWrap w:val="0"/>
            <w:vAlign w:val="center"/>
          </w:tcPr>
          <w:p>
            <w:pPr>
              <w:spacing w:line="0" w:lineRule="atLeast"/>
              <w:jc w:val="center"/>
              <w:rPr>
                <w:w w:val="90"/>
                <w:sz w:val="24"/>
              </w:rPr>
            </w:pPr>
            <w:r>
              <w:rPr>
                <w:w w:val="90"/>
                <w:sz w:val="24"/>
              </w:rPr>
              <w:fldChar w:fldCharType="begin"/>
            </w:r>
            <w:r>
              <w:rPr>
                <w:w w:val="90"/>
                <w:sz w:val="24"/>
              </w:rPr>
              <w:instrText xml:space="preserve"> =SUM(ABOVE) </w:instrText>
            </w:r>
            <w:r>
              <w:rPr>
                <w:w w:val="90"/>
                <w:sz w:val="24"/>
              </w:rPr>
              <w:fldChar w:fldCharType="separate"/>
            </w:r>
            <w:r>
              <w:rPr>
                <w:w w:val="90"/>
                <w:sz w:val="24"/>
              </w:rPr>
              <w:t>590.55</w:t>
            </w:r>
            <w:r>
              <w:rPr>
                <w:w w:val="90"/>
                <w:sz w:val="24"/>
              </w:rPr>
              <w:fldChar w:fldCharType="end"/>
            </w:r>
          </w:p>
        </w:tc>
        <w:tc>
          <w:tcPr>
            <w:tcW w:w="0" w:type="auto"/>
            <w:tcBorders>
              <w:bottom w:val="single" w:color="auto" w:sz="8" w:space="0"/>
            </w:tcBorders>
            <w:noWrap w:val="0"/>
            <w:vAlign w:val="center"/>
          </w:tcPr>
          <w:p>
            <w:pPr>
              <w:spacing w:line="0" w:lineRule="atLeast"/>
              <w:jc w:val="center"/>
              <w:rPr>
                <w:w w:val="90"/>
                <w:sz w:val="24"/>
              </w:rPr>
            </w:pPr>
          </w:p>
        </w:tc>
        <w:tc>
          <w:tcPr>
            <w:tcW w:w="0" w:type="auto"/>
            <w:tcBorders>
              <w:bottom w:val="single" w:color="auto" w:sz="8" w:space="0"/>
            </w:tcBorders>
            <w:noWrap w:val="0"/>
            <w:vAlign w:val="center"/>
          </w:tcPr>
          <w:p>
            <w:pPr>
              <w:spacing w:line="0" w:lineRule="atLeast"/>
              <w:jc w:val="center"/>
              <w:rPr>
                <w:w w:val="90"/>
                <w:sz w:val="24"/>
              </w:rPr>
            </w:pPr>
          </w:p>
        </w:tc>
        <w:tc>
          <w:tcPr>
            <w:tcW w:w="0" w:type="auto"/>
            <w:tcBorders>
              <w:bottom w:val="single" w:color="auto" w:sz="8" w:space="0"/>
            </w:tcBorders>
            <w:noWrap w:val="0"/>
            <w:vAlign w:val="center"/>
          </w:tcPr>
          <w:p>
            <w:pPr>
              <w:spacing w:line="0" w:lineRule="atLeast"/>
              <w:jc w:val="center"/>
              <w:rPr>
                <w:w w:val="90"/>
                <w:sz w:val="24"/>
              </w:rPr>
            </w:pPr>
            <w:r>
              <w:rPr>
                <w:w w:val="90"/>
                <w:sz w:val="24"/>
              </w:rPr>
              <w:fldChar w:fldCharType="begin"/>
            </w:r>
            <w:r>
              <w:rPr>
                <w:w w:val="90"/>
                <w:sz w:val="24"/>
              </w:rPr>
              <w:instrText xml:space="preserve"> =SUM(ABOVE) </w:instrText>
            </w:r>
            <w:r>
              <w:rPr>
                <w:w w:val="90"/>
                <w:sz w:val="24"/>
              </w:rPr>
              <w:fldChar w:fldCharType="separate"/>
            </w:r>
            <w:r>
              <w:rPr>
                <w:w w:val="90"/>
                <w:sz w:val="24"/>
              </w:rPr>
              <w:t>442.91</w:t>
            </w:r>
            <w:r>
              <w:rPr>
                <w:w w:val="90"/>
                <w:sz w:val="24"/>
              </w:rPr>
              <w:fldChar w:fldCharType="end"/>
            </w:r>
          </w:p>
        </w:tc>
        <w:tc>
          <w:tcPr>
            <w:tcW w:w="0" w:type="auto"/>
            <w:tcBorders>
              <w:bottom w:val="single" w:color="auto" w:sz="8" w:space="0"/>
              <w:right w:val="single" w:color="auto" w:sz="8" w:space="0"/>
            </w:tcBorders>
            <w:noWrap w:val="0"/>
            <w:vAlign w:val="center"/>
          </w:tcPr>
          <w:p>
            <w:pPr>
              <w:spacing w:line="0" w:lineRule="atLeast"/>
              <w:jc w:val="center"/>
              <w:rPr>
                <w:w w:val="90"/>
                <w:sz w:val="24"/>
              </w:rPr>
            </w:pPr>
            <w:r>
              <w:rPr>
                <w:w w:val="90"/>
                <w:sz w:val="24"/>
              </w:rPr>
              <w:fldChar w:fldCharType="begin"/>
            </w:r>
            <w:r>
              <w:rPr>
                <w:w w:val="90"/>
                <w:sz w:val="24"/>
              </w:rPr>
              <w:instrText xml:space="preserve"> =SUM(ABOVE) </w:instrText>
            </w:r>
            <w:r>
              <w:rPr>
                <w:w w:val="90"/>
                <w:sz w:val="24"/>
              </w:rPr>
              <w:fldChar w:fldCharType="separate"/>
            </w:r>
            <w:r>
              <w:rPr>
                <w:w w:val="90"/>
                <w:sz w:val="24"/>
              </w:rPr>
              <w:t>1062.9</w:t>
            </w:r>
            <w:r>
              <w:rPr>
                <w:w w:val="90"/>
                <w:sz w:val="24"/>
              </w:rPr>
              <w:fldChar w:fldCharType="end"/>
            </w:r>
          </w:p>
        </w:tc>
        <w:tc>
          <w:tcPr>
            <w:tcW w:w="0" w:type="auto"/>
            <w:tcBorders>
              <w:bottom w:val="single" w:color="auto" w:sz="8" w:space="0"/>
              <w:right w:val="single" w:color="auto" w:sz="8" w:space="0"/>
            </w:tcBorders>
            <w:noWrap w:val="0"/>
            <w:vAlign w:val="top"/>
          </w:tcPr>
          <w:p>
            <w:pPr>
              <w:spacing w:line="0" w:lineRule="atLeast"/>
              <w:jc w:val="center"/>
              <w:rPr>
                <w:w w:val="90"/>
                <w:sz w:val="24"/>
              </w:rPr>
            </w:pPr>
          </w:p>
        </w:tc>
      </w:tr>
    </w:tbl>
    <w:p>
      <w:pPr>
        <w:ind w:firstLine="560" w:firstLineChars="200"/>
        <w:rPr>
          <w:rFonts w:hint="eastAsia"/>
          <w:sz w:val="24"/>
        </w:rPr>
      </w:pPr>
      <w:r>
        <w:rPr>
          <w:rFonts w:hAnsi="宋体"/>
          <w:sz w:val="28"/>
          <w:szCs w:val="28"/>
        </w:rPr>
        <w:t>估算</w:t>
      </w:r>
      <w:r>
        <w:rPr>
          <w:rFonts w:hint="eastAsia" w:hAnsi="宋体"/>
          <w:sz w:val="28"/>
          <w:szCs w:val="28"/>
        </w:rPr>
        <w:t>小儿坡</w:t>
      </w:r>
      <w:r>
        <w:rPr>
          <w:rFonts w:hAnsi="宋体"/>
          <w:sz w:val="28"/>
          <w:szCs w:val="28"/>
        </w:rPr>
        <w:t>页岩矿边坡控制资源量</w:t>
      </w:r>
      <w:r>
        <w:rPr>
          <w:rFonts w:hint="eastAsia"/>
          <w:sz w:val="28"/>
          <w:szCs w:val="28"/>
        </w:rPr>
        <w:t>466.1</w:t>
      </w:r>
      <w:r>
        <w:rPr>
          <w:rFonts w:hAnsi="宋体"/>
          <w:sz w:val="28"/>
          <w:szCs w:val="28"/>
        </w:rPr>
        <w:t>万吨</w:t>
      </w:r>
      <w:r>
        <w:rPr>
          <w:sz w:val="28"/>
          <w:szCs w:val="28"/>
        </w:rPr>
        <w:t>(</w:t>
      </w:r>
      <w:r>
        <w:rPr>
          <w:rFonts w:hint="eastAsia"/>
          <w:sz w:val="28"/>
          <w:szCs w:val="28"/>
        </w:rPr>
        <w:t>194.22</w:t>
      </w:r>
      <w:r>
        <w:rPr>
          <w:rFonts w:hAnsi="宋体"/>
          <w:sz w:val="28"/>
          <w:szCs w:val="28"/>
        </w:rPr>
        <w:t>万</w:t>
      </w:r>
      <w:r>
        <w:rPr>
          <w:sz w:val="28"/>
          <w:szCs w:val="28"/>
        </w:rPr>
        <w:t>m</w:t>
      </w:r>
      <w:r>
        <w:rPr>
          <w:sz w:val="28"/>
          <w:szCs w:val="28"/>
          <w:vertAlign w:val="superscript"/>
        </w:rPr>
        <w:t>3</w:t>
      </w:r>
      <w:r>
        <w:rPr>
          <w:sz w:val="28"/>
          <w:szCs w:val="28"/>
        </w:rPr>
        <w:t>)</w:t>
      </w:r>
      <w:r>
        <w:rPr>
          <w:rFonts w:hAnsi="宋体"/>
          <w:sz w:val="28"/>
          <w:szCs w:val="28"/>
        </w:rPr>
        <w:t>，该部分资源量为不能利用资源量</w:t>
      </w:r>
      <w:r>
        <w:rPr>
          <w:rFonts w:hint="eastAsia" w:hAnsi="宋体"/>
          <w:sz w:val="28"/>
          <w:szCs w:val="28"/>
        </w:rPr>
        <w:t>，</w:t>
      </w:r>
      <w:r>
        <w:rPr>
          <w:rFonts w:hAnsi="宋体"/>
          <w:sz w:val="28"/>
          <w:szCs w:val="28"/>
        </w:rPr>
        <w:t>详见插表</w:t>
      </w:r>
      <w:r>
        <w:rPr>
          <w:rFonts w:hint="eastAsia"/>
          <w:sz w:val="28"/>
          <w:szCs w:val="28"/>
        </w:rPr>
        <w:t>6。</w:t>
      </w:r>
    </w:p>
    <w:p>
      <w:pPr>
        <w:pStyle w:val="4"/>
        <w:spacing w:before="0" w:after="0" w:line="240" w:lineRule="auto"/>
        <w:rPr>
          <w:sz w:val="28"/>
          <w:szCs w:val="28"/>
          <w:lang w:val="zh-CN"/>
        </w:rPr>
      </w:pPr>
      <w:r>
        <w:rPr>
          <w:sz w:val="28"/>
          <w:szCs w:val="28"/>
        </w:rPr>
        <w:t>6</w:t>
      </w:r>
      <w:r>
        <w:rPr>
          <w:sz w:val="28"/>
          <w:szCs w:val="28"/>
          <w:lang w:val="zh-CN"/>
        </w:rPr>
        <w:t>.6.</w:t>
      </w:r>
      <w:r>
        <w:rPr>
          <w:sz w:val="28"/>
          <w:szCs w:val="28"/>
        </w:rPr>
        <w:t xml:space="preserve">3 </w:t>
      </w:r>
      <w:r>
        <w:rPr>
          <w:sz w:val="28"/>
          <w:szCs w:val="28"/>
          <w:lang w:val="zh-CN"/>
        </w:rPr>
        <w:t>矿山服务年限</w:t>
      </w:r>
    </w:p>
    <w:p>
      <w:pPr>
        <w:spacing w:line="360" w:lineRule="auto"/>
        <w:ind w:firstLine="544" w:firstLineChars="200"/>
        <w:rPr>
          <w:rFonts w:hint="eastAsia" w:hAnsi="宋体"/>
          <w:color w:val="000000"/>
          <w:spacing w:val="-4"/>
          <w:sz w:val="28"/>
          <w:szCs w:val="28"/>
        </w:rPr>
      </w:pPr>
      <w:r>
        <w:rPr>
          <w:rFonts w:hAnsi="宋体"/>
          <w:color w:val="000000"/>
          <w:spacing w:val="-4"/>
          <w:sz w:val="28"/>
          <w:szCs w:val="28"/>
        </w:rPr>
        <w:t>按照矿山设计生产规模</w:t>
      </w:r>
      <w:r>
        <w:rPr>
          <w:rFonts w:hint="eastAsia"/>
          <w:color w:val="000000"/>
          <w:spacing w:val="-4"/>
          <w:sz w:val="28"/>
          <w:szCs w:val="28"/>
        </w:rPr>
        <w:t>5</w:t>
      </w:r>
      <w:r>
        <w:rPr>
          <w:color w:val="000000"/>
          <w:spacing w:val="-4"/>
          <w:sz w:val="28"/>
          <w:szCs w:val="28"/>
        </w:rPr>
        <w:t>0</w:t>
      </w:r>
      <w:r>
        <w:rPr>
          <w:rFonts w:hAnsi="宋体"/>
          <w:color w:val="000000"/>
          <w:spacing w:val="-4"/>
          <w:sz w:val="28"/>
          <w:szCs w:val="28"/>
        </w:rPr>
        <w:t>万吨</w:t>
      </w:r>
      <w:r>
        <w:rPr>
          <w:color w:val="000000"/>
          <w:spacing w:val="-4"/>
          <w:sz w:val="28"/>
          <w:szCs w:val="28"/>
        </w:rPr>
        <w:t>/</w:t>
      </w:r>
      <w:r>
        <w:rPr>
          <w:rFonts w:hAnsi="宋体"/>
          <w:color w:val="000000"/>
          <w:spacing w:val="-4"/>
          <w:sz w:val="28"/>
          <w:szCs w:val="28"/>
        </w:rPr>
        <w:t>年计算。拟设计矿权范围内资源量预计可供矿山开采</w:t>
      </w:r>
      <w:r>
        <w:rPr>
          <w:rFonts w:hint="eastAsia"/>
          <w:color w:val="000000"/>
          <w:spacing w:val="-4"/>
          <w:sz w:val="28"/>
          <w:szCs w:val="28"/>
          <w:lang w:eastAsia="zh-CN"/>
        </w:rPr>
        <w:t>20年</w:t>
      </w:r>
      <w:r>
        <w:rPr>
          <w:color w:val="000000"/>
          <w:spacing w:val="-4"/>
          <w:sz w:val="28"/>
          <w:szCs w:val="28"/>
        </w:rPr>
        <w:t>[</w:t>
      </w:r>
      <w:r>
        <w:rPr>
          <w:rFonts w:hint="eastAsia"/>
          <w:spacing w:val="-4"/>
          <w:sz w:val="28"/>
          <w:szCs w:val="28"/>
        </w:rPr>
        <w:t>1062.9</w:t>
      </w:r>
      <w:r>
        <w:rPr>
          <w:rFonts w:hAnsi="宋体"/>
          <w:color w:val="000000"/>
          <w:spacing w:val="-4"/>
          <w:sz w:val="28"/>
          <w:szCs w:val="28"/>
        </w:rPr>
        <w:t>万吨</w:t>
      </w:r>
      <w:r>
        <w:rPr>
          <w:color w:val="000000"/>
          <w:spacing w:val="-4"/>
          <w:sz w:val="28"/>
          <w:szCs w:val="28"/>
        </w:rPr>
        <w:t>×9</w:t>
      </w:r>
      <w:r>
        <w:rPr>
          <w:rFonts w:hint="eastAsia"/>
          <w:color w:val="000000"/>
          <w:spacing w:val="-4"/>
          <w:sz w:val="28"/>
          <w:szCs w:val="28"/>
        </w:rPr>
        <w:t>5</w:t>
      </w:r>
      <w:r>
        <w:rPr>
          <w:color w:val="000000"/>
          <w:spacing w:val="-4"/>
          <w:sz w:val="28"/>
          <w:szCs w:val="28"/>
        </w:rPr>
        <w:t>%(</w:t>
      </w:r>
      <w:r>
        <w:rPr>
          <w:rFonts w:hAnsi="宋体"/>
          <w:color w:val="000000"/>
          <w:spacing w:val="-4"/>
          <w:sz w:val="28"/>
          <w:szCs w:val="28"/>
        </w:rPr>
        <w:t>回采率</w:t>
      </w:r>
      <w:r>
        <w:rPr>
          <w:color w:val="000000"/>
          <w:spacing w:val="-4"/>
          <w:sz w:val="28"/>
          <w:szCs w:val="28"/>
        </w:rPr>
        <w:t>)÷</w:t>
      </w:r>
      <w:r>
        <w:rPr>
          <w:rFonts w:hint="eastAsia"/>
          <w:color w:val="000000"/>
          <w:spacing w:val="-4"/>
          <w:sz w:val="28"/>
          <w:szCs w:val="28"/>
        </w:rPr>
        <w:t>5</w:t>
      </w:r>
      <w:r>
        <w:rPr>
          <w:color w:val="000000"/>
          <w:spacing w:val="-4"/>
          <w:sz w:val="28"/>
          <w:szCs w:val="28"/>
        </w:rPr>
        <w:t>0</w:t>
      </w:r>
      <w:r>
        <w:rPr>
          <w:rFonts w:hAnsi="宋体"/>
          <w:color w:val="000000"/>
          <w:spacing w:val="-4"/>
          <w:sz w:val="28"/>
          <w:szCs w:val="28"/>
        </w:rPr>
        <w:t>万吨</w:t>
      </w:r>
      <w:r>
        <w:rPr>
          <w:color w:val="000000"/>
          <w:spacing w:val="-4"/>
          <w:sz w:val="28"/>
          <w:szCs w:val="28"/>
        </w:rPr>
        <w:t>/</w:t>
      </w:r>
      <w:r>
        <w:rPr>
          <w:rFonts w:hAnsi="宋体"/>
          <w:color w:val="000000"/>
          <w:spacing w:val="-4"/>
          <w:sz w:val="28"/>
          <w:szCs w:val="28"/>
        </w:rPr>
        <w:t>年</w:t>
      </w:r>
      <w:r>
        <w:rPr>
          <w:color w:val="000000"/>
          <w:spacing w:val="-4"/>
          <w:sz w:val="28"/>
          <w:szCs w:val="28"/>
        </w:rPr>
        <w:t>≈</w:t>
      </w:r>
      <w:r>
        <w:rPr>
          <w:rFonts w:hint="eastAsia"/>
          <w:color w:val="000000"/>
          <w:spacing w:val="-4"/>
          <w:sz w:val="28"/>
          <w:szCs w:val="28"/>
        </w:rPr>
        <w:t>20</w:t>
      </w:r>
      <w:r>
        <w:rPr>
          <w:rFonts w:hAnsi="宋体"/>
          <w:color w:val="000000"/>
          <w:spacing w:val="-4"/>
          <w:sz w:val="28"/>
          <w:szCs w:val="28"/>
        </w:rPr>
        <w:t>年</w:t>
      </w:r>
      <w:r>
        <w:rPr>
          <w:color w:val="000000"/>
          <w:spacing w:val="-4"/>
          <w:sz w:val="28"/>
          <w:szCs w:val="28"/>
        </w:rPr>
        <w:t>]</w:t>
      </w:r>
      <w:r>
        <w:rPr>
          <w:rFonts w:hAnsi="宋体"/>
          <w:color w:val="000000"/>
          <w:spacing w:val="-4"/>
          <w:sz w:val="28"/>
          <w:szCs w:val="28"/>
        </w:rPr>
        <w:t>。</w:t>
      </w:r>
    </w:p>
    <w:p>
      <w:pPr>
        <w:spacing w:line="0" w:lineRule="atLeast"/>
        <w:jc w:val="center"/>
        <w:rPr>
          <w:b/>
          <w:color w:val="000000"/>
          <w:sz w:val="28"/>
          <w:szCs w:val="28"/>
        </w:rPr>
      </w:pPr>
      <w:r>
        <w:rPr>
          <w:rFonts w:hint="eastAsia"/>
          <w:b/>
          <w:color w:val="000000"/>
          <w:sz w:val="28"/>
          <w:szCs w:val="28"/>
        </w:rPr>
        <w:t>小儿坡页</w:t>
      </w:r>
      <w:r>
        <w:rPr>
          <w:b/>
          <w:color w:val="000000"/>
          <w:sz w:val="28"/>
          <w:szCs w:val="28"/>
        </w:rPr>
        <w:t>岩矿</w:t>
      </w:r>
      <w:r>
        <w:rPr>
          <w:rFonts w:hint="eastAsia"/>
          <w:b/>
          <w:color w:val="000000"/>
          <w:sz w:val="28"/>
          <w:szCs w:val="28"/>
        </w:rPr>
        <w:t>边坡</w:t>
      </w:r>
      <w:r>
        <w:rPr>
          <w:b/>
          <w:color w:val="000000"/>
          <w:sz w:val="28"/>
          <w:szCs w:val="28"/>
        </w:rPr>
        <w:t>资源量估算结果表</w:t>
      </w:r>
    </w:p>
    <w:p>
      <w:pPr>
        <w:spacing w:line="0" w:lineRule="atLeast"/>
        <w:jc w:val="right"/>
        <w:rPr>
          <w:rFonts w:hint="eastAsia" w:eastAsia="仿宋_GB2312"/>
          <w:color w:val="000000"/>
          <w:szCs w:val="21"/>
        </w:rPr>
      </w:pPr>
      <w:r>
        <w:rPr>
          <w:rFonts w:ascii="宋体" w:hAnsi="宋体"/>
          <w:color w:val="000000"/>
          <w:szCs w:val="21"/>
        </w:rPr>
        <w:t>插表</w:t>
      </w:r>
      <w:r>
        <w:rPr>
          <w:rFonts w:hint="eastAsia" w:eastAsia="仿宋_GB2312"/>
          <w:color w:val="000000"/>
          <w:szCs w:val="21"/>
        </w:rPr>
        <w:t>6</w:t>
      </w:r>
    </w:p>
    <w:tbl>
      <w:tblPr>
        <w:tblStyle w:val="1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3"/>
        <w:gridCol w:w="627"/>
        <w:gridCol w:w="1368"/>
        <w:gridCol w:w="827"/>
        <w:gridCol w:w="675"/>
        <w:gridCol w:w="776"/>
        <w:gridCol w:w="885"/>
        <w:gridCol w:w="693"/>
        <w:gridCol w:w="776"/>
        <w:gridCol w:w="827"/>
        <w:gridCol w:w="8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415" w:type="pct"/>
            <w:tcBorders>
              <w:top w:val="single" w:color="auto" w:sz="8" w:space="0"/>
              <w:left w:val="single" w:color="auto" w:sz="8" w:space="0"/>
              <w:bottom w:val="single" w:color="auto" w:sz="4" w:space="0"/>
            </w:tcBorders>
            <w:noWrap w:val="0"/>
            <w:vAlign w:val="center"/>
          </w:tcPr>
          <w:p>
            <w:pPr>
              <w:spacing w:line="0" w:lineRule="atLeast"/>
              <w:jc w:val="center"/>
              <w:rPr>
                <w:w w:val="90"/>
                <w:szCs w:val="21"/>
              </w:rPr>
            </w:pPr>
            <w:r>
              <w:rPr>
                <w:rFonts w:hAnsi="宋体"/>
                <w:w w:val="90"/>
                <w:szCs w:val="21"/>
              </w:rPr>
              <w:t>块段</w:t>
            </w:r>
          </w:p>
          <w:p>
            <w:pPr>
              <w:spacing w:line="0" w:lineRule="atLeast"/>
              <w:jc w:val="center"/>
              <w:rPr>
                <w:w w:val="90"/>
                <w:szCs w:val="21"/>
              </w:rPr>
            </w:pPr>
            <w:r>
              <w:rPr>
                <w:rFonts w:hAnsi="宋体"/>
                <w:w w:val="90"/>
                <w:szCs w:val="21"/>
              </w:rPr>
              <w:t>编号</w:t>
            </w:r>
          </w:p>
        </w:tc>
        <w:tc>
          <w:tcPr>
            <w:tcW w:w="350" w:type="pct"/>
            <w:tcBorders>
              <w:top w:val="single" w:color="auto" w:sz="8" w:space="0"/>
              <w:bottom w:val="single" w:color="auto" w:sz="4" w:space="0"/>
            </w:tcBorders>
            <w:noWrap w:val="0"/>
            <w:vAlign w:val="center"/>
          </w:tcPr>
          <w:p>
            <w:pPr>
              <w:spacing w:line="0" w:lineRule="atLeast"/>
              <w:jc w:val="center"/>
              <w:rPr>
                <w:w w:val="90"/>
                <w:szCs w:val="21"/>
              </w:rPr>
            </w:pPr>
            <w:r>
              <w:rPr>
                <w:rFonts w:hAnsi="宋体"/>
                <w:w w:val="90"/>
                <w:szCs w:val="21"/>
              </w:rPr>
              <w:t>断面</w:t>
            </w:r>
          </w:p>
          <w:p>
            <w:pPr>
              <w:spacing w:line="0" w:lineRule="atLeast"/>
              <w:jc w:val="center"/>
              <w:rPr>
                <w:w w:val="90"/>
                <w:szCs w:val="21"/>
              </w:rPr>
            </w:pPr>
            <w:r>
              <w:rPr>
                <w:rFonts w:hAnsi="宋体"/>
                <w:w w:val="90"/>
                <w:szCs w:val="21"/>
              </w:rPr>
              <w:t>编号</w:t>
            </w:r>
          </w:p>
        </w:tc>
        <w:tc>
          <w:tcPr>
            <w:tcW w:w="761" w:type="pct"/>
            <w:tcBorders>
              <w:top w:val="single" w:color="auto" w:sz="8" w:space="0"/>
              <w:bottom w:val="single" w:color="auto" w:sz="4" w:space="0"/>
            </w:tcBorders>
            <w:noWrap w:val="0"/>
            <w:vAlign w:val="center"/>
          </w:tcPr>
          <w:p>
            <w:pPr>
              <w:spacing w:line="0" w:lineRule="atLeast"/>
              <w:jc w:val="center"/>
              <w:rPr>
                <w:w w:val="90"/>
                <w:szCs w:val="21"/>
              </w:rPr>
            </w:pPr>
            <w:r>
              <w:rPr>
                <w:rFonts w:hAnsi="宋体"/>
                <w:w w:val="90"/>
                <w:szCs w:val="21"/>
              </w:rPr>
              <w:t>断面面积</w:t>
            </w:r>
          </w:p>
          <w:p>
            <w:pPr>
              <w:spacing w:line="0" w:lineRule="atLeast"/>
              <w:jc w:val="center"/>
              <w:rPr>
                <w:w w:val="90"/>
                <w:szCs w:val="21"/>
              </w:rPr>
            </w:pPr>
            <w:r>
              <w:rPr>
                <w:w w:val="90"/>
                <w:szCs w:val="21"/>
              </w:rPr>
              <w:t>(m</w:t>
            </w:r>
            <w:r>
              <w:rPr>
                <w:w w:val="90"/>
                <w:szCs w:val="21"/>
                <w:vertAlign w:val="superscript"/>
              </w:rPr>
              <w:t>2</w:t>
            </w:r>
            <w:r>
              <w:rPr>
                <w:w w:val="90"/>
                <w:szCs w:val="21"/>
              </w:rPr>
              <w:t>)</w:t>
            </w:r>
          </w:p>
        </w:tc>
        <w:tc>
          <w:tcPr>
            <w:tcW w:w="461" w:type="pct"/>
            <w:tcBorders>
              <w:top w:val="single" w:color="auto" w:sz="8" w:space="0"/>
              <w:bottom w:val="single" w:color="auto" w:sz="4" w:space="0"/>
            </w:tcBorders>
            <w:noWrap w:val="0"/>
            <w:vAlign w:val="center"/>
          </w:tcPr>
          <w:p>
            <w:pPr>
              <w:widowControl/>
              <w:jc w:val="left"/>
              <w:rPr>
                <w:w w:val="90"/>
                <w:szCs w:val="21"/>
              </w:rPr>
            </w:pPr>
            <w:r>
              <w:rPr>
                <w:rFonts w:hAnsi="宋体"/>
                <w:w w:val="90"/>
                <w:szCs w:val="21"/>
              </w:rPr>
              <w:t>块段平</w:t>
            </w:r>
          </w:p>
          <w:p>
            <w:pPr>
              <w:spacing w:line="0" w:lineRule="atLeast"/>
              <w:jc w:val="center"/>
              <w:rPr>
                <w:w w:val="90"/>
                <w:szCs w:val="21"/>
              </w:rPr>
            </w:pPr>
            <w:r>
              <w:rPr>
                <w:rFonts w:hAnsi="宋体"/>
                <w:w w:val="90"/>
                <w:szCs w:val="21"/>
              </w:rPr>
              <w:t>均面积</w:t>
            </w:r>
          </w:p>
          <w:p>
            <w:pPr>
              <w:spacing w:line="0" w:lineRule="atLeast"/>
              <w:jc w:val="center"/>
              <w:rPr>
                <w:w w:val="90"/>
                <w:szCs w:val="21"/>
              </w:rPr>
            </w:pPr>
            <w:r>
              <w:rPr>
                <w:w w:val="90"/>
                <w:szCs w:val="21"/>
              </w:rPr>
              <w:t>(m</w:t>
            </w:r>
            <w:r>
              <w:rPr>
                <w:w w:val="90"/>
                <w:szCs w:val="21"/>
                <w:vertAlign w:val="superscript"/>
              </w:rPr>
              <w:t>2</w:t>
            </w:r>
            <w:r>
              <w:rPr>
                <w:w w:val="90"/>
                <w:szCs w:val="21"/>
              </w:rPr>
              <w:t>)</w:t>
            </w:r>
          </w:p>
        </w:tc>
        <w:tc>
          <w:tcPr>
            <w:tcW w:w="377" w:type="pct"/>
            <w:tcBorders>
              <w:top w:val="single" w:color="auto" w:sz="8" w:space="0"/>
              <w:bottom w:val="single" w:color="auto" w:sz="4" w:space="0"/>
            </w:tcBorders>
            <w:noWrap w:val="0"/>
            <w:vAlign w:val="center"/>
          </w:tcPr>
          <w:p>
            <w:pPr>
              <w:spacing w:line="0" w:lineRule="atLeast"/>
              <w:jc w:val="center"/>
              <w:rPr>
                <w:w w:val="90"/>
                <w:szCs w:val="21"/>
              </w:rPr>
            </w:pPr>
            <w:r>
              <w:rPr>
                <w:rFonts w:hAnsi="宋体"/>
                <w:w w:val="90"/>
                <w:szCs w:val="21"/>
              </w:rPr>
              <w:t>断面</w:t>
            </w:r>
          </w:p>
          <w:p>
            <w:pPr>
              <w:spacing w:line="0" w:lineRule="atLeast"/>
              <w:jc w:val="center"/>
              <w:rPr>
                <w:w w:val="90"/>
                <w:szCs w:val="21"/>
              </w:rPr>
            </w:pPr>
            <w:r>
              <w:rPr>
                <w:rFonts w:hAnsi="宋体"/>
                <w:w w:val="90"/>
                <w:szCs w:val="21"/>
              </w:rPr>
              <w:t>距离</w:t>
            </w:r>
          </w:p>
          <w:p>
            <w:pPr>
              <w:spacing w:line="0" w:lineRule="atLeast"/>
              <w:jc w:val="center"/>
              <w:rPr>
                <w:w w:val="90"/>
                <w:szCs w:val="21"/>
              </w:rPr>
            </w:pPr>
            <w:r>
              <w:rPr>
                <w:w w:val="90"/>
                <w:szCs w:val="21"/>
              </w:rPr>
              <w:t>(m)</w:t>
            </w:r>
          </w:p>
        </w:tc>
        <w:tc>
          <w:tcPr>
            <w:tcW w:w="433" w:type="pct"/>
            <w:tcBorders>
              <w:top w:val="single" w:color="auto" w:sz="8" w:space="0"/>
              <w:bottom w:val="single" w:color="auto" w:sz="4" w:space="0"/>
            </w:tcBorders>
            <w:noWrap w:val="0"/>
            <w:vAlign w:val="center"/>
          </w:tcPr>
          <w:p>
            <w:pPr>
              <w:spacing w:line="0" w:lineRule="atLeast"/>
              <w:jc w:val="center"/>
              <w:rPr>
                <w:rFonts w:hint="eastAsia"/>
                <w:w w:val="90"/>
                <w:szCs w:val="21"/>
              </w:rPr>
            </w:pPr>
            <w:r>
              <w:rPr>
                <w:rFonts w:hint="eastAsia" w:hAnsi="宋体"/>
                <w:w w:val="90"/>
                <w:szCs w:val="21"/>
              </w:rPr>
              <w:t>块段</w:t>
            </w:r>
          </w:p>
          <w:p>
            <w:pPr>
              <w:spacing w:line="0" w:lineRule="atLeast"/>
              <w:jc w:val="center"/>
              <w:rPr>
                <w:w w:val="90"/>
                <w:szCs w:val="21"/>
              </w:rPr>
            </w:pPr>
            <w:r>
              <w:rPr>
                <w:rFonts w:hAnsi="宋体"/>
                <w:w w:val="90"/>
                <w:szCs w:val="21"/>
              </w:rPr>
              <w:t>体积</w:t>
            </w:r>
          </w:p>
          <w:p>
            <w:pPr>
              <w:spacing w:line="0" w:lineRule="atLeast"/>
              <w:jc w:val="center"/>
              <w:rPr>
                <w:spacing w:val="-12"/>
                <w:w w:val="90"/>
                <w:szCs w:val="21"/>
              </w:rPr>
            </w:pPr>
            <w:r>
              <w:rPr>
                <w:spacing w:val="-12"/>
                <w:w w:val="90"/>
                <w:szCs w:val="21"/>
              </w:rPr>
              <w:t>(</w:t>
            </w:r>
            <w:r>
              <w:rPr>
                <w:rFonts w:hAnsi="宋体"/>
                <w:spacing w:val="-12"/>
                <w:w w:val="90"/>
                <w:szCs w:val="21"/>
              </w:rPr>
              <w:t>万</w:t>
            </w:r>
            <w:r>
              <w:rPr>
                <w:spacing w:val="-12"/>
                <w:w w:val="90"/>
                <w:szCs w:val="21"/>
              </w:rPr>
              <w:t>m</w:t>
            </w:r>
            <w:r>
              <w:rPr>
                <w:spacing w:val="-12"/>
                <w:w w:val="90"/>
                <w:szCs w:val="21"/>
                <w:vertAlign w:val="superscript"/>
              </w:rPr>
              <w:t>3</w:t>
            </w:r>
            <w:r>
              <w:rPr>
                <w:spacing w:val="-12"/>
                <w:w w:val="90"/>
                <w:szCs w:val="21"/>
              </w:rPr>
              <w:t>)</w:t>
            </w:r>
          </w:p>
        </w:tc>
        <w:tc>
          <w:tcPr>
            <w:tcW w:w="461" w:type="pct"/>
            <w:tcBorders>
              <w:top w:val="single" w:color="auto" w:sz="8" w:space="0"/>
              <w:bottom w:val="single" w:color="auto" w:sz="4" w:space="0"/>
            </w:tcBorders>
            <w:noWrap w:val="0"/>
            <w:vAlign w:val="center"/>
          </w:tcPr>
          <w:p>
            <w:pPr>
              <w:pStyle w:val="15"/>
              <w:spacing w:line="0" w:lineRule="atLeast"/>
              <w:ind w:left="480" w:hanging="480"/>
              <w:rPr>
                <w:rFonts w:eastAsia="宋体"/>
                <w:b w:val="0"/>
                <w:w w:val="90"/>
                <w:sz w:val="21"/>
                <w:szCs w:val="21"/>
              </w:rPr>
            </w:pPr>
            <w:r>
              <w:rPr>
                <w:rFonts w:hAnsi="宋体" w:eastAsia="宋体"/>
                <w:b w:val="0"/>
                <w:w w:val="90"/>
                <w:sz w:val="21"/>
                <w:szCs w:val="21"/>
              </w:rPr>
              <w:t>夹石率</w:t>
            </w:r>
          </w:p>
          <w:p>
            <w:pPr>
              <w:spacing w:line="0" w:lineRule="atLeast"/>
              <w:jc w:val="center"/>
              <w:rPr>
                <w:w w:val="90"/>
                <w:szCs w:val="21"/>
              </w:rPr>
            </w:pPr>
            <w:r>
              <w:rPr>
                <w:w w:val="90"/>
                <w:szCs w:val="21"/>
              </w:rPr>
              <w:t>(%)</w:t>
            </w:r>
          </w:p>
        </w:tc>
        <w:tc>
          <w:tcPr>
            <w:tcW w:w="387" w:type="pct"/>
            <w:tcBorders>
              <w:top w:val="single" w:color="auto" w:sz="8" w:space="0"/>
              <w:bottom w:val="single" w:color="auto" w:sz="4" w:space="0"/>
            </w:tcBorders>
            <w:noWrap w:val="0"/>
            <w:vAlign w:val="center"/>
          </w:tcPr>
          <w:p>
            <w:pPr>
              <w:spacing w:line="0" w:lineRule="atLeast"/>
              <w:jc w:val="center"/>
              <w:rPr>
                <w:w w:val="90"/>
                <w:szCs w:val="21"/>
              </w:rPr>
            </w:pPr>
            <w:r>
              <w:rPr>
                <w:rFonts w:hAnsi="宋体"/>
                <w:w w:val="90"/>
                <w:szCs w:val="21"/>
              </w:rPr>
              <w:t>视密</w:t>
            </w:r>
          </w:p>
          <w:p>
            <w:pPr>
              <w:spacing w:line="0" w:lineRule="atLeast"/>
              <w:jc w:val="center"/>
              <w:rPr>
                <w:w w:val="90"/>
                <w:szCs w:val="21"/>
              </w:rPr>
            </w:pPr>
            <w:r>
              <w:rPr>
                <w:rFonts w:hAnsi="宋体"/>
                <w:w w:val="90"/>
                <w:szCs w:val="21"/>
              </w:rPr>
              <w:t>度</w:t>
            </w:r>
          </w:p>
          <w:p>
            <w:pPr>
              <w:spacing w:line="0" w:lineRule="atLeast"/>
              <w:jc w:val="center"/>
              <w:rPr>
                <w:w w:val="90"/>
                <w:szCs w:val="21"/>
              </w:rPr>
            </w:pPr>
            <w:r>
              <w:rPr>
                <w:w w:val="90"/>
                <w:szCs w:val="21"/>
              </w:rPr>
              <w:t>(t/m</w:t>
            </w:r>
            <w:r>
              <w:rPr>
                <w:w w:val="90"/>
                <w:szCs w:val="21"/>
                <w:vertAlign w:val="superscript"/>
              </w:rPr>
              <w:t>3</w:t>
            </w:r>
            <w:r>
              <w:rPr>
                <w:w w:val="90"/>
                <w:szCs w:val="21"/>
              </w:rPr>
              <w:t>)</w:t>
            </w:r>
          </w:p>
        </w:tc>
        <w:tc>
          <w:tcPr>
            <w:tcW w:w="433" w:type="pct"/>
            <w:tcBorders>
              <w:top w:val="single" w:color="auto" w:sz="8" w:space="0"/>
              <w:bottom w:val="single" w:color="auto" w:sz="4" w:space="0"/>
            </w:tcBorders>
            <w:noWrap w:val="0"/>
            <w:vAlign w:val="center"/>
          </w:tcPr>
          <w:p>
            <w:pPr>
              <w:spacing w:line="0" w:lineRule="atLeast"/>
              <w:jc w:val="center"/>
              <w:rPr>
                <w:rFonts w:hint="eastAsia"/>
                <w:w w:val="90"/>
                <w:szCs w:val="21"/>
              </w:rPr>
            </w:pPr>
            <w:r>
              <w:rPr>
                <w:rFonts w:hint="eastAsia"/>
                <w:w w:val="90"/>
                <w:szCs w:val="21"/>
              </w:rPr>
              <w:t>矿石</w:t>
            </w:r>
          </w:p>
          <w:p>
            <w:pPr>
              <w:spacing w:line="0" w:lineRule="atLeast"/>
              <w:jc w:val="center"/>
              <w:rPr>
                <w:rFonts w:hint="eastAsia"/>
                <w:w w:val="90"/>
                <w:szCs w:val="21"/>
              </w:rPr>
            </w:pPr>
            <w:r>
              <w:rPr>
                <w:rFonts w:hint="eastAsia"/>
                <w:w w:val="90"/>
                <w:szCs w:val="21"/>
              </w:rPr>
              <w:t>体积</w:t>
            </w:r>
          </w:p>
          <w:p>
            <w:pPr>
              <w:spacing w:line="0" w:lineRule="atLeast"/>
              <w:jc w:val="center"/>
              <w:rPr>
                <w:rFonts w:hint="eastAsia"/>
                <w:w w:val="90"/>
                <w:szCs w:val="21"/>
              </w:rPr>
            </w:pPr>
            <w:r>
              <w:rPr>
                <w:spacing w:val="-12"/>
                <w:w w:val="90"/>
                <w:szCs w:val="21"/>
              </w:rPr>
              <w:t>(</w:t>
            </w:r>
            <w:r>
              <w:rPr>
                <w:rFonts w:hAnsi="宋体"/>
                <w:spacing w:val="-12"/>
                <w:w w:val="90"/>
                <w:szCs w:val="21"/>
              </w:rPr>
              <w:t>万</w:t>
            </w:r>
            <w:r>
              <w:rPr>
                <w:spacing w:val="-12"/>
                <w:w w:val="90"/>
                <w:szCs w:val="21"/>
              </w:rPr>
              <w:t>m</w:t>
            </w:r>
            <w:r>
              <w:rPr>
                <w:spacing w:val="-12"/>
                <w:w w:val="90"/>
                <w:szCs w:val="21"/>
                <w:vertAlign w:val="superscript"/>
              </w:rPr>
              <w:t>3</w:t>
            </w:r>
            <w:r>
              <w:rPr>
                <w:spacing w:val="-12"/>
                <w:w w:val="90"/>
                <w:szCs w:val="21"/>
              </w:rPr>
              <w:t>)</w:t>
            </w:r>
          </w:p>
        </w:tc>
        <w:tc>
          <w:tcPr>
            <w:tcW w:w="461" w:type="pct"/>
            <w:tcBorders>
              <w:top w:val="single" w:color="auto" w:sz="8" w:space="0"/>
              <w:bottom w:val="single" w:color="auto" w:sz="4" w:space="0"/>
            </w:tcBorders>
            <w:noWrap w:val="0"/>
            <w:vAlign w:val="center"/>
          </w:tcPr>
          <w:p>
            <w:pPr>
              <w:spacing w:line="0" w:lineRule="atLeast"/>
              <w:jc w:val="center"/>
              <w:rPr>
                <w:w w:val="90"/>
                <w:szCs w:val="21"/>
              </w:rPr>
            </w:pPr>
            <w:r>
              <w:rPr>
                <w:rFonts w:hint="eastAsia" w:hAnsi="宋体"/>
                <w:w w:val="90"/>
                <w:szCs w:val="21"/>
              </w:rPr>
              <w:t>资源</w:t>
            </w:r>
            <w:r>
              <w:rPr>
                <w:rFonts w:hAnsi="宋体"/>
                <w:w w:val="90"/>
                <w:szCs w:val="21"/>
              </w:rPr>
              <w:t>量</w:t>
            </w:r>
          </w:p>
          <w:p>
            <w:pPr>
              <w:spacing w:line="0" w:lineRule="atLeast"/>
              <w:jc w:val="center"/>
              <w:rPr>
                <w:w w:val="90"/>
                <w:szCs w:val="21"/>
              </w:rPr>
            </w:pPr>
            <w:r>
              <w:rPr>
                <w:w w:val="90"/>
                <w:szCs w:val="21"/>
              </w:rPr>
              <w:t>(</w:t>
            </w:r>
            <w:r>
              <w:rPr>
                <w:rFonts w:hAnsi="宋体"/>
                <w:w w:val="90"/>
                <w:szCs w:val="21"/>
              </w:rPr>
              <w:t>万吨</w:t>
            </w:r>
            <w:r>
              <w:rPr>
                <w:w w:val="90"/>
                <w:szCs w:val="21"/>
              </w:rPr>
              <w:t>)</w:t>
            </w:r>
          </w:p>
        </w:tc>
        <w:tc>
          <w:tcPr>
            <w:tcW w:w="461" w:type="pct"/>
            <w:tcBorders>
              <w:top w:val="single" w:color="auto" w:sz="8" w:space="0"/>
              <w:bottom w:val="single" w:color="auto" w:sz="4" w:space="0"/>
              <w:right w:val="single" w:color="auto" w:sz="8" w:space="0"/>
            </w:tcBorders>
            <w:noWrap w:val="0"/>
            <w:vAlign w:val="center"/>
          </w:tcPr>
          <w:p>
            <w:pPr>
              <w:spacing w:line="0" w:lineRule="atLeast"/>
              <w:jc w:val="center"/>
              <w:rPr>
                <w:w w:val="90"/>
                <w:szCs w:val="21"/>
              </w:rPr>
            </w:pPr>
            <w:r>
              <w:rPr>
                <w:rFonts w:hint="eastAsia" w:hAnsi="宋体"/>
                <w:w w:val="90"/>
                <w:szCs w:val="21"/>
              </w:rPr>
              <w:t>资源</w:t>
            </w:r>
            <w:r>
              <w:rPr>
                <w:rFonts w:hAnsi="宋体"/>
                <w:w w:val="90"/>
                <w:szCs w:val="21"/>
              </w:rPr>
              <w:t>量</w:t>
            </w:r>
          </w:p>
          <w:p>
            <w:pPr>
              <w:spacing w:line="0" w:lineRule="atLeast"/>
              <w:jc w:val="center"/>
              <w:rPr>
                <w:w w:val="90"/>
                <w:szCs w:val="21"/>
              </w:rPr>
            </w:pPr>
            <w:r>
              <w:rPr>
                <w:rFonts w:hAnsi="宋体"/>
                <w:w w:val="90"/>
                <w:szCs w:val="21"/>
              </w:rPr>
              <w:t>类别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0" w:hRule="atLeast"/>
          <w:jc w:val="center"/>
        </w:trPr>
        <w:tc>
          <w:tcPr>
            <w:tcW w:w="415" w:type="pct"/>
            <w:vMerge w:val="restart"/>
            <w:tcBorders>
              <w:left w:val="single" w:color="auto" w:sz="8" w:space="0"/>
            </w:tcBorders>
            <w:noWrap w:val="0"/>
            <w:vAlign w:val="center"/>
          </w:tcPr>
          <w:p>
            <w:pPr>
              <w:spacing w:line="400" w:lineRule="exact"/>
              <w:jc w:val="center"/>
              <w:rPr>
                <w:rFonts w:hint="eastAsia"/>
                <w:w w:val="90"/>
                <w:szCs w:val="21"/>
              </w:rPr>
            </w:pPr>
            <w:r>
              <w:rPr>
                <w:rFonts w:hint="eastAsia" w:hAnsi="宋体"/>
                <w:w w:val="90"/>
                <w:szCs w:val="21"/>
              </w:rPr>
              <w:t>边</w:t>
            </w:r>
            <w:r>
              <w:rPr>
                <w:w w:val="90"/>
                <w:szCs w:val="21"/>
              </w:rPr>
              <w:t>1</w:t>
            </w:r>
            <w:r>
              <w:rPr>
                <w:rFonts w:hint="eastAsia"/>
                <w:w w:val="90"/>
                <w:szCs w:val="21"/>
              </w:rPr>
              <w:t>-1</w:t>
            </w:r>
          </w:p>
        </w:tc>
        <w:tc>
          <w:tcPr>
            <w:tcW w:w="350" w:type="pct"/>
            <w:noWrap w:val="0"/>
            <w:vAlign w:val="center"/>
          </w:tcPr>
          <w:p>
            <w:pPr>
              <w:spacing w:line="0" w:lineRule="atLeast"/>
              <w:jc w:val="center"/>
              <w:rPr>
                <w:w w:val="90"/>
                <w:szCs w:val="21"/>
              </w:rPr>
            </w:pPr>
            <w:r>
              <w:rPr>
                <w:w w:val="90"/>
                <w:szCs w:val="21"/>
              </w:rPr>
              <w:t>1-1′</w:t>
            </w:r>
          </w:p>
        </w:tc>
        <w:tc>
          <w:tcPr>
            <w:tcW w:w="761" w:type="pct"/>
            <w:noWrap w:val="0"/>
            <w:vAlign w:val="center"/>
          </w:tcPr>
          <w:p>
            <w:pPr>
              <w:spacing w:line="0" w:lineRule="atLeast"/>
              <w:jc w:val="center"/>
              <w:rPr>
                <w:rFonts w:hint="eastAsia"/>
                <w:w w:val="90"/>
                <w:szCs w:val="21"/>
              </w:rPr>
            </w:pPr>
            <w:r>
              <w:rPr>
                <w:w w:val="90"/>
                <w:szCs w:val="21"/>
              </w:rPr>
              <w:t>S1</w:t>
            </w:r>
            <w:r>
              <w:rPr>
                <w:rFonts w:hint="eastAsia"/>
                <w:w w:val="90"/>
                <w:szCs w:val="21"/>
              </w:rPr>
              <w:t>-1</w:t>
            </w:r>
            <w:r>
              <w:rPr>
                <w:rFonts w:hint="eastAsia" w:hAnsi="宋体"/>
                <w:w w:val="90"/>
                <w:szCs w:val="21"/>
              </w:rPr>
              <w:t>边</w:t>
            </w:r>
            <w:r>
              <w:rPr>
                <w:w w:val="90"/>
                <w:szCs w:val="21"/>
              </w:rPr>
              <w:t>=</w:t>
            </w:r>
            <w:r>
              <w:rPr>
                <w:rFonts w:hint="eastAsia"/>
                <w:w w:val="90"/>
                <w:szCs w:val="21"/>
              </w:rPr>
              <w:t>7524</w:t>
            </w:r>
          </w:p>
        </w:tc>
        <w:tc>
          <w:tcPr>
            <w:tcW w:w="461" w:type="pct"/>
            <w:vMerge w:val="restart"/>
            <w:noWrap w:val="0"/>
            <w:vAlign w:val="center"/>
          </w:tcPr>
          <w:p>
            <w:pPr>
              <w:spacing w:line="0" w:lineRule="atLeast"/>
              <w:jc w:val="center"/>
              <w:rPr>
                <w:rFonts w:hint="eastAsia"/>
                <w:w w:val="90"/>
                <w:szCs w:val="21"/>
              </w:rPr>
            </w:pPr>
            <w:r>
              <w:rPr>
                <w:rFonts w:hint="eastAsia"/>
                <w:w w:val="90"/>
                <w:szCs w:val="21"/>
              </w:rPr>
              <w:t>7463</w:t>
            </w:r>
          </w:p>
        </w:tc>
        <w:tc>
          <w:tcPr>
            <w:tcW w:w="377" w:type="pct"/>
            <w:vMerge w:val="restart"/>
            <w:noWrap w:val="0"/>
            <w:vAlign w:val="center"/>
          </w:tcPr>
          <w:p>
            <w:pPr>
              <w:spacing w:line="0" w:lineRule="atLeast"/>
              <w:jc w:val="center"/>
              <w:rPr>
                <w:rFonts w:hint="eastAsia"/>
                <w:w w:val="90"/>
                <w:szCs w:val="21"/>
              </w:rPr>
            </w:pPr>
            <w:r>
              <w:rPr>
                <w:rFonts w:hint="eastAsia"/>
                <w:w w:val="90"/>
                <w:szCs w:val="21"/>
              </w:rPr>
              <w:t>101.6</w:t>
            </w:r>
          </w:p>
        </w:tc>
        <w:tc>
          <w:tcPr>
            <w:tcW w:w="433" w:type="pct"/>
            <w:vMerge w:val="restart"/>
            <w:noWrap w:val="0"/>
            <w:vAlign w:val="center"/>
          </w:tcPr>
          <w:p>
            <w:pPr>
              <w:spacing w:line="0" w:lineRule="atLeast"/>
              <w:jc w:val="center"/>
              <w:rPr>
                <w:rFonts w:hint="eastAsia"/>
                <w:w w:val="90"/>
                <w:szCs w:val="21"/>
              </w:rPr>
            </w:pPr>
            <w:r>
              <w:rPr>
                <w:rFonts w:hint="eastAsia"/>
                <w:w w:val="90"/>
                <w:szCs w:val="21"/>
              </w:rPr>
              <w:t>75.82</w:t>
            </w:r>
          </w:p>
        </w:tc>
        <w:tc>
          <w:tcPr>
            <w:tcW w:w="461" w:type="pct"/>
            <w:vMerge w:val="restart"/>
            <w:noWrap w:val="0"/>
            <w:vAlign w:val="center"/>
          </w:tcPr>
          <w:p>
            <w:pPr>
              <w:spacing w:line="0" w:lineRule="atLeast"/>
              <w:jc w:val="center"/>
              <w:rPr>
                <w:w w:val="90"/>
                <w:szCs w:val="21"/>
              </w:rPr>
            </w:pPr>
            <w:r>
              <w:rPr>
                <w:rFonts w:hint="eastAsia"/>
                <w:w w:val="90"/>
                <w:szCs w:val="21"/>
              </w:rPr>
              <w:t>2</w:t>
            </w:r>
            <w:r>
              <w:rPr>
                <w:w w:val="90"/>
                <w:szCs w:val="21"/>
              </w:rPr>
              <w:t>5</w:t>
            </w:r>
          </w:p>
        </w:tc>
        <w:tc>
          <w:tcPr>
            <w:tcW w:w="387" w:type="pct"/>
            <w:vMerge w:val="restart"/>
            <w:noWrap w:val="0"/>
            <w:vAlign w:val="center"/>
          </w:tcPr>
          <w:p>
            <w:pPr>
              <w:jc w:val="center"/>
              <w:rPr>
                <w:rFonts w:hint="eastAsia"/>
                <w:w w:val="90"/>
                <w:szCs w:val="21"/>
              </w:rPr>
            </w:pPr>
            <w:r>
              <w:rPr>
                <w:w w:val="90"/>
                <w:szCs w:val="21"/>
              </w:rPr>
              <w:t>2.</w:t>
            </w:r>
            <w:r>
              <w:rPr>
                <w:rFonts w:hint="eastAsia"/>
                <w:w w:val="90"/>
                <w:szCs w:val="21"/>
              </w:rPr>
              <w:t>40</w:t>
            </w:r>
          </w:p>
        </w:tc>
        <w:tc>
          <w:tcPr>
            <w:tcW w:w="433" w:type="pct"/>
            <w:vMerge w:val="restart"/>
            <w:noWrap w:val="0"/>
            <w:vAlign w:val="center"/>
          </w:tcPr>
          <w:p>
            <w:pPr>
              <w:spacing w:line="0" w:lineRule="atLeast"/>
              <w:jc w:val="center"/>
              <w:rPr>
                <w:rFonts w:hint="eastAsia"/>
                <w:w w:val="90"/>
                <w:szCs w:val="21"/>
              </w:rPr>
            </w:pPr>
            <w:r>
              <w:rPr>
                <w:rFonts w:hint="eastAsia"/>
                <w:w w:val="90"/>
                <w:szCs w:val="21"/>
              </w:rPr>
              <w:t>56.87</w:t>
            </w:r>
          </w:p>
        </w:tc>
        <w:tc>
          <w:tcPr>
            <w:tcW w:w="461" w:type="pct"/>
            <w:vMerge w:val="restart"/>
            <w:noWrap w:val="0"/>
            <w:vAlign w:val="center"/>
          </w:tcPr>
          <w:p>
            <w:pPr>
              <w:spacing w:line="0" w:lineRule="atLeast"/>
              <w:jc w:val="center"/>
              <w:rPr>
                <w:rFonts w:hint="eastAsia"/>
                <w:w w:val="90"/>
                <w:szCs w:val="21"/>
              </w:rPr>
            </w:pPr>
            <w:r>
              <w:rPr>
                <w:rFonts w:hint="eastAsia"/>
                <w:w w:val="90"/>
                <w:szCs w:val="21"/>
              </w:rPr>
              <w:t>136.5</w:t>
            </w:r>
          </w:p>
        </w:tc>
        <w:tc>
          <w:tcPr>
            <w:tcW w:w="461" w:type="pct"/>
            <w:vMerge w:val="restart"/>
            <w:tcBorders>
              <w:right w:val="single" w:color="auto" w:sz="8" w:space="0"/>
            </w:tcBorders>
            <w:noWrap w:val="0"/>
            <w:vAlign w:val="center"/>
          </w:tcPr>
          <w:p>
            <w:pPr>
              <w:spacing w:line="0" w:lineRule="atLeast"/>
              <w:jc w:val="center"/>
              <w:rPr>
                <w:rFonts w:hint="eastAsia"/>
                <w:w w:val="90"/>
                <w:szCs w:val="21"/>
              </w:rPr>
            </w:pPr>
            <w:r>
              <w:rPr>
                <w:rFonts w:hint="eastAsia"/>
                <w:w w:val="90"/>
                <w:szCs w:val="21"/>
              </w:rPr>
              <w:t>控制</w:t>
            </w:r>
          </w:p>
          <w:p>
            <w:pPr>
              <w:spacing w:line="0" w:lineRule="atLeast"/>
              <w:jc w:val="center"/>
              <w:rPr>
                <w:rFonts w:hint="eastAsia"/>
                <w:w w:val="90"/>
                <w:szCs w:val="21"/>
              </w:rPr>
            </w:pPr>
            <w:r>
              <w:rPr>
                <w:rFonts w:hint="eastAsia"/>
                <w:w w:val="90"/>
                <w:szCs w:val="21"/>
              </w:rPr>
              <w:t>资源量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0" w:hRule="atLeast"/>
          <w:jc w:val="center"/>
        </w:trPr>
        <w:tc>
          <w:tcPr>
            <w:tcW w:w="415" w:type="pct"/>
            <w:vMerge w:val="continue"/>
            <w:tcBorders>
              <w:left w:val="single" w:color="auto" w:sz="8" w:space="0"/>
            </w:tcBorders>
            <w:noWrap w:val="0"/>
            <w:vAlign w:val="center"/>
          </w:tcPr>
          <w:p>
            <w:pPr>
              <w:spacing w:line="400" w:lineRule="exact"/>
              <w:jc w:val="center"/>
              <w:rPr>
                <w:w w:val="90"/>
                <w:szCs w:val="21"/>
              </w:rPr>
            </w:pPr>
          </w:p>
        </w:tc>
        <w:tc>
          <w:tcPr>
            <w:tcW w:w="350" w:type="pct"/>
            <w:noWrap w:val="0"/>
            <w:vAlign w:val="center"/>
          </w:tcPr>
          <w:p>
            <w:pPr>
              <w:spacing w:line="0" w:lineRule="atLeast"/>
              <w:jc w:val="center"/>
              <w:rPr>
                <w:w w:val="90"/>
                <w:szCs w:val="21"/>
              </w:rPr>
            </w:pPr>
            <w:r>
              <w:rPr>
                <w:w w:val="90"/>
                <w:szCs w:val="21"/>
              </w:rPr>
              <w:t>2-2′</w:t>
            </w:r>
          </w:p>
        </w:tc>
        <w:tc>
          <w:tcPr>
            <w:tcW w:w="761" w:type="pct"/>
            <w:noWrap w:val="0"/>
            <w:vAlign w:val="center"/>
          </w:tcPr>
          <w:p>
            <w:pPr>
              <w:spacing w:line="0" w:lineRule="atLeast"/>
              <w:jc w:val="center"/>
              <w:rPr>
                <w:rFonts w:hint="eastAsia"/>
                <w:w w:val="90"/>
                <w:szCs w:val="21"/>
              </w:rPr>
            </w:pPr>
            <w:r>
              <w:rPr>
                <w:w w:val="90"/>
                <w:szCs w:val="21"/>
              </w:rPr>
              <w:t>S2</w:t>
            </w:r>
            <w:r>
              <w:rPr>
                <w:rFonts w:hint="eastAsia" w:hAnsi="宋体"/>
                <w:w w:val="90"/>
                <w:szCs w:val="21"/>
              </w:rPr>
              <w:t>-1边</w:t>
            </w:r>
            <w:r>
              <w:rPr>
                <w:w w:val="90"/>
                <w:szCs w:val="21"/>
              </w:rPr>
              <w:t>=</w:t>
            </w:r>
            <w:r>
              <w:rPr>
                <w:rFonts w:hint="eastAsia"/>
                <w:w w:val="90"/>
                <w:szCs w:val="21"/>
              </w:rPr>
              <w:t>7402</w:t>
            </w:r>
          </w:p>
        </w:tc>
        <w:tc>
          <w:tcPr>
            <w:tcW w:w="461" w:type="pct"/>
            <w:vMerge w:val="continue"/>
            <w:noWrap w:val="0"/>
            <w:vAlign w:val="center"/>
          </w:tcPr>
          <w:p>
            <w:pPr>
              <w:spacing w:line="0" w:lineRule="atLeast"/>
              <w:jc w:val="center"/>
              <w:rPr>
                <w:w w:val="90"/>
                <w:szCs w:val="21"/>
              </w:rPr>
            </w:pPr>
          </w:p>
        </w:tc>
        <w:tc>
          <w:tcPr>
            <w:tcW w:w="377" w:type="pct"/>
            <w:vMerge w:val="continue"/>
            <w:noWrap w:val="0"/>
            <w:vAlign w:val="center"/>
          </w:tcPr>
          <w:p>
            <w:pPr>
              <w:spacing w:line="0" w:lineRule="atLeast"/>
              <w:jc w:val="center"/>
              <w:rPr>
                <w:w w:val="90"/>
                <w:szCs w:val="21"/>
              </w:rPr>
            </w:pPr>
          </w:p>
        </w:tc>
        <w:tc>
          <w:tcPr>
            <w:tcW w:w="433" w:type="pct"/>
            <w:vMerge w:val="continue"/>
            <w:noWrap w:val="0"/>
            <w:vAlign w:val="center"/>
          </w:tcPr>
          <w:p>
            <w:pPr>
              <w:spacing w:line="0" w:lineRule="atLeast"/>
              <w:jc w:val="center"/>
              <w:rPr>
                <w:w w:val="90"/>
                <w:szCs w:val="21"/>
              </w:rPr>
            </w:pPr>
          </w:p>
        </w:tc>
        <w:tc>
          <w:tcPr>
            <w:tcW w:w="461" w:type="pct"/>
            <w:vMerge w:val="continue"/>
            <w:noWrap w:val="0"/>
            <w:vAlign w:val="center"/>
          </w:tcPr>
          <w:p>
            <w:pPr>
              <w:spacing w:line="0" w:lineRule="atLeast"/>
              <w:jc w:val="center"/>
              <w:rPr>
                <w:w w:val="90"/>
                <w:szCs w:val="21"/>
              </w:rPr>
            </w:pPr>
          </w:p>
        </w:tc>
        <w:tc>
          <w:tcPr>
            <w:tcW w:w="387" w:type="pct"/>
            <w:vMerge w:val="continue"/>
            <w:noWrap w:val="0"/>
            <w:vAlign w:val="center"/>
          </w:tcPr>
          <w:p>
            <w:pPr>
              <w:spacing w:line="0" w:lineRule="atLeast"/>
              <w:jc w:val="center"/>
              <w:rPr>
                <w:w w:val="90"/>
                <w:szCs w:val="21"/>
              </w:rPr>
            </w:pPr>
          </w:p>
        </w:tc>
        <w:tc>
          <w:tcPr>
            <w:tcW w:w="433" w:type="pct"/>
            <w:vMerge w:val="continue"/>
            <w:noWrap w:val="0"/>
            <w:vAlign w:val="center"/>
          </w:tcPr>
          <w:p>
            <w:pPr>
              <w:spacing w:line="0" w:lineRule="atLeast"/>
              <w:jc w:val="center"/>
              <w:rPr>
                <w:w w:val="90"/>
                <w:szCs w:val="21"/>
              </w:rPr>
            </w:pPr>
          </w:p>
        </w:tc>
        <w:tc>
          <w:tcPr>
            <w:tcW w:w="461" w:type="pct"/>
            <w:vMerge w:val="continue"/>
            <w:noWrap w:val="0"/>
            <w:vAlign w:val="center"/>
          </w:tcPr>
          <w:p>
            <w:pPr>
              <w:spacing w:line="0" w:lineRule="atLeast"/>
              <w:jc w:val="center"/>
              <w:rPr>
                <w:w w:val="90"/>
                <w:szCs w:val="21"/>
              </w:rPr>
            </w:pPr>
          </w:p>
        </w:tc>
        <w:tc>
          <w:tcPr>
            <w:tcW w:w="461" w:type="pct"/>
            <w:vMerge w:val="continue"/>
            <w:tcBorders>
              <w:right w:val="single" w:color="auto" w:sz="8" w:space="0"/>
            </w:tcBorders>
            <w:noWrap w:val="0"/>
            <w:vAlign w:val="center"/>
          </w:tcPr>
          <w:p>
            <w:pPr>
              <w:spacing w:line="0" w:lineRule="atLeast"/>
              <w:jc w:val="center"/>
              <w:rPr>
                <w:w w:val="9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0" w:hRule="atLeast"/>
          <w:jc w:val="center"/>
        </w:trPr>
        <w:tc>
          <w:tcPr>
            <w:tcW w:w="415" w:type="pct"/>
            <w:vMerge w:val="restart"/>
            <w:tcBorders>
              <w:left w:val="single" w:color="auto" w:sz="8" w:space="0"/>
            </w:tcBorders>
            <w:noWrap w:val="0"/>
            <w:vAlign w:val="center"/>
          </w:tcPr>
          <w:p>
            <w:pPr>
              <w:spacing w:line="400" w:lineRule="exact"/>
              <w:jc w:val="center"/>
              <w:rPr>
                <w:w w:val="90"/>
                <w:szCs w:val="21"/>
              </w:rPr>
            </w:pPr>
            <w:r>
              <w:rPr>
                <w:rFonts w:hint="eastAsia" w:hAnsi="宋体"/>
                <w:w w:val="90"/>
                <w:szCs w:val="21"/>
              </w:rPr>
              <w:t>边</w:t>
            </w:r>
            <w:r>
              <w:rPr>
                <w:w w:val="90"/>
                <w:szCs w:val="21"/>
              </w:rPr>
              <w:t>1</w:t>
            </w:r>
            <w:r>
              <w:rPr>
                <w:rFonts w:hint="eastAsia"/>
                <w:w w:val="90"/>
                <w:szCs w:val="21"/>
              </w:rPr>
              <w:t>-2</w:t>
            </w:r>
          </w:p>
        </w:tc>
        <w:tc>
          <w:tcPr>
            <w:tcW w:w="350" w:type="pct"/>
            <w:noWrap w:val="0"/>
            <w:vAlign w:val="center"/>
          </w:tcPr>
          <w:p>
            <w:pPr>
              <w:spacing w:line="0" w:lineRule="atLeast"/>
              <w:jc w:val="center"/>
              <w:rPr>
                <w:w w:val="90"/>
                <w:szCs w:val="21"/>
              </w:rPr>
            </w:pPr>
            <w:r>
              <w:rPr>
                <w:w w:val="90"/>
                <w:szCs w:val="21"/>
              </w:rPr>
              <w:t>1-1′</w:t>
            </w:r>
          </w:p>
        </w:tc>
        <w:tc>
          <w:tcPr>
            <w:tcW w:w="761" w:type="pct"/>
            <w:noWrap w:val="0"/>
            <w:vAlign w:val="center"/>
          </w:tcPr>
          <w:p>
            <w:pPr>
              <w:spacing w:line="0" w:lineRule="atLeast"/>
              <w:jc w:val="center"/>
              <w:rPr>
                <w:rFonts w:hint="eastAsia"/>
                <w:w w:val="90"/>
                <w:szCs w:val="21"/>
              </w:rPr>
            </w:pPr>
            <w:r>
              <w:rPr>
                <w:w w:val="90"/>
                <w:szCs w:val="21"/>
              </w:rPr>
              <w:t>S1</w:t>
            </w:r>
            <w:r>
              <w:rPr>
                <w:rFonts w:hint="eastAsia"/>
                <w:w w:val="90"/>
                <w:szCs w:val="21"/>
              </w:rPr>
              <w:t>-2</w:t>
            </w:r>
            <w:r>
              <w:rPr>
                <w:rFonts w:hint="eastAsia" w:hAnsi="宋体"/>
                <w:w w:val="90"/>
                <w:szCs w:val="21"/>
              </w:rPr>
              <w:t>边</w:t>
            </w:r>
            <w:r>
              <w:rPr>
                <w:w w:val="90"/>
                <w:szCs w:val="21"/>
              </w:rPr>
              <w:t>=</w:t>
            </w:r>
            <w:r>
              <w:rPr>
                <w:rFonts w:hint="eastAsia"/>
                <w:w w:val="90"/>
                <w:szCs w:val="21"/>
              </w:rPr>
              <w:t>2341</w:t>
            </w:r>
          </w:p>
        </w:tc>
        <w:tc>
          <w:tcPr>
            <w:tcW w:w="461" w:type="pct"/>
            <w:vMerge w:val="restart"/>
            <w:noWrap w:val="0"/>
            <w:vAlign w:val="center"/>
          </w:tcPr>
          <w:p>
            <w:pPr>
              <w:spacing w:line="0" w:lineRule="atLeast"/>
              <w:jc w:val="center"/>
              <w:rPr>
                <w:rFonts w:hint="eastAsia"/>
                <w:w w:val="90"/>
                <w:szCs w:val="21"/>
              </w:rPr>
            </w:pPr>
            <w:r>
              <w:rPr>
                <w:rFonts w:hint="eastAsia"/>
                <w:w w:val="90"/>
                <w:szCs w:val="21"/>
              </w:rPr>
              <w:t>932</w:t>
            </w:r>
          </w:p>
        </w:tc>
        <w:tc>
          <w:tcPr>
            <w:tcW w:w="377" w:type="pct"/>
            <w:vMerge w:val="restart"/>
            <w:noWrap w:val="0"/>
            <w:vAlign w:val="center"/>
          </w:tcPr>
          <w:p>
            <w:pPr>
              <w:spacing w:line="0" w:lineRule="atLeast"/>
              <w:jc w:val="center"/>
              <w:rPr>
                <w:rFonts w:hint="eastAsia"/>
                <w:w w:val="90"/>
                <w:szCs w:val="21"/>
              </w:rPr>
            </w:pPr>
            <w:r>
              <w:rPr>
                <w:rFonts w:hint="eastAsia"/>
                <w:w w:val="90"/>
                <w:szCs w:val="21"/>
              </w:rPr>
              <w:t>101.6</w:t>
            </w:r>
          </w:p>
        </w:tc>
        <w:tc>
          <w:tcPr>
            <w:tcW w:w="433" w:type="pct"/>
            <w:vMerge w:val="restart"/>
            <w:noWrap w:val="0"/>
            <w:vAlign w:val="center"/>
          </w:tcPr>
          <w:p>
            <w:pPr>
              <w:spacing w:line="0" w:lineRule="atLeast"/>
              <w:jc w:val="center"/>
              <w:rPr>
                <w:rFonts w:hint="eastAsia"/>
                <w:w w:val="90"/>
                <w:szCs w:val="21"/>
              </w:rPr>
            </w:pPr>
            <w:r>
              <w:rPr>
                <w:rFonts w:hint="eastAsia"/>
                <w:w w:val="90"/>
                <w:szCs w:val="21"/>
              </w:rPr>
              <w:t>9.47</w:t>
            </w:r>
          </w:p>
        </w:tc>
        <w:tc>
          <w:tcPr>
            <w:tcW w:w="461" w:type="pct"/>
            <w:vMerge w:val="restart"/>
            <w:noWrap w:val="0"/>
            <w:vAlign w:val="center"/>
          </w:tcPr>
          <w:p>
            <w:pPr>
              <w:spacing w:line="0" w:lineRule="atLeast"/>
              <w:jc w:val="center"/>
              <w:rPr>
                <w:w w:val="90"/>
                <w:szCs w:val="21"/>
              </w:rPr>
            </w:pPr>
            <w:r>
              <w:rPr>
                <w:rFonts w:hint="eastAsia"/>
                <w:w w:val="90"/>
                <w:szCs w:val="21"/>
              </w:rPr>
              <w:t>2</w:t>
            </w:r>
            <w:r>
              <w:rPr>
                <w:w w:val="90"/>
                <w:szCs w:val="21"/>
              </w:rPr>
              <w:t>5</w:t>
            </w:r>
          </w:p>
        </w:tc>
        <w:tc>
          <w:tcPr>
            <w:tcW w:w="387" w:type="pct"/>
            <w:vMerge w:val="restart"/>
            <w:noWrap w:val="0"/>
            <w:vAlign w:val="center"/>
          </w:tcPr>
          <w:p>
            <w:pPr>
              <w:jc w:val="center"/>
              <w:rPr>
                <w:rFonts w:hint="eastAsia"/>
                <w:w w:val="90"/>
                <w:szCs w:val="21"/>
              </w:rPr>
            </w:pPr>
            <w:r>
              <w:rPr>
                <w:w w:val="90"/>
                <w:szCs w:val="21"/>
              </w:rPr>
              <w:t>2.</w:t>
            </w:r>
            <w:r>
              <w:rPr>
                <w:rFonts w:hint="eastAsia"/>
                <w:w w:val="90"/>
                <w:szCs w:val="21"/>
              </w:rPr>
              <w:t>40</w:t>
            </w:r>
          </w:p>
        </w:tc>
        <w:tc>
          <w:tcPr>
            <w:tcW w:w="433" w:type="pct"/>
            <w:vMerge w:val="restart"/>
            <w:noWrap w:val="0"/>
            <w:vAlign w:val="center"/>
          </w:tcPr>
          <w:p>
            <w:pPr>
              <w:spacing w:line="0" w:lineRule="atLeast"/>
              <w:jc w:val="center"/>
              <w:rPr>
                <w:rFonts w:hint="eastAsia"/>
                <w:w w:val="90"/>
                <w:szCs w:val="21"/>
              </w:rPr>
            </w:pPr>
            <w:r>
              <w:rPr>
                <w:rFonts w:hint="eastAsia"/>
                <w:w w:val="90"/>
                <w:szCs w:val="21"/>
              </w:rPr>
              <w:t>7.10</w:t>
            </w:r>
          </w:p>
        </w:tc>
        <w:tc>
          <w:tcPr>
            <w:tcW w:w="461" w:type="pct"/>
            <w:vMerge w:val="restart"/>
            <w:noWrap w:val="0"/>
            <w:vAlign w:val="center"/>
          </w:tcPr>
          <w:p>
            <w:pPr>
              <w:spacing w:line="0" w:lineRule="atLeast"/>
              <w:jc w:val="center"/>
              <w:rPr>
                <w:rFonts w:hint="eastAsia"/>
                <w:w w:val="90"/>
                <w:szCs w:val="21"/>
              </w:rPr>
            </w:pPr>
            <w:r>
              <w:rPr>
                <w:rFonts w:hint="eastAsia"/>
                <w:w w:val="90"/>
                <w:szCs w:val="21"/>
              </w:rPr>
              <w:t>17.0</w:t>
            </w:r>
          </w:p>
        </w:tc>
        <w:tc>
          <w:tcPr>
            <w:tcW w:w="461" w:type="pct"/>
            <w:vMerge w:val="continue"/>
            <w:tcBorders>
              <w:right w:val="single" w:color="auto" w:sz="8" w:space="0"/>
            </w:tcBorders>
            <w:noWrap w:val="0"/>
            <w:vAlign w:val="center"/>
          </w:tcPr>
          <w:p>
            <w:pPr>
              <w:spacing w:line="0" w:lineRule="atLeast"/>
              <w:jc w:val="center"/>
              <w:rPr>
                <w:w w:val="9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0" w:hRule="atLeast"/>
          <w:jc w:val="center"/>
        </w:trPr>
        <w:tc>
          <w:tcPr>
            <w:tcW w:w="415" w:type="pct"/>
            <w:vMerge w:val="continue"/>
            <w:tcBorders>
              <w:left w:val="single" w:color="auto" w:sz="8" w:space="0"/>
            </w:tcBorders>
            <w:noWrap w:val="0"/>
            <w:vAlign w:val="center"/>
          </w:tcPr>
          <w:p>
            <w:pPr>
              <w:spacing w:line="400" w:lineRule="exact"/>
              <w:jc w:val="center"/>
              <w:rPr>
                <w:w w:val="90"/>
                <w:szCs w:val="21"/>
              </w:rPr>
            </w:pPr>
          </w:p>
        </w:tc>
        <w:tc>
          <w:tcPr>
            <w:tcW w:w="350" w:type="pct"/>
            <w:noWrap w:val="0"/>
            <w:vAlign w:val="center"/>
          </w:tcPr>
          <w:p>
            <w:pPr>
              <w:spacing w:line="0" w:lineRule="atLeast"/>
              <w:jc w:val="center"/>
              <w:rPr>
                <w:w w:val="90"/>
                <w:szCs w:val="21"/>
              </w:rPr>
            </w:pPr>
            <w:r>
              <w:rPr>
                <w:w w:val="90"/>
                <w:szCs w:val="21"/>
              </w:rPr>
              <w:t>2-2′</w:t>
            </w:r>
          </w:p>
        </w:tc>
        <w:tc>
          <w:tcPr>
            <w:tcW w:w="761" w:type="pct"/>
            <w:noWrap w:val="0"/>
            <w:vAlign w:val="center"/>
          </w:tcPr>
          <w:p>
            <w:pPr>
              <w:spacing w:line="0" w:lineRule="atLeast"/>
              <w:jc w:val="center"/>
              <w:rPr>
                <w:rFonts w:hint="eastAsia"/>
                <w:w w:val="90"/>
                <w:szCs w:val="21"/>
              </w:rPr>
            </w:pPr>
            <w:r>
              <w:rPr>
                <w:w w:val="90"/>
                <w:szCs w:val="21"/>
              </w:rPr>
              <w:t>S2</w:t>
            </w:r>
            <w:r>
              <w:rPr>
                <w:rFonts w:hint="eastAsia" w:hAnsi="宋体"/>
                <w:w w:val="90"/>
                <w:szCs w:val="21"/>
              </w:rPr>
              <w:t>-2边</w:t>
            </w:r>
            <w:r>
              <w:rPr>
                <w:w w:val="90"/>
                <w:szCs w:val="21"/>
              </w:rPr>
              <w:t>=</w:t>
            </w:r>
            <w:r>
              <w:rPr>
                <w:rFonts w:hint="eastAsia"/>
                <w:w w:val="90"/>
                <w:szCs w:val="21"/>
              </w:rPr>
              <w:t>65</w:t>
            </w:r>
          </w:p>
        </w:tc>
        <w:tc>
          <w:tcPr>
            <w:tcW w:w="461" w:type="pct"/>
            <w:vMerge w:val="continue"/>
            <w:noWrap w:val="0"/>
            <w:vAlign w:val="center"/>
          </w:tcPr>
          <w:p>
            <w:pPr>
              <w:spacing w:line="0" w:lineRule="atLeast"/>
              <w:jc w:val="center"/>
              <w:rPr>
                <w:w w:val="90"/>
                <w:szCs w:val="21"/>
              </w:rPr>
            </w:pPr>
          </w:p>
        </w:tc>
        <w:tc>
          <w:tcPr>
            <w:tcW w:w="377" w:type="pct"/>
            <w:vMerge w:val="continue"/>
            <w:noWrap w:val="0"/>
            <w:vAlign w:val="center"/>
          </w:tcPr>
          <w:p>
            <w:pPr>
              <w:spacing w:line="0" w:lineRule="atLeast"/>
              <w:jc w:val="center"/>
              <w:rPr>
                <w:w w:val="90"/>
                <w:szCs w:val="21"/>
              </w:rPr>
            </w:pPr>
          </w:p>
        </w:tc>
        <w:tc>
          <w:tcPr>
            <w:tcW w:w="433" w:type="pct"/>
            <w:vMerge w:val="continue"/>
            <w:noWrap w:val="0"/>
            <w:vAlign w:val="center"/>
          </w:tcPr>
          <w:p>
            <w:pPr>
              <w:spacing w:line="0" w:lineRule="atLeast"/>
              <w:jc w:val="center"/>
              <w:rPr>
                <w:w w:val="90"/>
                <w:szCs w:val="21"/>
              </w:rPr>
            </w:pPr>
          </w:p>
        </w:tc>
        <w:tc>
          <w:tcPr>
            <w:tcW w:w="461" w:type="pct"/>
            <w:vMerge w:val="continue"/>
            <w:noWrap w:val="0"/>
            <w:vAlign w:val="center"/>
          </w:tcPr>
          <w:p>
            <w:pPr>
              <w:spacing w:line="0" w:lineRule="atLeast"/>
              <w:jc w:val="center"/>
              <w:rPr>
                <w:w w:val="90"/>
                <w:szCs w:val="21"/>
              </w:rPr>
            </w:pPr>
          </w:p>
        </w:tc>
        <w:tc>
          <w:tcPr>
            <w:tcW w:w="387" w:type="pct"/>
            <w:vMerge w:val="continue"/>
            <w:noWrap w:val="0"/>
            <w:vAlign w:val="center"/>
          </w:tcPr>
          <w:p>
            <w:pPr>
              <w:spacing w:line="0" w:lineRule="atLeast"/>
              <w:jc w:val="center"/>
              <w:rPr>
                <w:w w:val="90"/>
                <w:szCs w:val="21"/>
              </w:rPr>
            </w:pPr>
          </w:p>
        </w:tc>
        <w:tc>
          <w:tcPr>
            <w:tcW w:w="433" w:type="pct"/>
            <w:vMerge w:val="continue"/>
            <w:noWrap w:val="0"/>
            <w:vAlign w:val="center"/>
          </w:tcPr>
          <w:p>
            <w:pPr>
              <w:spacing w:line="0" w:lineRule="atLeast"/>
              <w:jc w:val="center"/>
              <w:rPr>
                <w:w w:val="90"/>
                <w:szCs w:val="21"/>
              </w:rPr>
            </w:pPr>
          </w:p>
        </w:tc>
        <w:tc>
          <w:tcPr>
            <w:tcW w:w="461" w:type="pct"/>
            <w:vMerge w:val="continue"/>
            <w:noWrap w:val="0"/>
            <w:vAlign w:val="center"/>
          </w:tcPr>
          <w:p>
            <w:pPr>
              <w:spacing w:line="0" w:lineRule="atLeast"/>
              <w:jc w:val="center"/>
              <w:rPr>
                <w:w w:val="90"/>
                <w:szCs w:val="21"/>
              </w:rPr>
            </w:pPr>
          </w:p>
        </w:tc>
        <w:tc>
          <w:tcPr>
            <w:tcW w:w="461" w:type="pct"/>
            <w:vMerge w:val="continue"/>
            <w:tcBorders>
              <w:right w:val="single" w:color="auto" w:sz="8" w:space="0"/>
            </w:tcBorders>
            <w:noWrap w:val="0"/>
            <w:vAlign w:val="center"/>
          </w:tcPr>
          <w:p>
            <w:pPr>
              <w:spacing w:line="0" w:lineRule="atLeast"/>
              <w:jc w:val="center"/>
              <w:rPr>
                <w:w w:val="9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5" w:hRule="atLeast"/>
          <w:jc w:val="center"/>
        </w:trPr>
        <w:tc>
          <w:tcPr>
            <w:tcW w:w="415" w:type="pct"/>
            <w:vMerge w:val="restart"/>
            <w:tcBorders>
              <w:left w:val="single" w:color="auto" w:sz="8" w:space="0"/>
            </w:tcBorders>
            <w:noWrap w:val="0"/>
            <w:vAlign w:val="center"/>
          </w:tcPr>
          <w:p>
            <w:pPr>
              <w:spacing w:line="400" w:lineRule="exact"/>
              <w:jc w:val="center"/>
              <w:rPr>
                <w:rFonts w:hint="eastAsia"/>
                <w:w w:val="90"/>
                <w:szCs w:val="21"/>
              </w:rPr>
            </w:pPr>
            <w:r>
              <w:rPr>
                <w:rFonts w:hint="eastAsia" w:hAnsi="宋体"/>
                <w:w w:val="90"/>
                <w:szCs w:val="21"/>
              </w:rPr>
              <w:t>边</w:t>
            </w:r>
            <w:r>
              <w:rPr>
                <w:rFonts w:hint="eastAsia"/>
                <w:w w:val="90"/>
                <w:szCs w:val="21"/>
              </w:rPr>
              <w:t>2-1</w:t>
            </w:r>
          </w:p>
        </w:tc>
        <w:tc>
          <w:tcPr>
            <w:tcW w:w="350" w:type="pct"/>
            <w:noWrap w:val="0"/>
            <w:vAlign w:val="center"/>
          </w:tcPr>
          <w:p>
            <w:pPr>
              <w:spacing w:line="0" w:lineRule="atLeast"/>
              <w:jc w:val="center"/>
              <w:rPr>
                <w:w w:val="90"/>
                <w:szCs w:val="21"/>
              </w:rPr>
            </w:pPr>
            <w:r>
              <w:rPr>
                <w:w w:val="90"/>
                <w:szCs w:val="21"/>
              </w:rPr>
              <w:t>2-2′</w:t>
            </w:r>
          </w:p>
        </w:tc>
        <w:tc>
          <w:tcPr>
            <w:tcW w:w="761" w:type="pct"/>
            <w:noWrap w:val="0"/>
            <w:vAlign w:val="center"/>
          </w:tcPr>
          <w:p>
            <w:pPr>
              <w:spacing w:line="0" w:lineRule="atLeast"/>
              <w:jc w:val="center"/>
              <w:rPr>
                <w:rFonts w:hint="eastAsia"/>
                <w:spacing w:val="-20"/>
                <w:w w:val="90"/>
                <w:szCs w:val="21"/>
              </w:rPr>
            </w:pPr>
            <w:r>
              <w:rPr>
                <w:spacing w:val="-20"/>
                <w:w w:val="90"/>
                <w:szCs w:val="21"/>
              </w:rPr>
              <w:t>S2</w:t>
            </w:r>
            <w:r>
              <w:rPr>
                <w:rFonts w:hint="eastAsia"/>
                <w:spacing w:val="-20"/>
                <w:w w:val="90"/>
                <w:szCs w:val="21"/>
              </w:rPr>
              <w:t>′-1边</w:t>
            </w:r>
            <w:r>
              <w:rPr>
                <w:spacing w:val="-20"/>
                <w:w w:val="90"/>
                <w:szCs w:val="21"/>
              </w:rPr>
              <w:t>=</w:t>
            </w:r>
            <w:r>
              <w:rPr>
                <w:rFonts w:hint="eastAsia"/>
                <w:spacing w:val="-20"/>
                <w:w w:val="90"/>
                <w:szCs w:val="21"/>
              </w:rPr>
              <w:t>7402</w:t>
            </w:r>
          </w:p>
        </w:tc>
        <w:tc>
          <w:tcPr>
            <w:tcW w:w="461" w:type="pct"/>
            <w:vMerge w:val="restart"/>
            <w:noWrap w:val="0"/>
            <w:vAlign w:val="center"/>
          </w:tcPr>
          <w:p>
            <w:pPr>
              <w:spacing w:line="0" w:lineRule="atLeast"/>
              <w:jc w:val="center"/>
              <w:rPr>
                <w:rFonts w:hint="eastAsia"/>
                <w:w w:val="90"/>
                <w:szCs w:val="21"/>
              </w:rPr>
            </w:pPr>
            <w:r>
              <w:rPr>
                <w:rFonts w:hint="eastAsia"/>
                <w:w w:val="90"/>
                <w:szCs w:val="21"/>
              </w:rPr>
              <w:t>7585</w:t>
            </w:r>
          </w:p>
        </w:tc>
        <w:tc>
          <w:tcPr>
            <w:tcW w:w="377" w:type="pct"/>
            <w:vMerge w:val="restart"/>
            <w:noWrap w:val="0"/>
            <w:vAlign w:val="center"/>
          </w:tcPr>
          <w:p>
            <w:pPr>
              <w:spacing w:line="0" w:lineRule="atLeast"/>
              <w:jc w:val="center"/>
              <w:rPr>
                <w:rFonts w:hint="eastAsia"/>
                <w:w w:val="90"/>
                <w:szCs w:val="21"/>
              </w:rPr>
            </w:pPr>
            <w:r>
              <w:rPr>
                <w:rFonts w:hint="eastAsia"/>
                <w:w w:val="90"/>
                <w:szCs w:val="21"/>
              </w:rPr>
              <w:t>66.7</w:t>
            </w:r>
          </w:p>
        </w:tc>
        <w:tc>
          <w:tcPr>
            <w:tcW w:w="433" w:type="pct"/>
            <w:vMerge w:val="restart"/>
            <w:noWrap w:val="0"/>
            <w:vAlign w:val="center"/>
          </w:tcPr>
          <w:p>
            <w:pPr>
              <w:spacing w:line="0" w:lineRule="atLeast"/>
              <w:jc w:val="center"/>
              <w:rPr>
                <w:rFonts w:hint="eastAsia"/>
                <w:w w:val="90"/>
                <w:szCs w:val="21"/>
              </w:rPr>
            </w:pPr>
            <w:r>
              <w:rPr>
                <w:rFonts w:hint="eastAsia"/>
                <w:w w:val="90"/>
                <w:szCs w:val="21"/>
              </w:rPr>
              <w:t>50.59</w:t>
            </w:r>
          </w:p>
        </w:tc>
        <w:tc>
          <w:tcPr>
            <w:tcW w:w="461" w:type="pct"/>
            <w:vMerge w:val="restart"/>
            <w:noWrap w:val="0"/>
            <w:vAlign w:val="center"/>
          </w:tcPr>
          <w:p>
            <w:pPr>
              <w:spacing w:line="0" w:lineRule="atLeast"/>
              <w:jc w:val="center"/>
              <w:rPr>
                <w:w w:val="90"/>
                <w:szCs w:val="21"/>
              </w:rPr>
            </w:pPr>
            <w:r>
              <w:rPr>
                <w:rFonts w:hint="eastAsia"/>
                <w:w w:val="90"/>
                <w:szCs w:val="21"/>
              </w:rPr>
              <w:t>2</w:t>
            </w:r>
            <w:r>
              <w:rPr>
                <w:w w:val="90"/>
                <w:szCs w:val="21"/>
              </w:rPr>
              <w:t>5</w:t>
            </w:r>
          </w:p>
        </w:tc>
        <w:tc>
          <w:tcPr>
            <w:tcW w:w="387" w:type="pct"/>
            <w:vMerge w:val="restart"/>
            <w:noWrap w:val="0"/>
            <w:vAlign w:val="center"/>
          </w:tcPr>
          <w:p>
            <w:pPr>
              <w:jc w:val="center"/>
              <w:rPr>
                <w:rFonts w:hint="eastAsia"/>
                <w:w w:val="90"/>
                <w:szCs w:val="21"/>
              </w:rPr>
            </w:pPr>
            <w:r>
              <w:rPr>
                <w:w w:val="90"/>
                <w:szCs w:val="21"/>
              </w:rPr>
              <w:t>2.</w:t>
            </w:r>
            <w:r>
              <w:rPr>
                <w:rFonts w:hint="eastAsia"/>
                <w:w w:val="90"/>
                <w:szCs w:val="21"/>
              </w:rPr>
              <w:t>40</w:t>
            </w:r>
          </w:p>
        </w:tc>
        <w:tc>
          <w:tcPr>
            <w:tcW w:w="433" w:type="pct"/>
            <w:vMerge w:val="restart"/>
            <w:noWrap w:val="0"/>
            <w:vAlign w:val="center"/>
          </w:tcPr>
          <w:p>
            <w:pPr>
              <w:spacing w:line="0" w:lineRule="atLeast"/>
              <w:jc w:val="center"/>
              <w:rPr>
                <w:rFonts w:hint="eastAsia"/>
                <w:w w:val="90"/>
                <w:szCs w:val="21"/>
              </w:rPr>
            </w:pPr>
            <w:r>
              <w:rPr>
                <w:rFonts w:hint="eastAsia"/>
                <w:w w:val="90"/>
                <w:szCs w:val="21"/>
              </w:rPr>
              <w:t>37.94</w:t>
            </w:r>
          </w:p>
        </w:tc>
        <w:tc>
          <w:tcPr>
            <w:tcW w:w="461" w:type="pct"/>
            <w:vMerge w:val="restart"/>
            <w:noWrap w:val="0"/>
            <w:vAlign w:val="center"/>
          </w:tcPr>
          <w:p>
            <w:pPr>
              <w:spacing w:line="0" w:lineRule="atLeast"/>
              <w:jc w:val="center"/>
              <w:rPr>
                <w:rFonts w:hint="eastAsia"/>
                <w:w w:val="90"/>
                <w:szCs w:val="21"/>
              </w:rPr>
            </w:pPr>
            <w:r>
              <w:rPr>
                <w:rFonts w:hint="eastAsia"/>
                <w:w w:val="90"/>
                <w:szCs w:val="21"/>
              </w:rPr>
              <w:t>91.1</w:t>
            </w:r>
          </w:p>
        </w:tc>
        <w:tc>
          <w:tcPr>
            <w:tcW w:w="461" w:type="pct"/>
            <w:vMerge w:val="continue"/>
            <w:tcBorders>
              <w:right w:val="single" w:color="auto" w:sz="8" w:space="0"/>
            </w:tcBorders>
            <w:noWrap w:val="0"/>
            <w:vAlign w:val="center"/>
          </w:tcPr>
          <w:p>
            <w:pPr>
              <w:spacing w:line="0" w:lineRule="atLeast"/>
              <w:jc w:val="center"/>
              <w:rPr>
                <w:rFonts w:hint="eastAsia"/>
                <w:w w:val="9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5" w:hRule="atLeast"/>
          <w:jc w:val="center"/>
        </w:trPr>
        <w:tc>
          <w:tcPr>
            <w:tcW w:w="415" w:type="pct"/>
            <w:vMerge w:val="continue"/>
            <w:tcBorders>
              <w:left w:val="single" w:color="auto" w:sz="8" w:space="0"/>
            </w:tcBorders>
            <w:noWrap w:val="0"/>
            <w:vAlign w:val="center"/>
          </w:tcPr>
          <w:p>
            <w:pPr>
              <w:spacing w:line="400" w:lineRule="exact"/>
              <w:jc w:val="center"/>
              <w:rPr>
                <w:w w:val="90"/>
                <w:szCs w:val="21"/>
              </w:rPr>
            </w:pPr>
          </w:p>
        </w:tc>
        <w:tc>
          <w:tcPr>
            <w:tcW w:w="350" w:type="pct"/>
            <w:noWrap w:val="0"/>
            <w:vAlign w:val="center"/>
          </w:tcPr>
          <w:p>
            <w:pPr>
              <w:spacing w:line="0" w:lineRule="atLeast"/>
              <w:jc w:val="center"/>
              <w:rPr>
                <w:w w:val="90"/>
                <w:szCs w:val="21"/>
              </w:rPr>
            </w:pPr>
            <w:r>
              <w:rPr>
                <w:w w:val="90"/>
                <w:szCs w:val="21"/>
              </w:rPr>
              <w:t>3-3′</w:t>
            </w:r>
          </w:p>
        </w:tc>
        <w:tc>
          <w:tcPr>
            <w:tcW w:w="761" w:type="pct"/>
            <w:noWrap w:val="0"/>
            <w:vAlign w:val="center"/>
          </w:tcPr>
          <w:p>
            <w:pPr>
              <w:spacing w:line="0" w:lineRule="atLeast"/>
              <w:jc w:val="center"/>
              <w:rPr>
                <w:rFonts w:hint="eastAsia"/>
                <w:w w:val="90"/>
                <w:szCs w:val="21"/>
              </w:rPr>
            </w:pPr>
            <w:r>
              <w:rPr>
                <w:w w:val="90"/>
                <w:szCs w:val="21"/>
              </w:rPr>
              <w:t>S3</w:t>
            </w:r>
            <w:r>
              <w:rPr>
                <w:rFonts w:hint="eastAsia" w:hAnsi="宋体"/>
                <w:w w:val="90"/>
                <w:szCs w:val="21"/>
              </w:rPr>
              <w:t>-1边</w:t>
            </w:r>
            <w:r>
              <w:rPr>
                <w:w w:val="90"/>
                <w:szCs w:val="21"/>
              </w:rPr>
              <w:t>=</w:t>
            </w:r>
            <w:r>
              <w:rPr>
                <w:rFonts w:hint="eastAsia"/>
                <w:w w:val="90"/>
                <w:szCs w:val="21"/>
              </w:rPr>
              <w:t>7767</w:t>
            </w:r>
          </w:p>
        </w:tc>
        <w:tc>
          <w:tcPr>
            <w:tcW w:w="461" w:type="pct"/>
            <w:vMerge w:val="continue"/>
            <w:noWrap w:val="0"/>
            <w:vAlign w:val="center"/>
          </w:tcPr>
          <w:p>
            <w:pPr>
              <w:spacing w:line="0" w:lineRule="atLeast"/>
              <w:jc w:val="center"/>
              <w:rPr>
                <w:w w:val="90"/>
                <w:szCs w:val="21"/>
              </w:rPr>
            </w:pPr>
          </w:p>
        </w:tc>
        <w:tc>
          <w:tcPr>
            <w:tcW w:w="377" w:type="pct"/>
            <w:vMerge w:val="continue"/>
            <w:noWrap w:val="0"/>
            <w:vAlign w:val="center"/>
          </w:tcPr>
          <w:p>
            <w:pPr>
              <w:spacing w:line="0" w:lineRule="atLeast"/>
              <w:jc w:val="center"/>
              <w:rPr>
                <w:w w:val="90"/>
                <w:szCs w:val="21"/>
              </w:rPr>
            </w:pPr>
          </w:p>
        </w:tc>
        <w:tc>
          <w:tcPr>
            <w:tcW w:w="433" w:type="pct"/>
            <w:vMerge w:val="continue"/>
            <w:noWrap w:val="0"/>
            <w:vAlign w:val="center"/>
          </w:tcPr>
          <w:p>
            <w:pPr>
              <w:spacing w:line="0" w:lineRule="atLeast"/>
              <w:jc w:val="center"/>
              <w:rPr>
                <w:w w:val="90"/>
                <w:szCs w:val="21"/>
              </w:rPr>
            </w:pPr>
          </w:p>
        </w:tc>
        <w:tc>
          <w:tcPr>
            <w:tcW w:w="461" w:type="pct"/>
            <w:vMerge w:val="continue"/>
            <w:noWrap w:val="0"/>
            <w:vAlign w:val="center"/>
          </w:tcPr>
          <w:p>
            <w:pPr>
              <w:spacing w:line="0" w:lineRule="atLeast"/>
              <w:jc w:val="center"/>
              <w:rPr>
                <w:w w:val="90"/>
                <w:szCs w:val="21"/>
              </w:rPr>
            </w:pPr>
          </w:p>
        </w:tc>
        <w:tc>
          <w:tcPr>
            <w:tcW w:w="387" w:type="pct"/>
            <w:vMerge w:val="continue"/>
            <w:noWrap w:val="0"/>
            <w:vAlign w:val="center"/>
          </w:tcPr>
          <w:p>
            <w:pPr>
              <w:spacing w:line="0" w:lineRule="atLeast"/>
              <w:jc w:val="center"/>
              <w:rPr>
                <w:w w:val="90"/>
                <w:szCs w:val="21"/>
              </w:rPr>
            </w:pPr>
          </w:p>
        </w:tc>
        <w:tc>
          <w:tcPr>
            <w:tcW w:w="433" w:type="pct"/>
            <w:vMerge w:val="continue"/>
            <w:noWrap w:val="0"/>
            <w:vAlign w:val="center"/>
          </w:tcPr>
          <w:p>
            <w:pPr>
              <w:spacing w:line="0" w:lineRule="atLeast"/>
              <w:jc w:val="center"/>
              <w:rPr>
                <w:w w:val="90"/>
                <w:szCs w:val="21"/>
              </w:rPr>
            </w:pPr>
          </w:p>
        </w:tc>
        <w:tc>
          <w:tcPr>
            <w:tcW w:w="461" w:type="pct"/>
            <w:vMerge w:val="continue"/>
            <w:noWrap w:val="0"/>
            <w:vAlign w:val="center"/>
          </w:tcPr>
          <w:p>
            <w:pPr>
              <w:spacing w:line="0" w:lineRule="atLeast"/>
              <w:jc w:val="center"/>
              <w:rPr>
                <w:w w:val="90"/>
                <w:szCs w:val="21"/>
              </w:rPr>
            </w:pPr>
          </w:p>
        </w:tc>
        <w:tc>
          <w:tcPr>
            <w:tcW w:w="461" w:type="pct"/>
            <w:vMerge w:val="continue"/>
            <w:tcBorders>
              <w:right w:val="single" w:color="auto" w:sz="8" w:space="0"/>
            </w:tcBorders>
            <w:noWrap w:val="0"/>
            <w:vAlign w:val="center"/>
          </w:tcPr>
          <w:p>
            <w:pPr>
              <w:spacing w:line="0" w:lineRule="atLeast"/>
              <w:jc w:val="center"/>
              <w:rPr>
                <w:w w:val="9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5" w:hRule="atLeast"/>
          <w:jc w:val="center"/>
        </w:trPr>
        <w:tc>
          <w:tcPr>
            <w:tcW w:w="415" w:type="pct"/>
            <w:vMerge w:val="restart"/>
            <w:tcBorders>
              <w:left w:val="single" w:color="auto" w:sz="8" w:space="0"/>
            </w:tcBorders>
            <w:noWrap w:val="0"/>
            <w:vAlign w:val="center"/>
          </w:tcPr>
          <w:p>
            <w:pPr>
              <w:spacing w:line="400" w:lineRule="exact"/>
              <w:jc w:val="center"/>
              <w:rPr>
                <w:rFonts w:hint="eastAsia"/>
                <w:w w:val="90"/>
                <w:szCs w:val="21"/>
              </w:rPr>
            </w:pPr>
            <w:r>
              <w:rPr>
                <w:rFonts w:hint="eastAsia" w:hAnsi="宋体"/>
                <w:w w:val="90"/>
                <w:szCs w:val="21"/>
              </w:rPr>
              <w:t>边</w:t>
            </w:r>
            <w:r>
              <w:rPr>
                <w:rFonts w:hint="eastAsia"/>
                <w:w w:val="90"/>
                <w:szCs w:val="21"/>
              </w:rPr>
              <w:t>2-2</w:t>
            </w:r>
          </w:p>
        </w:tc>
        <w:tc>
          <w:tcPr>
            <w:tcW w:w="350" w:type="pct"/>
            <w:noWrap w:val="0"/>
            <w:vAlign w:val="center"/>
          </w:tcPr>
          <w:p>
            <w:pPr>
              <w:spacing w:line="0" w:lineRule="atLeast"/>
              <w:jc w:val="center"/>
              <w:rPr>
                <w:w w:val="90"/>
                <w:szCs w:val="21"/>
              </w:rPr>
            </w:pPr>
            <w:r>
              <w:rPr>
                <w:w w:val="90"/>
                <w:szCs w:val="21"/>
              </w:rPr>
              <w:t>2-2′</w:t>
            </w:r>
          </w:p>
        </w:tc>
        <w:tc>
          <w:tcPr>
            <w:tcW w:w="761" w:type="pct"/>
            <w:noWrap w:val="0"/>
            <w:vAlign w:val="center"/>
          </w:tcPr>
          <w:p>
            <w:pPr>
              <w:spacing w:line="0" w:lineRule="atLeast"/>
              <w:jc w:val="center"/>
              <w:rPr>
                <w:rFonts w:hint="eastAsia"/>
                <w:spacing w:val="-20"/>
                <w:w w:val="90"/>
                <w:szCs w:val="21"/>
              </w:rPr>
            </w:pPr>
            <w:r>
              <w:rPr>
                <w:spacing w:val="-20"/>
                <w:w w:val="90"/>
                <w:szCs w:val="21"/>
              </w:rPr>
              <w:t>S2</w:t>
            </w:r>
            <w:r>
              <w:rPr>
                <w:rFonts w:hint="eastAsia"/>
                <w:spacing w:val="-20"/>
                <w:w w:val="90"/>
                <w:szCs w:val="21"/>
              </w:rPr>
              <w:t>′-2边</w:t>
            </w:r>
            <w:r>
              <w:rPr>
                <w:spacing w:val="-20"/>
                <w:w w:val="90"/>
                <w:szCs w:val="21"/>
              </w:rPr>
              <w:t>=</w:t>
            </w:r>
            <w:r>
              <w:rPr>
                <w:rFonts w:hint="eastAsia"/>
                <w:spacing w:val="-20"/>
                <w:w w:val="90"/>
                <w:szCs w:val="21"/>
              </w:rPr>
              <w:t>873</w:t>
            </w:r>
          </w:p>
        </w:tc>
        <w:tc>
          <w:tcPr>
            <w:tcW w:w="461" w:type="pct"/>
            <w:vMerge w:val="restart"/>
            <w:noWrap w:val="0"/>
            <w:vAlign w:val="center"/>
          </w:tcPr>
          <w:p>
            <w:pPr>
              <w:spacing w:line="0" w:lineRule="atLeast"/>
              <w:jc w:val="center"/>
              <w:rPr>
                <w:rFonts w:hint="eastAsia"/>
                <w:w w:val="90"/>
                <w:szCs w:val="21"/>
              </w:rPr>
            </w:pPr>
            <w:r>
              <w:rPr>
                <w:rFonts w:hint="eastAsia"/>
                <w:w w:val="90"/>
                <w:szCs w:val="21"/>
              </w:rPr>
              <w:t>677</w:t>
            </w:r>
          </w:p>
        </w:tc>
        <w:tc>
          <w:tcPr>
            <w:tcW w:w="377" w:type="pct"/>
            <w:vMerge w:val="restart"/>
            <w:noWrap w:val="0"/>
            <w:vAlign w:val="center"/>
          </w:tcPr>
          <w:p>
            <w:pPr>
              <w:spacing w:line="0" w:lineRule="atLeast"/>
              <w:jc w:val="center"/>
              <w:rPr>
                <w:rFonts w:hint="eastAsia"/>
                <w:w w:val="90"/>
                <w:szCs w:val="21"/>
              </w:rPr>
            </w:pPr>
            <w:r>
              <w:rPr>
                <w:rFonts w:hint="eastAsia"/>
                <w:w w:val="90"/>
                <w:szCs w:val="21"/>
              </w:rPr>
              <w:t>66.7</w:t>
            </w:r>
          </w:p>
        </w:tc>
        <w:tc>
          <w:tcPr>
            <w:tcW w:w="433" w:type="pct"/>
            <w:vMerge w:val="restart"/>
            <w:noWrap w:val="0"/>
            <w:vAlign w:val="center"/>
          </w:tcPr>
          <w:p>
            <w:pPr>
              <w:spacing w:line="0" w:lineRule="atLeast"/>
              <w:jc w:val="center"/>
              <w:rPr>
                <w:rFonts w:hint="eastAsia"/>
                <w:w w:val="90"/>
                <w:szCs w:val="21"/>
              </w:rPr>
            </w:pPr>
            <w:r>
              <w:rPr>
                <w:rFonts w:hint="eastAsia"/>
                <w:w w:val="90"/>
                <w:szCs w:val="21"/>
              </w:rPr>
              <w:t>4.52</w:t>
            </w:r>
          </w:p>
        </w:tc>
        <w:tc>
          <w:tcPr>
            <w:tcW w:w="461" w:type="pct"/>
            <w:vMerge w:val="restart"/>
            <w:noWrap w:val="0"/>
            <w:vAlign w:val="center"/>
          </w:tcPr>
          <w:p>
            <w:pPr>
              <w:spacing w:line="0" w:lineRule="atLeast"/>
              <w:jc w:val="center"/>
              <w:rPr>
                <w:rFonts w:hint="eastAsia"/>
                <w:w w:val="90"/>
                <w:szCs w:val="21"/>
              </w:rPr>
            </w:pPr>
            <w:r>
              <w:rPr>
                <w:rFonts w:hint="eastAsia"/>
                <w:w w:val="90"/>
                <w:szCs w:val="21"/>
              </w:rPr>
              <w:t>25</w:t>
            </w:r>
          </w:p>
        </w:tc>
        <w:tc>
          <w:tcPr>
            <w:tcW w:w="387" w:type="pct"/>
            <w:vMerge w:val="restart"/>
            <w:noWrap w:val="0"/>
            <w:vAlign w:val="center"/>
          </w:tcPr>
          <w:p>
            <w:pPr>
              <w:spacing w:line="0" w:lineRule="atLeast"/>
              <w:jc w:val="center"/>
              <w:rPr>
                <w:rFonts w:hint="eastAsia"/>
                <w:w w:val="90"/>
                <w:szCs w:val="21"/>
              </w:rPr>
            </w:pPr>
            <w:r>
              <w:rPr>
                <w:rFonts w:hint="eastAsia"/>
                <w:w w:val="90"/>
                <w:szCs w:val="21"/>
              </w:rPr>
              <w:t>2.40</w:t>
            </w:r>
          </w:p>
        </w:tc>
        <w:tc>
          <w:tcPr>
            <w:tcW w:w="433" w:type="pct"/>
            <w:vMerge w:val="restart"/>
            <w:noWrap w:val="0"/>
            <w:vAlign w:val="center"/>
          </w:tcPr>
          <w:p>
            <w:pPr>
              <w:spacing w:line="0" w:lineRule="atLeast"/>
              <w:jc w:val="center"/>
              <w:rPr>
                <w:rFonts w:hint="eastAsia"/>
                <w:w w:val="90"/>
                <w:szCs w:val="21"/>
              </w:rPr>
            </w:pPr>
            <w:r>
              <w:rPr>
                <w:rFonts w:hint="eastAsia"/>
                <w:w w:val="90"/>
                <w:szCs w:val="21"/>
              </w:rPr>
              <w:t>3.39</w:t>
            </w:r>
          </w:p>
        </w:tc>
        <w:tc>
          <w:tcPr>
            <w:tcW w:w="461" w:type="pct"/>
            <w:vMerge w:val="restart"/>
            <w:noWrap w:val="0"/>
            <w:vAlign w:val="center"/>
          </w:tcPr>
          <w:p>
            <w:pPr>
              <w:spacing w:line="0" w:lineRule="atLeast"/>
              <w:jc w:val="center"/>
              <w:rPr>
                <w:rFonts w:hint="eastAsia"/>
                <w:w w:val="90"/>
                <w:szCs w:val="21"/>
              </w:rPr>
            </w:pPr>
            <w:r>
              <w:rPr>
                <w:rFonts w:hint="eastAsia"/>
                <w:w w:val="90"/>
                <w:szCs w:val="21"/>
              </w:rPr>
              <w:t>8.1</w:t>
            </w:r>
          </w:p>
        </w:tc>
        <w:tc>
          <w:tcPr>
            <w:tcW w:w="461" w:type="pct"/>
            <w:vMerge w:val="continue"/>
            <w:tcBorders>
              <w:right w:val="single" w:color="auto" w:sz="8" w:space="0"/>
            </w:tcBorders>
            <w:noWrap w:val="0"/>
            <w:vAlign w:val="center"/>
          </w:tcPr>
          <w:p>
            <w:pPr>
              <w:spacing w:line="0" w:lineRule="atLeast"/>
              <w:jc w:val="center"/>
              <w:rPr>
                <w:w w:val="9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5" w:hRule="atLeast"/>
          <w:jc w:val="center"/>
        </w:trPr>
        <w:tc>
          <w:tcPr>
            <w:tcW w:w="415" w:type="pct"/>
            <w:vMerge w:val="continue"/>
            <w:tcBorders>
              <w:left w:val="single" w:color="auto" w:sz="8" w:space="0"/>
            </w:tcBorders>
            <w:noWrap w:val="0"/>
            <w:vAlign w:val="center"/>
          </w:tcPr>
          <w:p>
            <w:pPr>
              <w:spacing w:line="400" w:lineRule="exact"/>
              <w:jc w:val="center"/>
              <w:rPr>
                <w:w w:val="90"/>
                <w:szCs w:val="21"/>
              </w:rPr>
            </w:pPr>
          </w:p>
        </w:tc>
        <w:tc>
          <w:tcPr>
            <w:tcW w:w="350" w:type="pct"/>
            <w:noWrap w:val="0"/>
            <w:vAlign w:val="center"/>
          </w:tcPr>
          <w:p>
            <w:pPr>
              <w:spacing w:line="0" w:lineRule="atLeast"/>
              <w:jc w:val="center"/>
              <w:rPr>
                <w:w w:val="90"/>
                <w:szCs w:val="21"/>
              </w:rPr>
            </w:pPr>
            <w:r>
              <w:rPr>
                <w:w w:val="90"/>
                <w:szCs w:val="21"/>
              </w:rPr>
              <w:t>3-3′</w:t>
            </w:r>
          </w:p>
        </w:tc>
        <w:tc>
          <w:tcPr>
            <w:tcW w:w="761" w:type="pct"/>
            <w:noWrap w:val="0"/>
            <w:vAlign w:val="center"/>
          </w:tcPr>
          <w:p>
            <w:pPr>
              <w:spacing w:line="0" w:lineRule="atLeast"/>
              <w:jc w:val="center"/>
              <w:rPr>
                <w:rFonts w:hint="eastAsia"/>
                <w:w w:val="90"/>
                <w:szCs w:val="21"/>
              </w:rPr>
            </w:pPr>
            <w:r>
              <w:rPr>
                <w:w w:val="90"/>
                <w:szCs w:val="21"/>
              </w:rPr>
              <w:t>S3</w:t>
            </w:r>
            <w:r>
              <w:rPr>
                <w:rFonts w:hint="eastAsia" w:hAnsi="宋体"/>
                <w:w w:val="90"/>
                <w:szCs w:val="21"/>
              </w:rPr>
              <w:t>-2边</w:t>
            </w:r>
            <w:r>
              <w:rPr>
                <w:w w:val="90"/>
                <w:szCs w:val="21"/>
              </w:rPr>
              <w:t>=</w:t>
            </w:r>
            <w:r>
              <w:rPr>
                <w:rFonts w:hint="eastAsia"/>
                <w:w w:val="90"/>
                <w:szCs w:val="21"/>
              </w:rPr>
              <w:t>498</w:t>
            </w:r>
          </w:p>
        </w:tc>
        <w:tc>
          <w:tcPr>
            <w:tcW w:w="461" w:type="pct"/>
            <w:vMerge w:val="continue"/>
            <w:noWrap w:val="0"/>
            <w:vAlign w:val="center"/>
          </w:tcPr>
          <w:p>
            <w:pPr>
              <w:spacing w:line="0" w:lineRule="atLeast"/>
              <w:jc w:val="center"/>
              <w:rPr>
                <w:w w:val="90"/>
                <w:szCs w:val="21"/>
              </w:rPr>
            </w:pPr>
          </w:p>
        </w:tc>
        <w:tc>
          <w:tcPr>
            <w:tcW w:w="377" w:type="pct"/>
            <w:vMerge w:val="continue"/>
            <w:noWrap w:val="0"/>
            <w:vAlign w:val="center"/>
          </w:tcPr>
          <w:p>
            <w:pPr>
              <w:spacing w:line="0" w:lineRule="atLeast"/>
              <w:jc w:val="center"/>
              <w:rPr>
                <w:w w:val="90"/>
                <w:szCs w:val="21"/>
              </w:rPr>
            </w:pPr>
          </w:p>
        </w:tc>
        <w:tc>
          <w:tcPr>
            <w:tcW w:w="433" w:type="pct"/>
            <w:vMerge w:val="continue"/>
            <w:noWrap w:val="0"/>
            <w:vAlign w:val="center"/>
          </w:tcPr>
          <w:p>
            <w:pPr>
              <w:spacing w:line="0" w:lineRule="atLeast"/>
              <w:jc w:val="center"/>
              <w:rPr>
                <w:w w:val="90"/>
                <w:szCs w:val="21"/>
              </w:rPr>
            </w:pPr>
          </w:p>
        </w:tc>
        <w:tc>
          <w:tcPr>
            <w:tcW w:w="461" w:type="pct"/>
            <w:vMerge w:val="continue"/>
            <w:noWrap w:val="0"/>
            <w:vAlign w:val="center"/>
          </w:tcPr>
          <w:p>
            <w:pPr>
              <w:spacing w:line="0" w:lineRule="atLeast"/>
              <w:jc w:val="center"/>
              <w:rPr>
                <w:w w:val="90"/>
                <w:szCs w:val="21"/>
              </w:rPr>
            </w:pPr>
          </w:p>
        </w:tc>
        <w:tc>
          <w:tcPr>
            <w:tcW w:w="387" w:type="pct"/>
            <w:vMerge w:val="continue"/>
            <w:noWrap w:val="0"/>
            <w:vAlign w:val="center"/>
          </w:tcPr>
          <w:p>
            <w:pPr>
              <w:spacing w:line="0" w:lineRule="atLeast"/>
              <w:jc w:val="center"/>
              <w:rPr>
                <w:w w:val="90"/>
                <w:szCs w:val="21"/>
              </w:rPr>
            </w:pPr>
          </w:p>
        </w:tc>
        <w:tc>
          <w:tcPr>
            <w:tcW w:w="433" w:type="pct"/>
            <w:vMerge w:val="continue"/>
            <w:noWrap w:val="0"/>
            <w:vAlign w:val="center"/>
          </w:tcPr>
          <w:p>
            <w:pPr>
              <w:spacing w:line="0" w:lineRule="atLeast"/>
              <w:jc w:val="center"/>
              <w:rPr>
                <w:w w:val="90"/>
                <w:szCs w:val="21"/>
              </w:rPr>
            </w:pPr>
          </w:p>
        </w:tc>
        <w:tc>
          <w:tcPr>
            <w:tcW w:w="461" w:type="pct"/>
            <w:vMerge w:val="continue"/>
            <w:noWrap w:val="0"/>
            <w:vAlign w:val="center"/>
          </w:tcPr>
          <w:p>
            <w:pPr>
              <w:spacing w:line="0" w:lineRule="atLeast"/>
              <w:jc w:val="center"/>
              <w:rPr>
                <w:w w:val="90"/>
                <w:szCs w:val="21"/>
              </w:rPr>
            </w:pPr>
          </w:p>
        </w:tc>
        <w:tc>
          <w:tcPr>
            <w:tcW w:w="461" w:type="pct"/>
            <w:vMerge w:val="continue"/>
            <w:tcBorders>
              <w:right w:val="single" w:color="auto" w:sz="8" w:space="0"/>
            </w:tcBorders>
            <w:noWrap w:val="0"/>
            <w:vAlign w:val="center"/>
          </w:tcPr>
          <w:p>
            <w:pPr>
              <w:spacing w:line="0" w:lineRule="atLeast"/>
              <w:jc w:val="center"/>
              <w:rPr>
                <w:w w:val="9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5" w:hRule="atLeast"/>
          <w:jc w:val="center"/>
        </w:trPr>
        <w:tc>
          <w:tcPr>
            <w:tcW w:w="415" w:type="pct"/>
            <w:vMerge w:val="restart"/>
            <w:tcBorders>
              <w:left w:val="single" w:color="auto" w:sz="8" w:space="0"/>
            </w:tcBorders>
            <w:noWrap w:val="0"/>
            <w:vAlign w:val="center"/>
          </w:tcPr>
          <w:p>
            <w:pPr>
              <w:spacing w:line="400" w:lineRule="exact"/>
              <w:jc w:val="center"/>
              <w:rPr>
                <w:rFonts w:hint="eastAsia"/>
                <w:w w:val="90"/>
                <w:szCs w:val="21"/>
              </w:rPr>
            </w:pPr>
            <w:r>
              <w:rPr>
                <w:rFonts w:hint="eastAsia"/>
                <w:w w:val="90"/>
                <w:szCs w:val="21"/>
              </w:rPr>
              <w:t>边3-1</w:t>
            </w:r>
          </w:p>
        </w:tc>
        <w:tc>
          <w:tcPr>
            <w:tcW w:w="350" w:type="pct"/>
            <w:noWrap w:val="0"/>
            <w:vAlign w:val="center"/>
          </w:tcPr>
          <w:p>
            <w:pPr>
              <w:spacing w:line="0" w:lineRule="atLeast"/>
              <w:jc w:val="center"/>
              <w:rPr>
                <w:w w:val="90"/>
                <w:szCs w:val="21"/>
              </w:rPr>
            </w:pPr>
            <w:r>
              <w:rPr>
                <w:rFonts w:hint="eastAsia"/>
                <w:w w:val="90"/>
                <w:szCs w:val="21"/>
              </w:rPr>
              <w:t>3</w:t>
            </w:r>
            <w:r>
              <w:rPr>
                <w:w w:val="90"/>
                <w:szCs w:val="21"/>
              </w:rPr>
              <w:t>-</w:t>
            </w:r>
            <w:r>
              <w:rPr>
                <w:rFonts w:hint="eastAsia"/>
                <w:w w:val="90"/>
                <w:szCs w:val="21"/>
              </w:rPr>
              <w:t>3</w:t>
            </w:r>
            <w:r>
              <w:rPr>
                <w:w w:val="90"/>
                <w:szCs w:val="21"/>
              </w:rPr>
              <w:t>′</w:t>
            </w:r>
          </w:p>
        </w:tc>
        <w:tc>
          <w:tcPr>
            <w:tcW w:w="761" w:type="pct"/>
            <w:noWrap w:val="0"/>
            <w:vAlign w:val="center"/>
          </w:tcPr>
          <w:p>
            <w:pPr>
              <w:spacing w:line="0" w:lineRule="atLeast"/>
              <w:jc w:val="center"/>
              <w:rPr>
                <w:rFonts w:hint="eastAsia"/>
                <w:w w:val="90"/>
                <w:szCs w:val="21"/>
              </w:rPr>
            </w:pPr>
            <w:r>
              <w:rPr>
                <w:w w:val="90"/>
                <w:szCs w:val="21"/>
              </w:rPr>
              <w:t>S3</w:t>
            </w:r>
            <w:r>
              <w:rPr>
                <w:rFonts w:hint="eastAsia" w:hAnsi="宋体"/>
                <w:w w:val="90"/>
                <w:szCs w:val="21"/>
              </w:rPr>
              <w:t>-1边</w:t>
            </w:r>
            <w:r>
              <w:rPr>
                <w:w w:val="90"/>
                <w:szCs w:val="21"/>
              </w:rPr>
              <w:t>=</w:t>
            </w:r>
            <w:r>
              <w:rPr>
                <w:rFonts w:hint="eastAsia"/>
                <w:w w:val="90"/>
                <w:szCs w:val="21"/>
              </w:rPr>
              <w:t>7767</w:t>
            </w:r>
          </w:p>
        </w:tc>
        <w:tc>
          <w:tcPr>
            <w:tcW w:w="461" w:type="pct"/>
            <w:vMerge w:val="restart"/>
            <w:noWrap w:val="0"/>
            <w:vAlign w:val="center"/>
          </w:tcPr>
          <w:p>
            <w:pPr>
              <w:spacing w:line="0" w:lineRule="atLeast"/>
              <w:jc w:val="center"/>
              <w:rPr>
                <w:rFonts w:hint="eastAsia"/>
                <w:w w:val="90"/>
                <w:szCs w:val="21"/>
              </w:rPr>
            </w:pPr>
            <w:r>
              <w:rPr>
                <w:rFonts w:hint="eastAsia"/>
                <w:w w:val="90"/>
                <w:szCs w:val="21"/>
              </w:rPr>
              <w:t>7402</w:t>
            </w:r>
          </w:p>
        </w:tc>
        <w:tc>
          <w:tcPr>
            <w:tcW w:w="377" w:type="pct"/>
            <w:vMerge w:val="restart"/>
            <w:noWrap w:val="0"/>
            <w:vAlign w:val="center"/>
          </w:tcPr>
          <w:p>
            <w:pPr>
              <w:spacing w:line="0" w:lineRule="atLeast"/>
              <w:jc w:val="center"/>
              <w:rPr>
                <w:rFonts w:hint="eastAsia"/>
                <w:w w:val="90"/>
                <w:szCs w:val="21"/>
              </w:rPr>
            </w:pPr>
            <w:r>
              <w:rPr>
                <w:rFonts w:hint="eastAsia"/>
                <w:w w:val="90"/>
                <w:szCs w:val="21"/>
              </w:rPr>
              <w:t>101.9</w:t>
            </w:r>
          </w:p>
        </w:tc>
        <w:tc>
          <w:tcPr>
            <w:tcW w:w="433" w:type="pct"/>
            <w:vMerge w:val="restart"/>
            <w:noWrap w:val="0"/>
            <w:vAlign w:val="center"/>
          </w:tcPr>
          <w:p>
            <w:pPr>
              <w:spacing w:line="0" w:lineRule="atLeast"/>
              <w:jc w:val="center"/>
              <w:rPr>
                <w:rFonts w:hint="eastAsia"/>
                <w:w w:val="90"/>
                <w:szCs w:val="21"/>
              </w:rPr>
            </w:pPr>
            <w:r>
              <w:rPr>
                <w:rFonts w:hint="eastAsia"/>
                <w:w w:val="90"/>
                <w:szCs w:val="21"/>
              </w:rPr>
              <w:t>75.43</w:t>
            </w:r>
          </w:p>
        </w:tc>
        <w:tc>
          <w:tcPr>
            <w:tcW w:w="461" w:type="pct"/>
            <w:vMerge w:val="restart"/>
            <w:noWrap w:val="0"/>
            <w:vAlign w:val="center"/>
          </w:tcPr>
          <w:p>
            <w:pPr>
              <w:spacing w:line="0" w:lineRule="atLeast"/>
              <w:jc w:val="center"/>
              <w:rPr>
                <w:rFonts w:hint="eastAsia"/>
                <w:w w:val="90"/>
                <w:szCs w:val="21"/>
              </w:rPr>
            </w:pPr>
            <w:r>
              <w:rPr>
                <w:rFonts w:hint="eastAsia"/>
                <w:w w:val="90"/>
                <w:szCs w:val="21"/>
              </w:rPr>
              <w:t>25</w:t>
            </w:r>
          </w:p>
        </w:tc>
        <w:tc>
          <w:tcPr>
            <w:tcW w:w="387" w:type="pct"/>
            <w:vMerge w:val="restart"/>
            <w:noWrap w:val="0"/>
            <w:vAlign w:val="center"/>
          </w:tcPr>
          <w:p>
            <w:pPr>
              <w:spacing w:line="0" w:lineRule="atLeast"/>
              <w:jc w:val="center"/>
              <w:rPr>
                <w:rFonts w:hint="eastAsia"/>
                <w:w w:val="90"/>
                <w:szCs w:val="21"/>
              </w:rPr>
            </w:pPr>
            <w:r>
              <w:rPr>
                <w:rFonts w:hint="eastAsia"/>
                <w:w w:val="90"/>
                <w:szCs w:val="21"/>
              </w:rPr>
              <w:t>2.40</w:t>
            </w:r>
          </w:p>
        </w:tc>
        <w:tc>
          <w:tcPr>
            <w:tcW w:w="433" w:type="pct"/>
            <w:vMerge w:val="restart"/>
            <w:noWrap w:val="0"/>
            <w:vAlign w:val="center"/>
          </w:tcPr>
          <w:p>
            <w:pPr>
              <w:spacing w:line="0" w:lineRule="atLeast"/>
              <w:jc w:val="center"/>
              <w:rPr>
                <w:rFonts w:hint="eastAsia"/>
                <w:w w:val="90"/>
                <w:szCs w:val="21"/>
              </w:rPr>
            </w:pPr>
            <w:r>
              <w:rPr>
                <w:rFonts w:hint="eastAsia"/>
                <w:w w:val="90"/>
                <w:szCs w:val="21"/>
              </w:rPr>
              <w:t>56.57</w:t>
            </w:r>
          </w:p>
        </w:tc>
        <w:tc>
          <w:tcPr>
            <w:tcW w:w="461" w:type="pct"/>
            <w:vMerge w:val="restart"/>
            <w:noWrap w:val="0"/>
            <w:vAlign w:val="center"/>
          </w:tcPr>
          <w:p>
            <w:pPr>
              <w:spacing w:line="0" w:lineRule="atLeast"/>
              <w:jc w:val="center"/>
              <w:rPr>
                <w:rFonts w:hint="eastAsia"/>
                <w:w w:val="90"/>
                <w:szCs w:val="21"/>
              </w:rPr>
            </w:pPr>
            <w:r>
              <w:rPr>
                <w:rFonts w:hint="eastAsia"/>
                <w:w w:val="90"/>
                <w:szCs w:val="21"/>
              </w:rPr>
              <w:t>135.8</w:t>
            </w:r>
          </w:p>
        </w:tc>
        <w:tc>
          <w:tcPr>
            <w:tcW w:w="461" w:type="pct"/>
            <w:vMerge w:val="continue"/>
            <w:tcBorders>
              <w:right w:val="single" w:color="auto" w:sz="8" w:space="0"/>
            </w:tcBorders>
            <w:noWrap w:val="0"/>
            <w:vAlign w:val="center"/>
          </w:tcPr>
          <w:p>
            <w:pPr>
              <w:spacing w:line="0" w:lineRule="atLeast"/>
              <w:jc w:val="center"/>
              <w:rPr>
                <w:w w:val="9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5" w:hRule="atLeast"/>
          <w:jc w:val="center"/>
        </w:trPr>
        <w:tc>
          <w:tcPr>
            <w:tcW w:w="415" w:type="pct"/>
            <w:vMerge w:val="continue"/>
            <w:tcBorders>
              <w:left w:val="single" w:color="auto" w:sz="8" w:space="0"/>
            </w:tcBorders>
            <w:noWrap w:val="0"/>
            <w:vAlign w:val="center"/>
          </w:tcPr>
          <w:p>
            <w:pPr>
              <w:spacing w:line="400" w:lineRule="exact"/>
              <w:jc w:val="center"/>
              <w:rPr>
                <w:w w:val="90"/>
                <w:szCs w:val="21"/>
              </w:rPr>
            </w:pPr>
          </w:p>
        </w:tc>
        <w:tc>
          <w:tcPr>
            <w:tcW w:w="350" w:type="pct"/>
            <w:noWrap w:val="0"/>
            <w:vAlign w:val="center"/>
          </w:tcPr>
          <w:p>
            <w:pPr>
              <w:spacing w:line="0" w:lineRule="atLeast"/>
              <w:jc w:val="center"/>
              <w:rPr>
                <w:w w:val="90"/>
                <w:szCs w:val="21"/>
              </w:rPr>
            </w:pPr>
            <w:r>
              <w:rPr>
                <w:rFonts w:hint="eastAsia"/>
                <w:w w:val="90"/>
                <w:szCs w:val="21"/>
              </w:rPr>
              <w:t>4</w:t>
            </w:r>
            <w:r>
              <w:rPr>
                <w:w w:val="90"/>
                <w:szCs w:val="21"/>
              </w:rPr>
              <w:t>-</w:t>
            </w:r>
            <w:r>
              <w:rPr>
                <w:rFonts w:hint="eastAsia"/>
                <w:w w:val="90"/>
                <w:szCs w:val="21"/>
              </w:rPr>
              <w:t>4</w:t>
            </w:r>
            <w:r>
              <w:rPr>
                <w:w w:val="90"/>
                <w:szCs w:val="21"/>
              </w:rPr>
              <w:t>′</w:t>
            </w:r>
          </w:p>
        </w:tc>
        <w:tc>
          <w:tcPr>
            <w:tcW w:w="761" w:type="pct"/>
            <w:noWrap w:val="0"/>
            <w:vAlign w:val="center"/>
          </w:tcPr>
          <w:p>
            <w:pPr>
              <w:spacing w:line="0" w:lineRule="atLeast"/>
              <w:jc w:val="center"/>
              <w:rPr>
                <w:rFonts w:hint="eastAsia"/>
                <w:w w:val="90"/>
                <w:szCs w:val="21"/>
              </w:rPr>
            </w:pPr>
            <w:r>
              <w:rPr>
                <w:w w:val="90"/>
                <w:szCs w:val="21"/>
              </w:rPr>
              <w:t>S</w:t>
            </w:r>
            <w:r>
              <w:rPr>
                <w:rFonts w:hint="eastAsia"/>
                <w:w w:val="90"/>
                <w:szCs w:val="21"/>
              </w:rPr>
              <w:t>4</w:t>
            </w:r>
            <w:r>
              <w:rPr>
                <w:rFonts w:hint="eastAsia" w:hAnsi="宋体"/>
                <w:w w:val="90"/>
                <w:szCs w:val="21"/>
              </w:rPr>
              <w:t>-1边</w:t>
            </w:r>
            <w:r>
              <w:rPr>
                <w:w w:val="90"/>
                <w:szCs w:val="21"/>
              </w:rPr>
              <w:t>=</w:t>
            </w:r>
            <w:r>
              <w:rPr>
                <w:rFonts w:hint="eastAsia"/>
                <w:w w:val="90"/>
                <w:szCs w:val="21"/>
              </w:rPr>
              <w:t>7036</w:t>
            </w:r>
          </w:p>
        </w:tc>
        <w:tc>
          <w:tcPr>
            <w:tcW w:w="461" w:type="pct"/>
            <w:vMerge w:val="continue"/>
            <w:noWrap w:val="0"/>
            <w:vAlign w:val="center"/>
          </w:tcPr>
          <w:p>
            <w:pPr>
              <w:spacing w:line="0" w:lineRule="atLeast"/>
              <w:jc w:val="center"/>
              <w:rPr>
                <w:w w:val="90"/>
                <w:szCs w:val="21"/>
              </w:rPr>
            </w:pPr>
          </w:p>
        </w:tc>
        <w:tc>
          <w:tcPr>
            <w:tcW w:w="377" w:type="pct"/>
            <w:vMerge w:val="continue"/>
            <w:noWrap w:val="0"/>
            <w:vAlign w:val="center"/>
          </w:tcPr>
          <w:p>
            <w:pPr>
              <w:spacing w:line="0" w:lineRule="atLeast"/>
              <w:jc w:val="center"/>
              <w:rPr>
                <w:w w:val="90"/>
                <w:szCs w:val="21"/>
              </w:rPr>
            </w:pPr>
          </w:p>
        </w:tc>
        <w:tc>
          <w:tcPr>
            <w:tcW w:w="433" w:type="pct"/>
            <w:vMerge w:val="continue"/>
            <w:noWrap w:val="0"/>
            <w:vAlign w:val="center"/>
          </w:tcPr>
          <w:p>
            <w:pPr>
              <w:spacing w:line="0" w:lineRule="atLeast"/>
              <w:jc w:val="center"/>
              <w:rPr>
                <w:w w:val="90"/>
                <w:szCs w:val="21"/>
              </w:rPr>
            </w:pPr>
          </w:p>
        </w:tc>
        <w:tc>
          <w:tcPr>
            <w:tcW w:w="461" w:type="pct"/>
            <w:vMerge w:val="continue"/>
            <w:noWrap w:val="0"/>
            <w:vAlign w:val="center"/>
          </w:tcPr>
          <w:p>
            <w:pPr>
              <w:spacing w:line="0" w:lineRule="atLeast"/>
              <w:jc w:val="center"/>
              <w:rPr>
                <w:w w:val="90"/>
                <w:szCs w:val="21"/>
              </w:rPr>
            </w:pPr>
          </w:p>
        </w:tc>
        <w:tc>
          <w:tcPr>
            <w:tcW w:w="387" w:type="pct"/>
            <w:vMerge w:val="continue"/>
            <w:noWrap w:val="0"/>
            <w:vAlign w:val="center"/>
          </w:tcPr>
          <w:p>
            <w:pPr>
              <w:spacing w:line="0" w:lineRule="atLeast"/>
              <w:jc w:val="center"/>
              <w:rPr>
                <w:w w:val="90"/>
                <w:szCs w:val="21"/>
              </w:rPr>
            </w:pPr>
          </w:p>
        </w:tc>
        <w:tc>
          <w:tcPr>
            <w:tcW w:w="433" w:type="pct"/>
            <w:vMerge w:val="continue"/>
            <w:noWrap w:val="0"/>
            <w:vAlign w:val="center"/>
          </w:tcPr>
          <w:p>
            <w:pPr>
              <w:spacing w:line="0" w:lineRule="atLeast"/>
              <w:jc w:val="center"/>
              <w:rPr>
                <w:w w:val="90"/>
                <w:szCs w:val="21"/>
              </w:rPr>
            </w:pPr>
          </w:p>
        </w:tc>
        <w:tc>
          <w:tcPr>
            <w:tcW w:w="461" w:type="pct"/>
            <w:vMerge w:val="continue"/>
            <w:noWrap w:val="0"/>
            <w:vAlign w:val="center"/>
          </w:tcPr>
          <w:p>
            <w:pPr>
              <w:spacing w:line="0" w:lineRule="atLeast"/>
              <w:jc w:val="center"/>
              <w:rPr>
                <w:w w:val="90"/>
                <w:szCs w:val="21"/>
              </w:rPr>
            </w:pPr>
          </w:p>
        </w:tc>
        <w:tc>
          <w:tcPr>
            <w:tcW w:w="461" w:type="pct"/>
            <w:vMerge w:val="continue"/>
            <w:tcBorders>
              <w:right w:val="single" w:color="auto" w:sz="8" w:space="0"/>
            </w:tcBorders>
            <w:noWrap w:val="0"/>
            <w:vAlign w:val="center"/>
          </w:tcPr>
          <w:p>
            <w:pPr>
              <w:spacing w:line="0" w:lineRule="atLeast"/>
              <w:jc w:val="center"/>
              <w:rPr>
                <w:w w:val="9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5" w:hRule="atLeast"/>
          <w:jc w:val="center"/>
        </w:trPr>
        <w:tc>
          <w:tcPr>
            <w:tcW w:w="415" w:type="pct"/>
            <w:vMerge w:val="restart"/>
            <w:tcBorders>
              <w:left w:val="single" w:color="auto" w:sz="8" w:space="0"/>
            </w:tcBorders>
            <w:noWrap w:val="0"/>
            <w:vAlign w:val="center"/>
          </w:tcPr>
          <w:p>
            <w:pPr>
              <w:spacing w:line="400" w:lineRule="exact"/>
              <w:jc w:val="center"/>
              <w:rPr>
                <w:rFonts w:hint="eastAsia"/>
                <w:w w:val="90"/>
                <w:szCs w:val="21"/>
              </w:rPr>
            </w:pPr>
            <w:r>
              <w:rPr>
                <w:rFonts w:hint="eastAsia"/>
                <w:w w:val="90"/>
                <w:szCs w:val="21"/>
              </w:rPr>
              <w:t>边3-2</w:t>
            </w:r>
          </w:p>
        </w:tc>
        <w:tc>
          <w:tcPr>
            <w:tcW w:w="350" w:type="pct"/>
            <w:noWrap w:val="0"/>
            <w:vAlign w:val="center"/>
          </w:tcPr>
          <w:p>
            <w:pPr>
              <w:spacing w:line="0" w:lineRule="atLeast"/>
              <w:jc w:val="center"/>
              <w:rPr>
                <w:w w:val="90"/>
                <w:szCs w:val="21"/>
              </w:rPr>
            </w:pPr>
            <w:r>
              <w:rPr>
                <w:rFonts w:hint="eastAsia"/>
                <w:w w:val="90"/>
                <w:szCs w:val="21"/>
              </w:rPr>
              <w:t>3</w:t>
            </w:r>
            <w:r>
              <w:rPr>
                <w:w w:val="90"/>
                <w:szCs w:val="21"/>
              </w:rPr>
              <w:t>-</w:t>
            </w:r>
            <w:r>
              <w:rPr>
                <w:rFonts w:hint="eastAsia"/>
                <w:w w:val="90"/>
                <w:szCs w:val="21"/>
              </w:rPr>
              <w:t>3</w:t>
            </w:r>
            <w:r>
              <w:rPr>
                <w:w w:val="90"/>
                <w:szCs w:val="21"/>
              </w:rPr>
              <w:t>′</w:t>
            </w:r>
          </w:p>
        </w:tc>
        <w:tc>
          <w:tcPr>
            <w:tcW w:w="761" w:type="pct"/>
            <w:noWrap w:val="0"/>
            <w:vAlign w:val="center"/>
          </w:tcPr>
          <w:p>
            <w:pPr>
              <w:spacing w:line="0" w:lineRule="atLeast"/>
              <w:jc w:val="center"/>
              <w:rPr>
                <w:w w:val="90"/>
                <w:szCs w:val="21"/>
              </w:rPr>
            </w:pPr>
            <w:r>
              <w:rPr>
                <w:w w:val="90"/>
                <w:szCs w:val="21"/>
              </w:rPr>
              <w:t>S3</w:t>
            </w:r>
            <w:r>
              <w:rPr>
                <w:rFonts w:hint="eastAsia" w:hAnsi="宋体"/>
                <w:w w:val="90"/>
                <w:szCs w:val="21"/>
              </w:rPr>
              <w:t>-2边</w:t>
            </w:r>
            <w:r>
              <w:rPr>
                <w:w w:val="90"/>
                <w:szCs w:val="21"/>
              </w:rPr>
              <w:t>=</w:t>
            </w:r>
            <w:r>
              <w:rPr>
                <w:rFonts w:hint="eastAsia"/>
                <w:w w:val="90"/>
                <w:szCs w:val="21"/>
              </w:rPr>
              <w:t>498</w:t>
            </w:r>
          </w:p>
        </w:tc>
        <w:tc>
          <w:tcPr>
            <w:tcW w:w="461" w:type="pct"/>
            <w:vMerge w:val="restart"/>
            <w:noWrap w:val="0"/>
            <w:vAlign w:val="center"/>
          </w:tcPr>
          <w:p>
            <w:pPr>
              <w:spacing w:line="0" w:lineRule="atLeast"/>
              <w:jc w:val="center"/>
              <w:rPr>
                <w:rFonts w:hint="eastAsia"/>
                <w:w w:val="90"/>
                <w:szCs w:val="21"/>
              </w:rPr>
            </w:pPr>
            <w:r>
              <w:rPr>
                <w:rFonts w:hint="eastAsia"/>
                <w:w w:val="90"/>
                <w:szCs w:val="21"/>
              </w:rPr>
              <w:t>166</w:t>
            </w:r>
          </w:p>
        </w:tc>
        <w:tc>
          <w:tcPr>
            <w:tcW w:w="377" w:type="pct"/>
            <w:vMerge w:val="restart"/>
            <w:noWrap w:val="0"/>
            <w:vAlign w:val="center"/>
          </w:tcPr>
          <w:p>
            <w:pPr>
              <w:spacing w:line="0" w:lineRule="atLeast"/>
              <w:jc w:val="center"/>
              <w:rPr>
                <w:rFonts w:hint="eastAsia"/>
                <w:w w:val="90"/>
                <w:szCs w:val="21"/>
              </w:rPr>
            </w:pPr>
            <w:r>
              <w:rPr>
                <w:rFonts w:hint="eastAsia"/>
                <w:w w:val="90"/>
                <w:szCs w:val="21"/>
              </w:rPr>
              <w:t>101.9</w:t>
            </w:r>
          </w:p>
        </w:tc>
        <w:tc>
          <w:tcPr>
            <w:tcW w:w="433" w:type="pct"/>
            <w:vMerge w:val="restart"/>
            <w:noWrap w:val="0"/>
            <w:vAlign w:val="center"/>
          </w:tcPr>
          <w:p>
            <w:pPr>
              <w:spacing w:line="0" w:lineRule="atLeast"/>
              <w:jc w:val="center"/>
              <w:rPr>
                <w:rFonts w:hint="eastAsia"/>
                <w:w w:val="90"/>
                <w:szCs w:val="21"/>
              </w:rPr>
            </w:pPr>
            <w:r>
              <w:rPr>
                <w:rFonts w:hint="eastAsia"/>
                <w:w w:val="90"/>
                <w:szCs w:val="21"/>
              </w:rPr>
              <w:t>1.69</w:t>
            </w:r>
          </w:p>
        </w:tc>
        <w:tc>
          <w:tcPr>
            <w:tcW w:w="461" w:type="pct"/>
            <w:vMerge w:val="restart"/>
            <w:noWrap w:val="0"/>
            <w:vAlign w:val="center"/>
          </w:tcPr>
          <w:p>
            <w:pPr>
              <w:spacing w:line="0" w:lineRule="atLeast"/>
              <w:jc w:val="center"/>
              <w:rPr>
                <w:rFonts w:hint="eastAsia"/>
                <w:w w:val="90"/>
                <w:szCs w:val="21"/>
              </w:rPr>
            </w:pPr>
            <w:r>
              <w:rPr>
                <w:rFonts w:hint="eastAsia"/>
                <w:w w:val="90"/>
                <w:szCs w:val="21"/>
              </w:rPr>
              <w:t>25</w:t>
            </w:r>
          </w:p>
        </w:tc>
        <w:tc>
          <w:tcPr>
            <w:tcW w:w="387" w:type="pct"/>
            <w:vMerge w:val="restart"/>
            <w:noWrap w:val="0"/>
            <w:vAlign w:val="center"/>
          </w:tcPr>
          <w:p>
            <w:pPr>
              <w:spacing w:line="0" w:lineRule="atLeast"/>
              <w:jc w:val="center"/>
              <w:rPr>
                <w:rFonts w:hint="eastAsia"/>
                <w:w w:val="90"/>
                <w:szCs w:val="21"/>
              </w:rPr>
            </w:pPr>
            <w:r>
              <w:rPr>
                <w:rFonts w:hint="eastAsia"/>
                <w:w w:val="90"/>
                <w:szCs w:val="21"/>
              </w:rPr>
              <w:t>2.40</w:t>
            </w:r>
          </w:p>
        </w:tc>
        <w:tc>
          <w:tcPr>
            <w:tcW w:w="433" w:type="pct"/>
            <w:vMerge w:val="restart"/>
            <w:noWrap w:val="0"/>
            <w:vAlign w:val="center"/>
          </w:tcPr>
          <w:p>
            <w:pPr>
              <w:spacing w:line="0" w:lineRule="atLeast"/>
              <w:jc w:val="center"/>
              <w:rPr>
                <w:rFonts w:hint="eastAsia"/>
                <w:w w:val="90"/>
                <w:szCs w:val="21"/>
              </w:rPr>
            </w:pPr>
            <w:r>
              <w:rPr>
                <w:rFonts w:hint="eastAsia"/>
                <w:w w:val="90"/>
                <w:szCs w:val="21"/>
              </w:rPr>
              <w:t>1.67</w:t>
            </w:r>
          </w:p>
        </w:tc>
        <w:tc>
          <w:tcPr>
            <w:tcW w:w="461" w:type="pct"/>
            <w:vMerge w:val="restart"/>
            <w:noWrap w:val="0"/>
            <w:vAlign w:val="center"/>
          </w:tcPr>
          <w:p>
            <w:pPr>
              <w:spacing w:line="0" w:lineRule="atLeast"/>
              <w:jc w:val="center"/>
              <w:rPr>
                <w:rFonts w:hint="eastAsia"/>
                <w:w w:val="90"/>
                <w:szCs w:val="21"/>
              </w:rPr>
            </w:pPr>
            <w:r>
              <w:rPr>
                <w:rFonts w:hint="eastAsia"/>
                <w:w w:val="90"/>
                <w:szCs w:val="21"/>
              </w:rPr>
              <w:t>3.0</w:t>
            </w:r>
          </w:p>
        </w:tc>
        <w:tc>
          <w:tcPr>
            <w:tcW w:w="461" w:type="pct"/>
            <w:vMerge w:val="continue"/>
            <w:tcBorders>
              <w:right w:val="single" w:color="auto" w:sz="8" w:space="0"/>
            </w:tcBorders>
            <w:noWrap w:val="0"/>
            <w:vAlign w:val="center"/>
          </w:tcPr>
          <w:p>
            <w:pPr>
              <w:spacing w:line="0" w:lineRule="atLeast"/>
              <w:jc w:val="center"/>
              <w:rPr>
                <w:w w:val="9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5" w:hRule="atLeast"/>
          <w:jc w:val="center"/>
        </w:trPr>
        <w:tc>
          <w:tcPr>
            <w:tcW w:w="415" w:type="pct"/>
            <w:vMerge w:val="continue"/>
            <w:tcBorders>
              <w:left w:val="single" w:color="auto" w:sz="8" w:space="0"/>
            </w:tcBorders>
            <w:noWrap w:val="0"/>
            <w:vAlign w:val="center"/>
          </w:tcPr>
          <w:p>
            <w:pPr>
              <w:spacing w:line="400" w:lineRule="exact"/>
              <w:jc w:val="center"/>
              <w:rPr>
                <w:w w:val="90"/>
                <w:szCs w:val="21"/>
              </w:rPr>
            </w:pPr>
          </w:p>
        </w:tc>
        <w:tc>
          <w:tcPr>
            <w:tcW w:w="350" w:type="pct"/>
            <w:noWrap w:val="0"/>
            <w:vAlign w:val="center"/>
          </w:tcPr>
          <w:p>
            <w:pPr>
              <w:spacing w:line="0" w:lineRule="atLeast"/>
              <w:jc w:val="center"/>
              <w:rPr>
                <w:w w:val="90"/>
                <w:szCs w:val="21"/>
              </w:rPr>
            </w:pPr>
            <w:r>
              <w:rPr>
                <w:rFonts w:hint="eastAsia"/>
                <w:w w:val="90"/>
                <w:szCs w:val="21"/>
              </w:rPr>
              <w:t>4</w:t>
            </w:r>
            <w:r>
              <w:rPr>
                <w:w w:val="90"/>
                <w:szCs w:val="21"/>
              </w:rPr>
              <w:t>-</w:t>
            </w:r>
            <w:r>
              <w:rPr>
                <w:rFonts w:hint="eastAsia"/>
                <w:w w:val="90"/>
                <w:szCs w:val="21"/>
              </w:rPr>
              <w:t>4</w:t>
            </w:r>
            <w:r>
              <w:rPr>
                <w:w w:val="90"/>
                <w:szCs w:val="21"/>
              </w:rPr>
              <w:t>′</w:t>
            </w:r>
          </w:p>
        </w:tc>
        <w:tc>
          <w:tcPr>
            <w:tcW w:w="761" w:type="pct"/>
            <w:noWrap w:val="0"/>
            <w:vAlign w:val="center"/>
          </w:tcPr>
          <w:p>
            <w:pPr>
              <w:spacing w:line="0" w:lineRule="atLeast"/>
              <w:jc w:val="center"/>
              <w:rPr>
                <w:w w:val="90"/>
                <w:szCs w:val="21"/>
              </w:rPr>
            </w:pPr>
            <w:r>
              <w:rPr>
                <w:w w:val="90"/>
                <w:szCs w:val="21"/>
              </w:rPr>
              <w:t>S</w:t>
            </w:r>
            <w:r>
              <w:rPr>
                <w:rFonts w:hint="eastAsia"/>
                <w:w w:val="90"/>
                <w:szCs w:val="21"/>
              </w:rPr>
              <w:t>4</w:t>
            </w:r>
            <w:r>
              <w:rPr>
                <w:rFonts w:hint="eastAsia" w:hAnsi="宋体"/>
                <w:w w:val="90"/>
                <w:szCs w:val="21"/>
              </w:rPr>
              <w:t>-2边</w:t>
            </w:r>
            <w:r>
              <w:rPr>
                <w:w w:val="90"/>
                <w:szCs w:val="21"/>
              </w:rPr>
              <w:t>=</w:t>
            </w:r>
            <w:r>
              <w:rPr>
                <w:rFonts w:hint="eastAsia"/>
                <w:w w:val="90"/>
                <w:szCs w:val="21"/>
              </w:rPr>
              <w:t>0</w:t>
            </w:r>
          </w:p>
        </w:tc>
        <w:tc>
          <w:tcPr>
            <w:tcW w:w="461" w:type="pct"/>
            <w:vMerge w:val="continue"/>
            <w:noWrap w:val="0"/>
            <w:vAlign w:val="center"/>
          </w:tcPr>
          <w:p>
            <w:pPr>
              <w:spacing w:line="0" w:lineRule="atLeast"/>
              <w:jc w:val="center"/>
              <w:rPr>
                <w:w w:val="90"/>
                <w:szCs w:val="21"/>
              </w:rPr>
            </w:pPr>
          </w:p>
        </w:tc>
        <w:tc>
          <w:tcPr>
            <w:tcW w:w="377" w:type="pct"/>
            <w:vMerge w:val="continue"/>
            <w:noWrap w:val="0"/>
            <w:vAlign w:val="center"/>
          </w:tcPr>
          <w:p>
            <w:pPr>
              <w:spacing w:line="0" w:lineRule="atLeast"/>
              <w:jc w:val="center"/>
              <w:rPr>
                <w:w w:val="90"/>
                <w:szCs w:val="21"/>
              </w:rPr>
            </w:pPr>
          </w:p>
        </w:tc>
        <w:tc>
          <w:tcPr>
            <w:tcW w:w="433" w:type="pct"/>
            <w:vMerge w:val="continue"/>
            <w:noWrap w:val="0"/>
            <w:vAlign w:val="center"/>
          </w:tcPr>
          <w:p>
            <w:pPr>
              <w:spacing w:line="0" w:lineRule="atLeast"/>
              <w:jc w:val="center"/>
              <w:rPr>
                <w:w w:val="90"/>
                <w:szCs w:val="21"/>
              </w:rPr>
            </w:pPr>
          </w:p>
        </w:tc>
        <w:tc>
          <w:tcPr>
            <w:tcW w:w="461" w:type="pct"/>
            <w:vMerge w:val="continue"/>
            <w:noWrap w:val="0"/>
            <w:vAlign w:val="center"/>
          </w:tcPr>
          <w:p>
            <w:pPr>
              <w:spacing w:line="0" w:lineRule="atLeast"/>
              <w:jc w:val="center"/>
              <w:rPr>
                <w:w w:val="90"/>
                <w:szCs w:val="21"/>
              </w:rPr>
            </w:pPr>
          </w:p>
        </w:tc>
        <w:tc>
          <w:tcPr>
            <w:tcW w:w="387" w:type="pct"/>
            <w:vMerge w:val="continue"/>
            <w:noWrap w:val="0"/>
            <w:vAlign w:val="center"/>
          </w:tcPr>
          <w:p>
            <w:pPr>
              <w:spacing w:line="0" w:lineRule="atLeast"/>
              <w:jc w:val="center"/>
              <w:rPr>
                <w:w w:val="90"/>
                <w:szCs w:val="21"/>
              </w:rPr>
            </w:pPr>
          </w:p>
        </w:tc>
        <w:tc>
          <w:tcPr>
            <w:tcW w:w="433" w:type="pct"/>
            <w:vMerge w:val="continue"/>
            <w:noWrap w:val="0"/>
            <w:vAlign w:val="center"/>
          </w:tcPr>
          <w:p>
            <w:pPr>
              <w:spacing w:line="0" w:lineRule="atLeast"/>
              <w:jc w:val="center"/>
              <w:rPr>
                <w:w w:val="90"/>
                <w:szCs w:val="21"/>
              </w:rPr>
            </w:pPr>
          </w:p>
        </w:tc>
        <w:tc>
          <w:tcPr>
            <w:tcW w:w="461" w:type="pct"/>
            <w:vMerge w:val="continue"/>
            <w:noWrap w:val="0"/>
            <w:vAlign w:val="center"/>
          </w:tcPr>
          <w:p>
            <w:pPr>
              <w:spacing w:line="0" w:lineRule="atLeast"/>
              <w:jc w:val="center"/>
              <w:rPr>
                <w:w w:val="90"/>
                <w:szCs w:val="21"/>
              </w:rPr>
            </w:pPr>
          </w:p>
        </w:tc>
        <w:tc>
          <w:tcPr>
            <w:tcW w:w="461" w:type="pct"/>
            <w:vMerge w:val="continue"/>
            <w:tcBorders>
              <w:right w:val="single" w:color="auto" w:sz="8" w:space="0"/>
            </w:tcBorders>
            <w:noWrap w:val="0"/>
            <w:vAlign w:val="center"/>
          </w:tcPr>
          <w:p>
            <w:pPr>
              <w:spacing w:line="0" w:lineRule="atLeast"/>
              <w:jc w:val="center"/>
              <w:rPr>
                <w:w w:val="9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5" w:hRule="atLeast"/>
          <w:jc w:val="center"/>
        </w:trPr>
        <w:tc>
          <w:tcPr>
            <w:tcW w:w="415" w:type="pct"/>
            <w:vMerge w:val="restart"/>
            <w:tcBorders>
              <w:left w:val="single" w:color="auto" w:sz="8" w:space="0"/>
            </w:tcBorders>
            <w:noWrap w:val="0"/>
            <w:vAlign w:val="center"/>
          </w:tcPr>
          <w:p>
            <w:pPr>
              <w:spacing w:line="400" w:lineRule="exact"/>
              <w:jc w:val="center"/>
              <w:rPr>
                <w:w w:val="90"/>
                <w:szCs w:val="21"/>
              </w:rPr>
            </w:pPr>
            <w:r>
              <w:rPr>
                <w:rFonts w:hint="eastAsia"/>
                <w:w w:val="90"/>
                <w:szCs w:val="21"/>
              </w:rPr>
              <w:t>边4</w:t>
            </w:r>
          </w:p>
        </w:tc>
        <w:tc>
          <w:tcPr>
            <w:tcW w:w="350" w:type="pct"/>
            <w:noWrap w:val="0"/>
            <w:vAlign w:val="center"/>
          </w:tcPr>
          <w:p>
            <w:pPr>
              <w:spacing w:line="0" w:lineRule="atLeast"/>
              <w:jc w:val="center"/>
              <w:rPr>
                <w:w w:val="90"/>
                <w:szCs w:val="21"/>
              </w:rPr>
            </w:pPr>
            <w:r>
              <w:rPr>
                <w:rFonts w:hint="eastAsia"/>
                <w:w w:val="90"/>
                <w:szCs w:val="21"/>
              </w:rPr>
              <w:t>4</w:t>
            </w:r>
            <w:r>
              <w:rPr>
                <w:w w:val="90"/>
                <w:szCs w:val="21"/>
              </w:rPr>
              <w:t>-</w:t>
            </w:r>
            <w:r>
              <w:rPr>
                <w:rFonts w:hint="eastAsia"/>
                <w:w w:val="90"/>
                <w:szCs w:val="21"/>
              </w:rPr>
              <w:t>4</w:t>
            </w:r>
            <w:r>
              <w:rPr>
                <w:w w:val="90"/>
                <w:szCs w:val="21"/>
              </w:rPr>
              <w:t>′</w:t>
            </w:r>
          </w:p>
        </w:tc>
        <w:tc>
          <w:tcPr>
            <w:tcW w:w="761" w:type="pct"/>
            <w:noWrap w:val="0"/>
            <w:vAlign w:val="center"/>
          </w:tcPr>
          <w:p>
            <w:pPr>
              <w:spacing w:line="0" w:lineRule="atLeast"/>
              <w:jc w:val="center"/>
              <w:rPr>
                <w:rFonts w:hint="eastAsia"/>
                <w:w w:val="90"/>
                <w:szCs w:val="21"/>
              </w:rPr>
            </w:pPr>
            <w:r>
              <w:rPr>
                <w:w w:val="90"/>
                <w:szCs w:val="21"/>
              </w:rPr>
              <w:t>S</w:t>
            </w:r>
            <w:r>
              <w:rPr>
                <w:rFonts w:hint="eastAsia"/>
                <w:w w:val="90"/>
                <w:szCs w:val="21"/>
              </w:rPr>
              <w:t>4</w:t>
            </w:r>
            <w:r>
              <w:rPr>
                <w:rFonts w:hint="eastAsia" w:hAnsi="宋体"/>
                <w:w w:val="90"/>
                <w:szCs w:val="21"/>
              </w:rPr>
              <w:t>-1边</w:t>
            </w:r>
            <w:r>
              <w:rPr>
                <w:w w:val="90"/>
                <w:szCs w:val="21"/>
              </w:rPr>
              <w:t>=</w:t>
            </w:r>
            <w:r>
              <w:rPr>
                <w:rFonts w:hint="eastAsia"/>
                <w:w w:val="90"/>
                <w:szCs w:val="21"/>
              </w:rPr>
              <w:t>7036</w:t>
            </w:r>
          </w:p>
        </w:tc>
        <w:tc>
          <w:tcPr>
            <w:tcW w:w="461" w:type="pct"/>
            <w:vMerge w:val="restart"/>
            <w:noWrap w:val="0"/>
            <w:vAlign w:val="center"/>
          </w:tcPr>
          <w:p>
            <w:pPr>
              <w:spacing w:line="0" w:lineRule="atLeast"/>
              <w:jc w:val="center"/>
              <w:rPr>
                <w:rFonts w:hint="eastAsia"/>
                <w:w w:val="90"/>
                <w:szCs w:val="21"/>
              </w:rPr>
            </w:pPr>
            <w:r>
              <w:rPr>
                <w:rFonts w:hint="eastAsia"/>
                <w:w w:val="90"/>
                <w:szCs w:val="21"/>
              </w:rPr>
              <w:t>3747</w:t>
            </w:r>
          </w:p>
        </w:tc>
        <w:tc>
          <w:tcPr>
            <w:tcW w:w="377" w:type="pct"/>
            <w:vMerge w:val="restart"/>
            <w:noWrap w:val="0"/>
            <w:vAlign w:val="center"/>
          </w:tcPr>
          <w:p>
            <w:pPr>
              <w:spacing w:line="0" w:lineRule="atLeast"/>
              <w:jc w:val="center"/>
              <w:rPr>
                <w:rFonts w:hint="eastAsia"/>
                <w:w w:val="90"/>
                <w:szCs w:val="21"/>
              </w:rPr>
            </w:pPr>
            <w:r>
              <w:rPr>
                <w:rFonts w:hint="eastAsia"/>
                <w:w w:val="90"/>
                <w:szCs w:val="21"/>
              </w:rPr>
              <w:t>110.6</w:t>
            </w:r>
          </w:p>
        </w:tc>
        <w:tc>
          <w:tcPr>
            <w:tcW w:w="433" w:type="pct"/>
            <w:vMerge w:val="restart"/>
            <w:noWrap w:val="0"/>
            <w:vAlign w:val="center"/>
          </w:tcPr>
          <w:p>
            <w:pPr>
              <w:spacing w:line="0" w:lineRule="atLeast"/>
              <w:jc w:val="center"/>
              <w:rPr>
                <w:rFonts w:hint="eastAsia"/>
                <w:w w:val="90"/>
                <w:szCs w:val="21"/>
              </w:rPr>
            </w:pPr>
            <w:r>
              <w:rPr>
                <w:rFonts w:hint="eastAsia"/>
                <w:w w:val="90"/>
                <w:szCs w:val="21"/>
              </w:rPr>
              <w:t>41.44</w:t>
            </w:r>
          </w:p>
        </w:tc>
        <w:tc>
          <w:tcPr>
            <w:tcW w:w="461" w:type="pct"/>
            <w:vMerge w:val="restart"/>
            <w:noWrap w:val="0"/>
            <w:vAlign w:val="center"/>
          </w:tcPr>
          <w:p>
            <w:pPr>
              <w:spacing w:line="0" w:lineRule="atLeast"/>
              <w:jc w:val="center"/>
              <w:rPr>
                <w:rFonts w:hint="eastAsia"/>
                <w:w w:val="90"/>
                <w:szCs w:val="21"/>
              </w:rPr>
            </w:pPr>
            <w:r>
              <w:rPr>
                <w:rFonts w:hint="eastAsia"/>
                <w:w w:val="90"/>
                <w:szCs w:val="21"/>
              </w:rPr>
              <w:t>25</w:t>
            </w:r>
          </w:p>
        </w:tc>
        <w:tc>
          <w:tcPr>
            <w:tcW w:w="387" w:type="pct"/>
            <w:vMerge w:val="restart"/>
            <w:noWrap w:val="0"/>
            <w:vAlign w:val="center"/>
          </w:tcPr>
          <w:p>
            <w:pPr>
              <w:spacing w:line="0" w:lineRule="atLeast"/>
              <w:jc w:val="center"/>
              <w:rPr>
                <w:rFonts w:hint="eastAsia"/>
                <w:w w:val="90"/>
                <w:szCs w:val="21"/>
              </w:rPr>
            </w:pPr>
            <w:r>
              <w:rPr>
                <w:rFonts w:hint="eastAsia"/>
                <w:w w:val="90"/>
                <w:szCs w:val="21"/>
              </w:rPr>
              <w:t>2.40</w:t>
            </w:r>
          </w:p>
        </w:tc>
        <w:tc>
          <w:tcPr>
            <w:tcW w:w="433" w:type="pct"/>
            <w:vMerge w:val="restart"/>
            <w:noWrap w:val="0"/>
            <w:vAlign w:val="center"/>
          </w:tcPr>
          <w:p>
            <w:pPr>
              <w:spacing w:line="0" w:lineRule="atLeast"/>
              <w:jc w:val="center"/>
              <w:rPr>
                <w:rFonts w:hint="eastAsia"/>
                <w:w w:val="90"/>
                <w:szCs w:val="21"/>
              </w:rPr>
            </w:pPr>
            <w:r>
              <w:rPr>
                <w:rFonts w:hint="eastAsia"/>
                <w:w w:val="90"/>
                <w:szCs w:val="21"/>
              </w:rPr>
              <w:t>31.08</w:t>
            </w:r>
          </w:p>
        </w:tc>
        <w:tc>
          <w:tcPr>
            <w:tcW w:w="461" w:type="pct"/>
            <w:vMerge w:val="restart"/>
            <w:noWrap w:val="0"/>
            <w:vAlign w:val="center"/>
          </w:tcPr>
          <w:p>
            <w:pPr>
              <w:spacing w:line="0" w:lineRule="atLeast"/>
              <w:jc w:val="center"/>
              <w:rPr>
                <w:rFonts w:hint="eastAsia"/>
                <w:w w:val="90"/>
                <w:szCs w:val="21"/>
              </w:rPr>
            </w:pPr>
            <w:r>
              <w:rPr>
                <w:rFonts w:hint="eastAsia"/>
                <w:w w:val="90"/>
                <w:szCs w:val="21"/>
              </w:rPr>
              <w:t>74.6</w:t>
            </w:r>
          </w:p>
        </w:tc>
        <w:tc>
          <w:tcPr>
            <w:tcW w:w="461" w:type="pct"/>
            <w:vMerge w:val="continue"/>
            <w:tcBorders>
              <w:right w:val="single" w:color="auto" w:sz="8" w:space="0"/>
            </w:tcBorders>
            <w:noWrap w:val="0"/>
            <w:vAlign w:val="center"/>
          </w:tcPr>
          <w:p>
            <w:pPr>
              <w:spacing w:line="0" w:lineRule="atLeast"/>
              <w:jc w:val="center"/>
              <w:rPr>
                <w:w w:val="9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5" w:hRule="atLeast"/>
          <w:jc w:val="center"/>
        </w:trPr>
        <w:tc>
          <w:tcPr>
            <w:tcW w:w="415" w:type="pct"/>
            <w:vMerge w:val="continue"/>
            <w:tcBorders>
              <w:left w:val="single" w:color="auto" w:sz="8" w:space="0"/>
            </w:tcBorders>
            <w:noWrap w:val="0"/>
            <w:vAlign w:val="center"/>
          </w:tcPr>
          <w:p>
            <w:pPr>
              <w:spacing w:line="400" w:lineRule="exact"/>
              <w:jc w:val="center"/>
              <w:rPr>
                <w:w w:val="90"/>
                <w:szCs w:val="21"/>
              </w:rPr>
            </w:pPr>
          </w:p>
        </w:tc>
        <w:tc>
          <w:tcPr>
            <w:tcW w:w="350" w:type="pct"/>
            <w:noWrap w:val="0"/>
            <w:vAlign w:val="center"/>
          </w:tcPr>
          <w:p>
            <w:pPr>
              <w:spacing w:line="0" w:lineRule="atLeast"/>
              <w:jc w:val="center"/>
              <w:rPr>
                <w:w w:val="90"/>
                <w:szCs w:val="21"/>
              </w:rPr>
            </w:pPr>
            <w:r>
              <w:rPr>
                <w:rFonts w:hint="eastAsia"/>
                <w:w w:val="90"/>
                <w:szCs w:val="21"/>
              </w:rPr>
              <w:t>5</w:t>
            </w:r>
            <w:r>
              <w:rPr>
                <w:w w:val="90"/>
                <w:szCs w:val="21"/>
              </w:rPr>
              <w:t>-</w:t>
            </w:r>
            <w:r>
              <w:rPr>
                <w:rFonts w:hint="eastAsia"/>
                <w:w w:val="90"/>
                <w:szCs w:val="21"/>
              </w:rPr>
              <w:t>5</w:t>
            </w:r>
            <w:r>
              <w:rPr>
                <w:w w:val="90"/>
                <w:szCs w:val="21"/>
              </w:rPr>
              <w:t>′</w:t>
            </w:r>
          </w:p>
        </w:tc>
        <w:tc>
          <w:tcPr>
            <w:tcW w:w="761" w:type="pct"/>
            <w:noWrap w:val="0"/>
            <w:vAlign w:val="center"/>
          </w:tcPr>
          <w:p>
            <w:pPr>
              <w:spacing w:line="0" w:lineRule="atLeast"/>
              <w:jc w:val="center"/>
              <w:rPr>
                <w:w w:val="90"/>
                <w:szCs w:val="21"/>
              </w:rPr>
            </w:pPr>
            <w:r>
              <w:rPr>
                <w:w w:val="90"/>
                <w:szCs w:val="21"/>
              </w:rPr>
              <w:t>S</w:t>
            </w:r>
            <w:r>
              <w:rPr>
                <w:rFonts w:hint="eastAsia"/>
                <w:w w:val="90"/>
                <w:szCs w:val="21"/>
              </w:rPr>
              <w:t>5</w:t>
            </w:r>
            <w:r>
              <w:rPr>
                <w:rFonts w:hint="eastAsia" w:hAnsi="宋体"/>
                <w:w w:val="90"/>
                <w:szCs w:val="21"/>
              </w:rPr>
              <w:t>边</w:t>
            </w:r>
            <w:r>
              <w:rPr>
                <w:w w:val="90"/>
                <w:szCs w:val="21"/>
              </w:rPr>
              <w:t>=</w:t>
            </w:r>
            <w:r>
              <w:rPr>
                <w:rFonts w:hint="eastAsia"/>
                <w:w w:val="90"/>
                <w:szCs w:val="21"/>
              </w:rPr>
              <w:t>1245</w:t>
            </w:r>
          </w:p>
        </w:tc>
        <w:tc>
          <w:tcPr>
            <w:tcW w:w="461" w:type="pct"/>
            <w:vMerge w:val="continue"/>
            <w:noWrap w:val="0"/>
            <w:vAlign w:val="center"/>
          </w:tcPr>
          <w:p>
            <w:pPr>
              <w:spacing w:line="0" w:lineRule="atLeast"/>
              <w:jc w:val="center"/>
              <w:rPr>
                <w:w w:val="90"/>
                <w:szCs w:val="21"/>
              </w:rPr>
            </w:pPr>
          </w:p>
        </w:tc>
        <w:tc>
          <w:tcPr>
            <w:tcW w:w="377" w:type="pct"/>
            <w:vMerge w:val="continue"/>
            <w:noWrap w:val="0"/>
            <w:vAlign w:val="center"/>
          </w:tcPr>
          <w:p>
            <w:pPr>
              <w:spacing w:line="0" w:lineRule="atLeast"/>
              <w:jc w:val="center"/>
              <w:rPr>
                <w:w w:val="90"/>
                <w:szCs w:val="21"/>
              </w:rPr>
            </w:pPr>
          </w:p>
        </w:tc>
        <w:tc>
          <w:tcPr>
            <w:tcW w:w="433" w:type="pct"/>
            <w:vMerge w:val="continue"/>
            <w:noWrap w:val="0"/>
            <w:vAlign w:val="center"/>
          </w:tcPr>
          <w:p>
            <w:pPr>
              <w:spacing w:line="0" w:lineRule="atLeast"/>
              <w:jc w:val="center"/>
              <w:rPr>
                <w:w w:val="90"/>
                <w:szCs w:val="21"/>
              </w:rPr>
            </w:pPr>
          </w:p>
        </w:tc>
        <w:tc>
          <w:tcPr>
            <w:tcW w:w="461" w:type="pct"/>
            <w:vMerge w:val="continue"/>
            <w:noWrap w:val="0"/>
            <w:vAlign w:val="center"/>
          </w:tcPr>
          <w:p>
            <w:pPr>
              <w:spacing w:line="0" w:lineRule="atLeast"/>
              <w:jc w:val="center"/>
              <w:rPr>
                <w:w w:val="90"/>
                <w:szCs w:val="21"/>
              </w:rPr>
            </w:pPr>
          </w:p>
        </w:tc>
        <w:tc>
          <w:tcPr>
            <w:tcW w:w="387" w:type="pct"/>
            <w:vMerge w:val="continue"/>
            <w:noWrap w:val="0"/>
            <w:vAlign w:val="center"/>
          </w:tcPr>
          <w:p>
            <w:pPr>
              <w:spacing w:line="0" w:lineRule="atLeast"/>
              <w:jc w:val="center"/>
              <w:rPr>
                <w:w w:val="90"/>
                <w:szCs w:val="21"/>
              </w:rPr>
            </w:pPr>
          </w:p>
        </w:tc>
        <w:tc>
          <w:tcPr>
            <w:tcW w:w="433" w:type="pct"/>
            <w:vMerge w:val="continue"/>
            <w:noWrap w:val="0"/>
            <w:vAlign w:val="center"/>
          </w:tcPr>
          <w:p>
            <w:pPr>
              <w:spacing w:line="0" w:lineRule="atLeast"/>
              <w:jc w:val="center"/>
              <w:rPr>
                <w:w w:val="90"/>
                <w:szCs w:val="21"/>
              </w:rPr>
            </w:pPr>
          </w:p>
        </w:tc>
        <w:tc>
          <w:tcPr>
            <w:tcW w:w="461" w:type="pct"/>
            <w:vMerge w:val="continue"/>
            <w:noWrap w:val="0"/>
            <w:vAlign w:val="center"/>
          </w:tcPr>
          <w:p>
            <w:pPr>
              <w:spacing w:line="0" w:lineRule="atLeast"/>
              <w:jc w:val="center"/>
              <w:rPr>
                <w:w w:val="90"/>
                <w:szCs w:val="21"/>
              </w:rPr>
            </w:pPr>
          </w:p>
        </w:tc>
        <w:tc>
          <w:tcPr>
            <w:tcW w:w="461" w:type="pct"/>
            <w:vMerge w:val="continue"/>
            <w:tcBorders>
              <w:right w:val="single" w:color="auto" w:sz="8" w:space="0"/>
            </w:tcBorders>
            <w:noWrap w:val="0"/>
            <w:vAlign w:val="center"/>
          </w:tcPr>
          <w:p>
            <w:pPr>
              <w:spacing w:line="0" w:lineRule="atLeast"/>
              <w:jc w:val="center"/>
              <w:rPr>
                <w:w w:val="9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5" w:hRule="atLeast"/>
          <w:jc w:val="center"/>
        </w:trPr>
        <w:tc>
          <w:tcPr>
            <w:tcW w:w="1526" w:type="pct"/>
            <w:gridSpan w:val="3"/>
            <w:tcBorders>
              <w:left w:val="single" w:color="auto" w:sz="8" w:space="0"/>
              <w:bottom w:val="single" w:color="auto" w:sz="8" w:space="0"/>
            </w:tcBorders>
            <w:noWrap w:val="0"/>
            <w:vAlign w:val="center"/>
          </w:tcPr>
          <w:p>
            <w:pPr>
              <w:spacing w:line="0" w:lineRule="atLeast"/>
              <w:jc w:val="center"/>
              <w:rPr>
                <w:rFonts w:hint="eastAsia"/>
                <w:w w:val="90"/>
                <w:szCs w:val="21"/>
              </w:rPr>
            </w:pPr>
            <w:r>
              <w:rPr>
                <w:rFonts w:hint="eastAsia" w:hAnsi="宋体"/>
                <w:w w:val="90"/>
                <w:szCs w:val="21"/>
              </w:rPr>
              <w:t>合计</w:t>
            </w:r>
          </w:p>
        </w:tc>
        <w:tc>
          <w:tcPr>
            <w:tcW w:w="461" w:type="pct"/>
            <w:tcBorders>
              <w:bottom w:val="single" w:color="auto" w:sz="8" w:space="0"/>
            </w:tcBorders>
            <w:noWrap w:val="0"/>
            <w:vAlign w:val="center"/>
          </w:tcPr>
          <w:p>
            <w:pPr>
              <w:spacing w:line="0" w:lineRule="atLeast"/>
              <w:jc w:val="center"/>
              <w:rPr>
                <w:w w:val="90"/>
                <w:szCs w:val="21"/>
              </w:rPr>
            </w:pPr>
          </w:p>
        </w:tc>
        <w:tc>
          <w:tcPr>
            <w:tcW w:w="377" w:type="pct"/>
            <w:tcBorders>
              <w:bottom w:val="single" w:color="auto" w:sz="8" w:space="0"/>
            </w:tcBorders>
            <w:noWrap w:val="0"/>
            <w:vAlign w:val="center"/>
          </w:tcPr>
          <w:p>
            <w:pPr>
              <w:spacing w:line="0" w:lineRule="atLeast"/>
              <w:jc w:val="center"/>
              <w:rPr>
                <w:w w:val="90"/>
                <w:szCs w:val="21"/>
              </w:rPr>
            </w:pPr>
          </w:p>
        </w:tc>
        <w:tc>
          <w:tcPr>
            <w:tcW w:w="433" w:type="pct"/>
            <w:tcBorders>
              <w:bottom w:val="single" w:color="auto" w:sz="8" w:space="0"/>
            </w:tcBorders>
            <w:noWrap w:val="0"/>
            <w:vAlign w:val="center"/>
          </w:tcPr>
          <w:p>
            <w:pPr>
              <w:spacing w:line="0" w:lineRule="atLeast"/>
              <w:jc w:val="center"/>
              <w:rPr>
                <w:w w:val="90"/>
                <w:szCs w:val="21"/>
              </w:rPr>
            </w:pPr>
            <w:r>
              <w:rPr>
                <w:w w:val="90"/>
                <w:szCs w:val="21"/>
              </w:rPr>
              <w:fldChar w:fldCharType="begin"/>
            </w:r>
            <w:r>
              <w:rPr>
                <w:w w:val="90"/>
                <w:szCs w:val="21"/>
              </w:rPr>
              <w:instrText xml:space="preserve"> =SUM(ABOVE) </w:instrText>
            </w:r>
            <w:r>
              <w:rPr>
                <w:w w:val="90"/>
                <w:szCs w:val="21"/>
              </w:rPr>
              <w:fldChar w:fldCharType="separate"/>
            </w:r>
            <w:r>
              <w:rPr>
                <w:w w:val="90"/>
                <w:szCs w:val="21"/>
              </w:rPr>
              <w:t>258.96</w:t>
            </w:r>
            <w:r>
              <w:rPr>
                <w:w w:val="90"/>
                <w:szCs w:val="21"/>
              </w:rPr>
              <w:fldChar w:fldCharType="end"/>
            </w:r>
          </w:p>
        </w:tc>
        <w:tc>
          <w:tcPr>
            <w:tcW w:w="461" w:type="pct"/>
            <w:tcBorders>
              <w:bottom w:val="single" w:color="auto" w:sz="8" w:space="0"/>
            </w:tcBorders>
            <w:noWrap w:val="0"/>
            <w:vAlign w:val="center"/>
          </w:tcPr>
          <w:p>
            <w:pPr>
              <w:spacing w:line="0" w:lineRule="atLeast"/>
              <w:jc w:val="center"/>
              <w:rPr>
                <w:w w:val="90"/>
                <w:szCs w:val="21"/>
              </w:rPr>
            </w:pPr>
          </w:p>
        </w:tc>
        <w:tc>
          <w:tcPr>
            <w:tcW w:w="387" w:type="pct"/>
            <w:tcBorders>
              <w:bottom w:val="single" w:color="auto" w:sz="8" w:space="0"/>
            </w:tcBorders>
            <w:noWrap w:val="0"/>
            <w:vAlign w:val="center"/>
          </w:tcPr>
          <w:p>
            <w:pPr>
              <w:spacing w:line="0" w:lineRule="atLeast"/>
              <w:jc w:val="center"/>
              <w:rPr>
                <w:w w:val="90"/>
                <w:szCs w:val="21"/>
              </w:rPr>
            </w:pPr>
          </w:p>
        </w:tc>
        <w:tc>
          <w:tcPr>
            <w:tcW w:w="433" w:type="pct"/>
            <w:tcBorders>
              <w:bottom w:val="single" w:color="auto" w:sz="8" w:space="0"/>
            </w:tcBorders>
            <w:noWrap w:val="0"/>
            <w:vAlign w:val="center"/>
          </w:tcPr>
          <w:p>
            <w:pPr>
              <w:spacing w:line="0" w:lineRule="atLeast"/>
              <w:jc w:val="center"/>
              <w:rPr>
                <w:w w:val="90"/>
                <w:szCs w:val="21"/>
              </w:rPr>
            </w:pPr>
            <w:r>
              <w:rPr>
                <w:w w:val="90"/>
                <w:szCs w:val="21"/>
              </w:rPr>
              <w:fldChar w:fldCharType="begin"/>
            </w:r>
            <w:r>
              <w:rPr>
                <w:w w:val="90"/>
                <w:szCs w:val="21"/>
              </w:rPr>
              <w:instrText xml:space="preserve"> =SUM(ABOVE) </w:instrText>
            </w:r>
            <w:r>
              <w:rPr>
                <w:w w:val="90"/>
                <w:szCs w:val="21"/>
              </w:rPr>
              <w:fldChar w:fldCharType="separate"/>
            </w:r>
            <w:r>
              <w:rPr>
                <w:w w:val="90"/>
                <w:szCs w:val="21"/>
              </w:rPr>
              <w:t>194.62</w:t>
            </w:r>
            <w:r>
              <w:rPr>
                <w:w w:val="90"/>
                <w:szCs w:val="21"/>
              </w:rPr>
              <w:fldChar w:fldCharType="end"/>
            </w:r>
          </w:p>
        </w:tc>
        <w:tc>
          <w:tcPr>
            <w:tcW w:w="461" w:type="pct"/>
            <w:tcBorders>
              <w:bottom w:val="single" w:color="auto" w:sz="8" w:space="0"/>
              <w:right w:val="single" w:color="auto" w:sz="8" w:space="0"/>
            </w:tcBorders>
            <w:noWrap w:val="0"/>
            <w:vAlign w:val="center"/>
          </w:tcPr>
          <w:p>
            <w:pPr>
              <w:spacing w:line="0" w:lineRule="atLeast"/>
              <w:jc w:val="center"/>
              <w:rPr>
                <w:w w:val="90"/>
                <w:szCs w:val="21"/>
              </w:rPr>
            </w:pPr>
            <w:r>
              <w:rPr>
                <w:w w:val="90"/>
                <w:szCs w:val="21"/>
              </w:rPr>
              <w:fldChar w:fldCharType="begin"/>
            </w:r>
            <w:r>
              <w:rPr>
                <w:w w:val="90"/>
                <w:szCs w:val="21"/>
              </w:rPr>
              <w:instrText xml:space="preserve"> =SUM(ABOVE) </w:instrText>
            </w:r>
            <w:r>
              <w:rPr>
                <w:w w:val="90"/>
                <w:szCs w:val="21"/>
              </w:rPr>
              <w:fldChar w:fldCharType="separate"/>
            </w:r>
            <w:r>
              <w:rPr>
                <w:w w:val="90"/>
                <w:szCs w:val="21"/>
              </w:rPr>
              <w:t>466.1</w:t>
            </w:r>
            <w:r>
              <w:rPr>
                <w:w w:val="90"/>
                <w:szCs w:val="21"/>
              </w:rPr>
              <w:fldChar w:fldCharType="end"/>
            </w:r>
          </w:p>
        </w:tc>
        <w:tc>
          <w:tcPr>
            <w:tcW w:w="461" w:type="pct"/>
            <w:tcBorders>
              <w:bottom w:val="single" w:color="auto" w:sz="8" w:space="0"/>
              <w:right w:val="single" w:color="auto" w:sz="8" w:space="0"/>
            </w:tcBorders>
            <w:noWrap w:val="0"/>
            <w:vAlign w:val="top"/>
          </w:tcPr>
          <w:p>
            <w:pPr>
              <w:spacing w:line="0" w:lineRule="atLeast"/>
              <w:jc w:val="center"/>
              <w:rPr>
                <w:w w:val="90"/>
                <w:szCs w:val="21"/>
              </w:rPr>
            </w:pPr>
          </w:p>
        </w:tc>
      </w:tr>
    </w:tbl>
    <w:p>
      <w:pPr>
        <w:pStyle w:val="2"/>
        <w:adjustRightInd w:val="0"/>
        <w:spacing w:before="0" w:after="0" w:line="240" w:lineRule="auto"/>
        <w:ind w:left="105" w:leftChars="50" w:right="105" w:rightChars="50"/>
        <w:jc w:val="left"/>
        <w:rPr>
          <w:rStyle w:val="23"/>
          <w:color w:val="auto"/>
          <w:sz w:val="32"/>
          <w:szCs w:val="32"/>
        </w:rPr>
      </w:pPr>
      <w:bookmarkStart w:id="51" w:name="_Toc59802158"/>
      <w:bookmarkStart w:id="52" w:name="_Toc485220930"/>
      <w:r>
        <w:rPr>
          <w:rStyle w:val="23"/>
          <w:color w:val="auto"/>
          <w:sz w:val="32"/>
          <w:szCs w:val="32"/>
        </w:rPr>
        <w:t>7  矿山经济意义研究</w:t>
      </w:r>
      <w:bookmarkEnd w:id="51"/>
      <w:bookmarkEnd w:id="52"/>
    </w:p>
    <w:p>
      <w:pPr>
        <w:pStyle w:val="3"/>
        <w:spacing w:before="0" w:after="0" w:line="240" w:lineRule="auto"/>
        <w:textAlignment w:val="baseline"/>
        <w:rPr>
          <w:rFonts w:ascii="Times New Roman" w:hAnsi="Times New Roman" w:eastAsia="宋体"/>
          <w:sz w:val="30"/>
        </w:rPr>
      </w:pPr>
      <w:bookmarkStart w:id="53" w:name="_Toc59802159"/>
      <w:bookmarkStart w:id="54" w:name="_Toc142"/>
      <w:r>
        <w:rPr>
          <w:rFonts w:ascii="Times New Roman" w:hAnsi="Times New Roman" w:eastAsia="宋体"/>
          <w:sz w:val="30"/>
        </w:rPr>
        <w:t>7.1 矿床开发需求及市场情况</w:t>
      </w:r>
      <w:bookmarkEnd w:id="53"/>
      <w:bookmarkEnd w:id="54"/>
    </w:p>
    <w:p>
      <w:pPr>
        <w:pStyle w:val="9"/>
        <w:spacing w:line="240" w:lineRule="auto"/>
        <w:ind w:firstLine="573"/>
        <w:textAlignment w:val="baseline"/>
        <w:rPr>
          <w:lang w:val="zh-CN"/>
        </w:rPr>
      </w:pPr>
      <w:r>
        <w:rPr>
          <w:rFonts w:hAnsi="宋体"/>
          <w:lang w:val="zh-CN"/>
        </w:rPr>
        <w:t>该矿开采矿产为</w:t>
      </w:r>
      <w:r>
        <w:rPr>
          <w:rFonts w:hint="eastAsia" w:hAnsi="宋体"/>
          <w:lang w:val="zh-CN"/>
        </w:rPr>
        <w:t>制</w:t>
      </w:r>
      <w:r>
        <w:rPr>
          <w:rFonts w:hAnsi="宋体"/>
          <w:lang w:val="zh-CN"/>
        </w:rPr>
        <w:t>砖</w:t>
      </w:r>
      <w:r>
        <w:rPr>
          <w:rFonts w:hint="eastAsia" w:hAnsi="宋体"/>
          <w:lang w:val="zh-CN"/>
        </w:rPr>
        <w:t>厂提供</w:t>
      </w:r>
      <w:r>
        <w:rPr>
          <w:rFonts w:hAnsi="宋体"/>
          <w:lang w:val="zh-CN"/>
        </w:rPr>
        <w:t>页岩矿</w:t>
      </w:r>
      <w:r>
        <w:rPr>
          <w:rFonts w:hint="eastAsia" w:hAnsi="宋体"/>
          <w:lang w:val="zh-CN"/>
        </w:rPr>
        <w:t>原料</w:t>
      </w:r>
      <w:r>
        <w:rPr>
          <w:rFonts w:hAnsi="宋体"/>
          <w:lang w:val="zh-CN"/>
        </w:rPr>
        <w:t>，</w:t>
      </w:r>
      <w:r>
        <w:rPr>
          <w:rFonts w:hint="eastAsia" w:hAnsi="宋体"/>
          <w:lang w:val="zh-CN"/>
        </w:rPr>
        <w:t>主要用于</w:t>
      </w:r>
      <w:r>
        <w:rPr>
          <w:rFonts w:hAnsi="宋体"/>
        </w:rPr>
        <w:t>脱贫攻坚项目：</w:t>
      </w:r>
      <w:r>
        <w:rPr>
          <w:rFonts w:hAnsi="宋体"/>
          <w:lang w:val="zh-CN"/>
        </w:rPr>
        <w:t>乡镇村民用建筑、</w:t>
      </w:r>
      <w:r>
        <w:rPr>
          <w:rFonts w:hint="eastAsia" w:hAnsi="宋体"/>
          <w:lang w:val="zh-CN"/>
        </w:rPr>
        <w:t>城镇、工矿</w:t>
      </w:r>
      <w:r>
        <w:rPr>
          <w:rFonts w:hAnsi="宋体"/>
          <w:lang w:val="zh-CN"/>
        </w:rPr>
        <w:t>企业建设基础用材料，是一种最基本的建筑用材料。近年来产品的需求量较大。</w:t>
      </w:r>
    </w:p>
    <w:p>
      <w:pPr>
        <w:pStyle w:val="3"/>
        <w:spacing w:before="0" w:after="0" w:line="240" w:lineRule="auto"/>
        <w:textAlignment w:val="baseline"/>
        <w:rPr>
          <w:rFonts w:ascii="Times New Roman" w:hAnsi="Times New Roman" w:eastAsia="宋体"/>
          <w:sz w:val="30"/>
        </w:rPr>
      </w:pPr>
      <w:bookmarkStart w:id="55" w:name="_Toc59802160"/>
      <w:bookmarkStart w:id="56" w:name="_Toc20627"/>
      <w:r>
        <w:rPr>
          <w:rFonts w:ascii="Times New Roman" w:hAnsi="Times New Roman" w:eastAsia="宋体"/>
          <w:sz w:val="30"/>
        </w:rPr>
        <w:t>7.2 矿产开发经济效益概述</w:t>
      </w:r>
      <w:bookmarkEnd w:id="55"/>
      <w:bookmarkEnd w:id="56"/>
    </w:p>
    <w:p>
      <w:pPr>
        <w:textAlignment w:val="baseline"/>
        <w:rPr>
          <w:sz w:val="28"/>
          <w:lang w:val="zh-CN"/>
        </w:rPr>
      </w:pPr>
      <w:r>
        <w:rPr>
          <w:b/>
          <w:sz w:val="28"/>
        </w:rPr>
        <w:t>7.2.1 生产规模及服务年限</w:t>
      </w:r>
    </w:p>
    <w:p>
      <w:pPr>
        <w:ind w:firstLine="573"/>
        <w:textAlignment w:val="baseline"/>
        <w:rPr>
          <w:sz w:val="28"/>
        </w:rPr>
      </w:pPr>
      <w:r>
        <w:rPr>
          <w:rFonts w:hAnsi="宋体"/>
          <w:sz w:val="28"/>
        </w:rPr>
        <w:t>本次资源</w:t>
      </w:r>
      <w:r>
        <w:rPr>
          <w:rFonts w:hint="eastAsia" w:hAnsi="宋体"/>
          <w:sz w:val="28"/>
        </w:rPr>
        <w:t>量</w:t>
      </w:r>
      <w:r>
        <w:rPr>
          <w:rFonts w:hAnsi="宋体"/>
          <w:sz w:val="28"/>
        </w:rPr>
        <w:t>核实，可利用</w:t>
      </w:r>
      <w:r>
        <w:rPr>
          <w:rFonts w:hint="eastAsia" w:hAnsi="宋体"/>
          <w:sz w:val="28"/>
        </w:rPr>
        <w:t>控制</w:t>
      </w:r>
      <w:r>
        <w:rPr>
          <w:rFonts w:hAnsi="宋体"/>
          <w:sz w:val="28"/>
        </w:rPr>
        <w:t>资源量</w:t>
      </w:r>
      <w:r>
        <w:rPr>
          <w:rFonts w:hint="eastAsia"/>
          <w:sz w:val="28"/>
        </w:rPr>
        <w:t>1062.9</w:t>
      </w:r>
      <w:r>
        <w:rPr>
          <w:rFonts w:hAnsi="宋体"/>
          <w:sz w:val="28"/>
        </w:rPr>
        <w:t>万吨</w:t>
      </w:r>
      <w:r>
        <w:rPr>
          <w:color w:val="000000"/>
          <w:sz w:val="28"/>
          <w:szCs w:val="28"/>
        </w:rPr>
        <w:t>(</w:t>
      </w:r>
      <w:r>
        <w:rPr>
          <w:rFonts w:hAnsi="宋体"/>
          <w:color w:val="000000"/>
          <w:sz w:val="28"/>
          <w:szCs w:val="28"/>
        </w:rPr>
        <w:t>矿石体积</w:t>
      </w:r>
      <w:r>
        <w:rPr>
          <w:rFonts w:hint="eastAsia"/>
          <w:color w:val="000000"/>
          <w:sz w:val="28"/>
          <w:szCs w:val="28"/>
        </w:rPr>
        <w:t>442.91</w:t>
      </w:r>
      <w:r>
        <w:rPr>
          <w:rFonts w:hAnsi="宋体"/>
          <w:color w:val="000000"/>
          <w:sz w:val="28"/>
          <w:szCs w:val="28"/>
        </w:rPr>
        <w:t>万</w:t>
      </w:r>
      <w:r>
        <w:rPr>
          <w:color w:val="000000"/>
          <w:sz w:val="28"/>
          <w:szCs w:val="28"/>
        </w:rPr>
        <w:t>m</w:t>
      </w:r>
      <w:r>
        <w:rPr>
          <w:color w:val="000000"/>
          <w:sz w:val="28"/>
          <w:szCs w:val="28"/>
          <w:vertAlign w:val="superscript"/>
        </w:rPr>
        <w:t>3</w:t>
      </w:r>
      <w:r>
        <w:rPr>
          <w:color w:val="000000"/>
          <w:sz w:val="28"/>
          <w:szCs w:val="28"/>
        </w:rPr>
        <w:t>)</w:t>
      </w:r>
      <w:r>
        <w:rPr>
          <w:rFonts w:hAnsi="宋体"/>
          <w:sz w:val="28"/>
        </w:rPr>
        <w:t>，按</w:t>
      </w:r>
      <w:r>
        <w:rPr>
          <w:rFonts w:hint="eastAsia" w:hAnsi="宋体"/>
          <w:sz w:val="28"/>
        </w:rPr>
        <w:t>资源</w:t>
      </w:r>
      <w:r>
        <w:rPr>
          <w:rFonts w:hAnsi="宋体"/>
          <w:sz w:val="28"/>
        </w:rPr>
        <w:t>量备用系数</w:t>
      </w:r>
      <w:r>
        <w:rPr>
          <w:sz w:val="28"/>
        </w:rPr>
        <w:t>1.0</w:t>
      </w:r>
      <w:r>
        <w:rPr>
          <w:rFonts w:hAnsi="宋体"/>
          <w:sz w:val="28"/>
        </w:rPr>
        <w:t>折算，再按</w:t>
      </w:r>
      <w:r>
        <w:rPr>
          <w:sz w:val="28"/>
        </w:rPr>
        <w:t>9</w:t>
      </w:r>
      <w:r>
        <w:rPr>
          <w:rFonts w:hint="eastAsia"/>
          <w:sz w:val="28"/>
        </w:rPr>
        <w:t>5</w:t>
      </w:r>
      <w:r>
        <w:rPr>
          <w:sz w:val="28"/>
        </w:rPr>
        <w:t>%</w:t>
      </w:r>
      <w:r>
        <w:rPr>
          <w:rFonts w:hAnsi="宋体"/>
          <w:sz w:val="28"/>
        </w:rPr>
        <w:t>回采率计算，可获得开采</w:t>
      </w:r>
      <w:r>
        <w:rPr>
          <w:rFonts w:hint="eastAsia" w:hAnsi="宋体"/>
          <w:sz w:val="28"/>
        </w:rPr>
        <w:t>资源</w:t>
      </w:r>
      <w:r>
        <w:rPr>
          <w:rFonts w:hAnsi="宋体"/>
          <w:sz w:val="28"/>
        </w:rPr>
        <w:t>量</w:t>
      </w:r>
      <w:r>
        <w:rPr>
          <w:rFonts w:hint="eastAsia"/>
          <w:sz w:val="28"/>
        </w:rPr>
        <w:t>1009.8</w:t>
      </w:r>
      <w:r>
        <w:rPr>
          <w:rFonts w:hAnsi="宋体"/>
          <w:sz w:val="28"/>
        </w:rPr>
        <w:t>万吨，该矿拟设置生产规模为</w:t>
      </w:r>
      <w:r>
        <w:rPr>
          <w:rFonts w:hint="eastAsia"/>
          <w:sz w:val="28"/>
        </w:rPr>
        <w:t>5</w:t>
      </w:r>
      <w:r>
        <w:rPr>
          <w:sz w:val="28"/>
        </w:rPr>
        <w:t>0</w:t>
      </w:r>
      <w:r>
        <w:rPr>
          <w:rFonts w:hAnsi="宋体"/>
          <w:sz w:val="28"/>
        </w:rPr>
        <w:t>万吨</w:t>
      </w:r>
      <w:r>
        <w:rPr>
          <w:sz w:val="28"/>
        </w:rPr>
        <w:t>/</w:t>
      </w:r>
      <w:r>
        <w:rPr>
          <w:rFonts w:hAnsi="宋体"/>
          <w:sz w:val="28"/>
        </w:rPr>
        <w:t>年，矿山服务年限约</w:t>
      </w:r>
      <w:r>
        <w:rPr>
          <w:rFonts w:hint="eastAsia"/>
          <w:sz w:val="28"/>
        </w:rPr>
        <w:t>20</w:t>
      </w:r>
      <w:r>
        <w:rPr>
          <w:rFonts w:hAnsi="宋体"/>
          <w:sz w:val="28"/>
        </w:rPr>
        <w:t>年。</w:t>
      </w:r>
    </w:p>
    <w:p>
      <w:pPr>
        <w:spacing w:line="520" w:lineRule="exact"/>
        <w:jc w:val="left"/>
        <w:textAlignment w:val="baseline"/>
        <w:rPr>
          <w:sz w:val="28"/>
        </w:rPr>
      </w:pPr>
      <w:bookmarkStart w:id="57" w:name="_Toc59802161"/>
      <w:bookmarkStart w:id="58" w:name="_Toc248166391"/>
      <w:r>
        <w:rPr>
          <w:b/>
          <w:sz w:val="28"/>
        </w:rPr>
        <w:t>7.2.2 矿山主要经济指标</w:t>
      </w:r>
    </w:p>
    <w:p>
      <w:pPr>
        <w:spacing w:line="360" w:lineRule="auto"/>
        <w:ind w:firstLine="573"/>
        <w:textAlignment w:val="baseline"/>
        <w:rPr>
          <w:sz w:val="28"/>
        </w:rPr>
      </w:pPr>
      <w:r>
        <w:rPr>
          <w:sz w:val="28"/>
        </w:rPr>
        <w:t>(1)</w:t>
      </w:r>
      <w:r>
        <w:rPr>
          <w:rFonts w:hAnsi="宋体"/>
          <w:sz w:val="28"/>
        </w:rPr>
        <w:t>基建投资：单位矿石采选基建投资</w:t>
      </w:r>
      <w:r>
        <w:rPr>
          <w:sz w:val="28"/>
        </w:rPr>
        <w:t>20</w:t>
      </w:r>
      <w:r>
        <w:rPr>
          <w:rFonts w:hAnsi="宋体"/>
          <w:sz w:val="28"/>
        </w:rPr>
        <w:t>元</w:t>
      </w:r>
      <w:r>
        <w:rPr>
          <w:sz w:val="28"/>
        </w:rPr>
        <w:t>/</w:t>
      </w:r>
      <w:r>
        <w:rPr>
          <w:rFonts w:hAnsi="宋体"/>
          <w:sz w:val="28"/>
        </w:rPr>
        <w:t>吨，矿山基建投资</w:t>
      </w:r>
      <w:r>
        <w:rPr>
          <w:sz w:val="28"/>
        </w:rPr>
        <w:t>A=20</w:t>
      </w:r>
      <w:r>
        <w:rPr>
          <w:sz w:val="28"/>
          <w:lang w:val="zh-CN"/>
        </w:rPr>
        <w:t>×</w:t>
      </w:r>
      <w:r>
        <w:rPr>
          <w:rFonts w:hint="eastAsia"/>
          <w:sz w:val="28"/>
        </w:rPr>
        <w:t>5</w:t>
      </w:r>
      <w:r>
        <w:rPr>
          <w:sz w:val="28"/>
        </w:rPr>
        <w:t>0=1</w:t>
      </w:r>
      <w:r>
        <w:rPr>
          <w:rFonts w:hint="eastAsia"/>
          <w:sz w:val="28"/>
        </w:rPr>
        <w:t>0</w:t>
      </w:r>
      <w:r>
        <w:rPr>
          <w:sz w:val="28"/>
        </w:rPr>
        <w:t>00</w:t>
      </w:r>
      <w:r>
        <w:rPr>
          <w:rFonts w:hAnsi="宋体"/>
          <w:sz w:val="28"/>
        </w:rPr>
        <w:t>万元，全为自筹资金，基建期</w:t>
      </w:r>
      <w:r>
        <w:rPr>
          <w:sz w:val="28"/>
        </w:rPr>
        <w:t>1</w:t>
      </w:r>
      <w:r>
        <w:rPr>
          <w:rFonts w:hAnsi="宋体"/>
          <w:sz w:val="28"/>
        </w:rPr>
        <w:t>年。</w:t>
      </w:r>
    </w:p>
    <w:p>
      <w:pPr>
        <w:spacing w:line="360" w:lineRule="auto"/>
        <w:ind w:firstLine="573"/>
        <w:textAlignment w:val="baseline"/>
        <w:rPr>
          <w:sz w:val="28"/>
        </w:rPr>
      </w:pPr>
      <w:r>
        <w:rPr>
          <w:sz w:val="28"/>
        </w:rPr>
        <w:t>(2)</w:t>
      </w:r>
      <w:r>
        <w:rPr>
          <w:rFonts w:hAnsi="宋体"/>
          <w:sz w:val="28"/>
        </w:rPr>
        <w:t>生产期流动资金：固定资产形成率按基建投资的</w:t>
      </w:r>
      <w:r>
        <w:rPr>
          <w:sz w:val="28"/>
        </w:rPr>
        <w:t>85%</w:t>
      </w:r>
      <w:r>
        <w:rPr>
          <w:rFonts w:hAnsi="宋体"/>
          <w:sz w:val="28"/>
        </w:rPr>
        <w:t>计流动资金按固定资产的</w:t>
      </w:r>
      <w:r>
        <w:rPr>
          <w:sz w:val="28"/>
        </w:rPr>
        <w:t>15%</w:t>
      </w:r>
      <w:r>
        <w:rPr>
          <w:rFonts w:hAnsi="宋体"/>
          <w:sz w:val="28"/>
        </w:rPr>
        <w:t>提取，则生产期流动资金为</w:t>
      </w:r>
    </w:p>
    <w:p>
      <w:pPr>
        <w:spacing w:line="360" w:lineRule="auto"/>
        <w:ind w:firstLine="573"/>
        <w:textAlignment w:val="baseline"/>
        <w:rPr>
          <w:sz w:val="28"/>
        </w:rPr>
      </w:pPr>
      <w:r>
        <w:rPr>
          <w:sz w:val="28"/>
        </w:rPr>
        <w:t>B=A×85%×15%=1</w:t>
      </w:r>
      <w:r>
        <w:rPr>
          <w:rFonts w:hint="eastAsia"/>
          <w:sz w:val="28"/>
        </w:rPr>
        <w:t>0</w:t>
      </w:r>
      <w:r>
        <w:rPr>
          <w:sz w:val="28"/>
        </w:rPr>
        <w:t>00</w:t>
      </w:r>
      <w:r>
        <w:rPr>
          <w:rFonts w:hAnsi="宋体"/>
          <w:sz w:val="28"/>
        </w:rPr>
        <w:t>万元</w:t>
      </w:r>
      <w:r>
        <w:rPr>
          <w:sz w:val="28"/>
        </w:rPr>
        <w:t>×85%×15%=</w:t>
      </w:r>
      <w:r>
        <w:rPr>
          <w:rFonts w:hint="eastAsia"/>
          <w:sz w:val="28"/>
        </w:rPr>
        <w:t>12</w:t>
      </w:r>
      <w:r>
        <w:rPr>
          <w:rFonts w:hint="eastAsia"/>
          <w:sz w:val="28"/>
          <w:lang w:val="en-US" w:eastAsia="zh-CN"/>
        </w:rPr>
        <w:t>7.5</w:t>
      </w:r>
      <w:r>
        <w:rPr>
          <w:rFonts w:hAnsi="宋体"/>
          <w:sz w:val="28"/>
        </w:rPr>
        <w:t>万元。</w:t>
      </w:r>
    </w:p>
    <w:p>
      <w:pPr>
        <w:spacing w:line="360" w:lineRule="auto"/>
        <w:ind w:firstLine="573"/>
        <w:textAlignment w:val="baseline"/>
        <w:rPr>
          <w:sz w:val="28"/>
        </w:rPr>
      </w:pPr>
      <w:r>
        <w:rPr>
          <w:sz w:val="28"/>
        </w:rPr>
        <w:t>(3)</w:t>
      </w:r>
      <w:r>
        <w:rPr>
          <w:rFonts w:hAnsi="宋体"/>
          <w:sz w:val="28"/>
        </w:rPr>
        <w:t>生产成本：类比省内矿山生产成本价格，考虑物价上涨因素，每吨矿石采运选费用</w:t>
      </w:r>
      <w:r>
        <w:rPr>
          <w:sz w:val="28"/>
        </w:rPr>
        <w:t>20</w:t>
      </w:r>
      <w:r>
        <w:rPr>
          <w:rFonts w:hAnsi="宋体"/>
          <w:sz w:val="28"/>
        </w:rPr>
        <w:t>元，年生产总成本：</w:t>
      </w:r>
      <w:r>
        <w:rPr>
          <w:sz w:val="28"/>
        </w:rPr>
        <w:t>C=20×</w:t>
      </w:r>
      <w:r>
        <w:rPr>
          <w:rFonts w:hint="eastAsia"/>
          <w:sz w:val="28"/>
        </w:rPr>
        <w:t>5</w:t>
      </w:r>
      <w:r>
        <w:rPr>
          <w:sz w:val="28"/>
        </w:rPr>
        <w:t>0=1</w:t>
      </w:r>
      <w:r>
        <w:rPr>
          <w:rFonts w:hint="eastAsia"/>
          <w:sz w:val="28"/>
        </w:rPr>
        <w:t>0</w:t>
      </w:r>
      <w:r>
        <w:rPr>
          <w:sz w:val="28"/>
        </w:rPr>
        <w:t>00</w:t>
      </w:r>
      <w:r>
        <w:rPr>
          <w:rFonts w:hAnsi="宋体"/>
          <w:sz w:val="28"/>
        </w:rPr>
        <w:t>万元。</w:t>
      </w:r>
    </w:p>
    <w:p>
      <w:pPr>
        <w:spacing w:line="360" w:lineRule="auto"/>
        <w:ind w:firstLine="573"/>
        <w:textAlignment w:val="baseline"/>
        <w:rPr>
          <w:sz w:val="28"/>
        </w:rPr>
      </w:pPr>
      <w:r>
        <w:rPr>
          <w:sz w:val="28"/>
        </w:rPr>
        <w:t>(4)</w:t>
      </w:r>
      <w:r>
        <w:rPr>
          <w:rFonts w:hAnsi="宋体"/>
          <w:sz w:val="28"/>
        </w:rPr>
        <w:t>销售收入：平均售价</w:t>
      </w:r>
      <w:r>
        <w:rPr>
          <w:rFonts w:hint="eastAsia"/>
          <w:sz w:val="28"/>
          <w:lang w:val="en-US" w:eastAsia="zh-CN"/>
        </w:rPr>
        <w:t>5</w:t>
      </w:r>
      <w:r>
        <w:rPr>
          <w:sz w:val="28"/>
        </w:rPr>
        <w:t>0</w:t>
      </w:r>
      <w:r>
        <w:rPr>
          <w:rFonts w:hAnsi="宋体"/>
          <w:sz w:val="28"/>
        </w:rPr>
        <w:t>元</w:t>
      </w:r>
      <w:r>
        <w:rPr>
          <w:sz w:val="28"/>
        </w:rPr>
        <w:t>/</w:t>
      </w:r>
      <w:r>
        <w:rPr>
          <w:rFonts w:hAnsi="宋体"/>
          <w:sz w:val="28"/>
        </w:rPr>
        <w:t>吨，则年销售收入：</w:t>
      </w:r>
      <w:r>
        <w:rPr>
          <w:sz w:val="28"/>
        </w:rPr>
        <w:t>D=</w:t>
      </w:r>
      <w:r>
        <w:rPr>
          <w:rFonts w:hint="eastAsia"/>
          <w:sz w:val="28"/>
          <w:lang w:val="en-US" w:eastAsia="zh-CN"/>
        </w:rPr>
        <w:t>5</w:t>
      </w:r>
      <w:r>
        <w:rPr>
          <w:sz w:val="28"/>
        </w:rPr>
        <w:t>0×</w:t>
      </w:r>
      <w:r>
        <w:rPr>
          <w:rFonts w:hint="eastAsia"/>
          <w:sz w:val="28"/>
        </w:rPr>
        <w:t>5</w:t>
      </w:r>
      <w:r>
        <w:rPr>
          <w:sz w:val="28"/>
        </w:rPr>
        <w:t>0=</w:t>
      </w:r>
      <w:r>
        <w:rPr>
          <w:rFonts w:hint="eastAsia"/>
          <w:sz w:val="28"/>
        </w:rPr>
        <w:t>2</w:t>
      </w:r>
      <w:r>
        <w:rPr>
          <w:rFonts w:hint="eastAsia"/>
          <w:sz w:val="28"/>
          <w:lang w:val="en-US" w:eastAsia="zh-CN"/>
        </w:rPr>
        <w:t>5</w:t>
      </w:r>
      <w:r>
        <w:rPr>
          <w:sz w:val="28"/>
        </w:rPr>
        <w:t>00</w:t>
      </w:r>
      <w:r>
        <w:rPr>
          <w:rFonts w:hAnsi="宋体"/>
          <w:sz w:val="28"/>
        </w:rPr>
        <w:t>万元。销售总收入：</w:t>
      </w:r>
      <w:r>
        <w:rPr>
          <w:sz w:val="28"/>
        </w:rPr>
        <w:t>E=</w:t>
      </w:r>
      <w:r>
        <w:rPr>
          <w:rFonts w:hint="eastAsia"/>
          <w:sz w:val="28"/>
        </w:rPr>
        <w:t>2</w:t>
      </w:r>
      <w:r>
        <w:rPr>
          <w:rFonts w:hint="eastAsia"/>
          <w:sz w:val="28"/>
          <w:lang w:val="en-US" w:eastAsia="zh-CN"/>
        </w:rPr>
        <w:t>5</w:t>
      </w:r>
      <w:r>
        <w:rPr>
          <w:sz w:val="28"/>
        </w:rPr>
        <w:t>00×</w:t>
      </w:r>
      <w:r>
        <w:rPr>
          <w:rFonts w:hint="eastAsia"/>
          <w:sz w:val="28"/>
        </w:rPr>
        <w:t>20</w:t>
      </w:r>
      <w:r>
        <w:rPr>
          <w:sz w:val="28"/>
        </w:rPr>
        <w:t>=</w:t>
      </w:r>
      <w:r>
        <w:rPr>
          <w:rFonts w:hint="eastAsia"/>
          <w:sz w:val="28"/>
          <w:lang w:val="en-US" w:eastAsia="zh-CN"/>
        </w:rPr>
        <w:t>5</w:t>
      </w:r>
      <w:r>
        <w:rPr>
          <w:rFonts w:hint="eastAsia"/>
          <w:sz w:val="28"/>
        </w:rPr>
        <w:t>000</w:t>
      </w:r>
      <w:r>
        <w:rPr>
          <w:sz w:val="28"/>
        </w:rPr>
        <w:t>0</w:t>
      </w:r>
      <w:r>
        <w:rPr>
          <w:rFonts w:hAnsi="宋体"/>
          <w:sz w:val="28"/>
        </w:rPr>
        <w:t>万元。</w:t>
      </w:r>
    </w:p>
    <w:p>
      <w:pPr>
        <w:spacing w:line="360" w:lineRule="auto"/>
        <w:ind w:firstLine="573"/>
        <w:textAlignment w:val="baseline"/>
        <w:rPr>
          <w:sz w:val="28"/>
        </w:rPr>
      </w:pPr>
      <w:r>
        <w:rPr>
          <w:sz w:val="28"/>
        </w:rPr>
        <w:t>(5)</w:t>
      </w:r>
      <w:r>
        <w:rPr>
          <w:rFonts w:hAnsi="宋体"/>
          <w:sz w:val="28"/>
        </w:rPr>
        <w:t>税金及附加：综合税费率为</w:t>
      </w:r>
      <w:r>
        <w:rPr>
          <w:sz w:val="28"/>
        </w:rPr>
        <w:t>14.2%</w:t>
      </w:r>
      <w:r>
        <w:rPr>
          <w:rFonts w:hAnsi="宋体"/>
          <w:sz w:val="28"/>
        </w:rPr>
        <w:t>，则税费为：</w:t>
      </w:r>
      <w:r>
        <w:rPr>
          <w:sz w:val="28"/>
        </w:rPr>
        <w:t>F=</w:t>
      </w:r>
      <w:r>
        <w:rPr>
          <w:rFonts w:hint="eastAsia"/>
          <w:sz w:val="28"/>
        </w:rPr>
        <w:t>2</w:t>
      </w:r>
      <w:r>
        <w:rPr>
          <w:rFonts w:hint="eastAsia"/>
          <w:sz w:val="28"/>
          <w:lang w:val="en-US" w:eastAsia="zh-CN"/>
        </w:rPr>
        <w:t>5</w:t>
      </w:r>
      <w:r>
        <w:rPr>
          <w:sz w:val="28"/>
        </w:rPr>
        <w:t>00×14.2%=</w:t>
      </w:r>
      <w:r>
        <w:rPr>
          <w:rFonts w:hint="eastAsia"/>
          <w:sz w:val="28"/>
          <w:lang w:val="en-US" w:eastAsia="zh-CN"/>
        </w:rPr>
        <w:t>355</w:t>
      </w:r>
      <w:r>
        <w:rPr>
          <w:rFonts w:hAnsi="宋体"/>
          <w:sz w:val="28"/>
        </w:rPr>
        <w:t>万元。</w:t>
      </w:r>
    </w:p>
    <w:p>
      <w:pPr>
        <w:spacing w:line="520" w:lineRule="exact"/>
        <w:textAlignment w:val="baseline"/>
        <w:rPr>
          <w:sz w:val="28"/>
        </w:rPr>
      </w:pPr>
      <w:r>
        <w:rPr>
          <w:b/>
          <w:sz w:val="28"/>
        </w:rPr>
        <w:t>7.2.3 矿山经济效益指标计算分析</w:t>
      </w:r>
    </w:p>
    <w:p>
      <w:pPr>
        <w:spacing w:line="360" w:lineRule="auto"/>
        <w:ind w:firstLine="560" w:firstLineChars="200"/>
        <w:jc w:val="left"/>
        <w:textAlignment w:val="baseline"/>
        <w:rPr>
          <w:sz w:val="28"/>
        </w:rPr>
      </w:pPr>
      <w:r>
        <w:rPr>
          <w:sz w:val="28"/>
        </w:rPr>
        <w:t>(1)</w:t>
      </w:r>
      <w:r>
        <w:rPr>
          <w:rFonts w:hAnsi="宋体"/>
          <w:sz w:val="28"/>
        </w:rPr>
        <w:t>矿山总利润</w:t>
      </w:r>
      <w:r>
        <w:rPr>
          <w:sz w:val="28"/>
        </w:rPr>
        <w:t>=</w:t>
      </w:r>
      <w:r>
        <w:rPr>
          <w:rFonts w:hAnsi="宋体"/>
          <w:sz w:val="28"/>
        </w:rPr>
        <w:t>（年销售收入</w:t>
      </w:r>
      <w:r>
        <w:rPr>
          <w:sz w:val="28"/>
        </w:rPr>
        <w:t>-</w:t>
      </w:r>
      <w:r>
        <w:rPr>
          <w:rFonts w:hAnsi="宋体"/>
          <w:sz w:val="28"/>
        </w:rPr>
        <w:t>年生产总成本）</w:t>
      </w:r>
      <w:r>
        <w:rPr>
          <w:sz w:val="28"/>
        </w:rPr>
        <w:t>×</w:t>
      </w:r>
      <w:r>
        <w:rPr>
          <w:rFonts w:hAnsi="宋体"/>
          <w:sz w:val="28"/>
        </w:rPr>
        <w:t>合理服务年限</w:t>
      </w:r>
      <w:r>
        <w:rPr>
          <w:sz w:val="28"/>
        </w:rPr>
        <w:t>-</w:t>
      </w:r>
      <w:r>
        <w:rPr>
          <w:rFonts w:hAnsi="宋体"/>
          <w:sz w:val="28"/>
        </w:rPr>
        <w:t>总投资（</w:t>
      </w:r>
      <w:r>
        <w:rPr>
          <w:sz w:val="28"/>
        </w:rPr>
        <w:t>A+B</w:t>
      </w:r>
      <w:r>
        <w:rPr>
          <w:rFonts w:hAnsi="宋体"/>
          <w:sz w:val="28"/>
        </w:rPr>
        <w:t>）</w:t>
      </w:r>
      <w:r>
        <w:rPr>
          <w:sz w:val="28"/>
        </w:rPr>
        <w:t>=</w:t>
      </w:r>
      <w:r>
        <w:rPr>
          <w:rFonts w:hAnsi="宋体"/>
          <w:sz w:val="28"/>
        </w:rPr>
        <w:t>（</w:t>
      </w:r>
      <w:r>
        <w:rPr>
          <w:rFonts w:hint="eastAsia"/>
          <w:sz w:val="28"/>
        </w:rPr>
        <w:t>2</w:t>
      </w:r>
      <w:r>
        <w:rPr>
          <w:rFonts w:hint="eastAsia"/>
          <w:sz w:val="28"/>
          <w:lang w:val="en-US" w:eastAsia="zh-CN"/>
        </w:rPr>
        <w:t>5</w:t>
      </w:r>
      <w:r>
        <w:rPr>
          <w:sz w:val="28"/>
        </w:rPr>
        <w:t>00-1</w:t>
      </w:r>
      <w:r>
        <w:rPr>
          <w:rFonts w:hint="eastAsia"/>
          <w:sz w:val="28"/>
        </w:rPr>
        <w:t>0</w:t>
      </w:r>
      <w:r>
        <w:rPr>
          <w:sz w:val="28"/>
        </w:rPr>
        <w:t>00</w:t>
      </w:r>
      <w:r>
        <w:rPr>
          <w:rFonts w:hAnsi="宋体"/>
          <w:sz w:val="28"/>
        </w:rPr>
        <w:t>）</w:t>
      </w:r>
      <w:r>
        <w:rPr>
          <w:sz w:val="28"/>
        </w:rPr>
        <w:t>×</w:t>
      </w:r>
      <w:r>
        <w:rPr>
          <w:rFonts w:hint="eastAsia"/>
          <w:sz w:val="28"/>
        </w:rPr>
        <w:t>20</w:t>
      </w:r>
      <w:r>
        <w:rPr>
          <w:sz w:val="28"/>
        </w:rPr>
        <w:t>-</w:t>
      </w:r>
      <w:r>
        <w:rPr>
          <w:rFonts w:hAnsi="宋体"/>
          <w:sz w:val="28"/>
        </w:rPr>
        <w:t>（</w:t>
      </w:r>
      <w:r>
        <w:rPr>
          <w:sz w:val="28"/>
        </w:rPr>
        <w:t>1</w:t>
      </w:r>
      <w:r>
        <w:rPr>
          <w:rFonts w:hint="eastAsia"/>
          <w:sz w:val="28"/>
        </w:rPr>
        <w:t>0</w:t>
      </w:r>
      <w:r>
        <w:rPr>
          <w:sz w:val="28"/>
        </w:rPr>
        <w:t>00+</w:t>
      </w:r>
      <w:r>
        <w:rPr>
          <w:rFonts w:hint="eastAsia"/>
          <w:sz w:val="28"/>
        </w:rPr>
        <w:t>12</w:t>
      </w:r>
      <w:r>
        <w:rPr>
          <w:rFonts w:hint="eastAsia"/>
          <w:sz w:val="28"/>
          <w:lang w:val="en-US" w:eastAsia="zh-CN"/>
        </w:rPr>
        <w:t>7.5</w:t>
      </w:r>
      <w:r>
        <w:rPr>
          <w:rFonts w:hAnsi="宋体"/>
          <w:sz w:val="28"/>
        </w:rPr>
        <w:t>）</w:t>
      </w:r>
      <w:r>
        <w:rPr>
          <w:sz w:val="28"/>
        </w:rPr>
        <w:t>=</w:t>
      </w:r>
      <w:r>
        <w:rPr>
          <w:rFonts w:hint="eastAsia"/>
          <w:sz w:val="28"/>
          <w:lang w:val="en-US" w:eastAsia="zh-CN"/>
        </w:rPr>
        <w:t>2</w:t>
      </w:r>
      <w:r>
        <w:rPr>
          <w:rFonts w:hint="eastAsia"/>
          <w:sz w:val="28"/>
        </w:rPr>
        <w:t>8872</w:t>
      </w:r>
      <w:r>
        <w:rPr>
          <w:rFonts w:hAnsi="宋体"/>
          <w:sz w:val="28"/>
        </w:rPr>
        <w:t>万元。</w:t>
      </w:r>
    </w:p>
    <w:p>
      <w:pPr>
        <w:spacing w:line="360" w:lineRule="auto"/>
        <w:ind w:firstLine="560" w:firstLineChars="200"/>
        <w:jc w:val="left"/>
        <w:textAlignment w:val="baseline"/>
        <w:rPr>
          <w:sz w:val="28"/>
        </w:rPr>
      </w:pPr>
      <w:r>
        <w:rPr>
          <w:sz w:val="28"/>
        </w:rPr>
        <w:t>(2)</w:t>
      </w:r>
      <w:r>
        <w:rPr>
          <w:rFonts w:hAnsi="宋体"/>
          <w:sz w:val="28"/>
        </w:rPr>
        <w:t>投资收益率</w:t>
      </w:r>
      <w:r>
        <w:rPr>
          <w:sz w:val="28"/>
        </w:rPr>
        <w:t>=</w:t>
      </w:r>
      <w:r>
        <w:rPr>
          <w:rFonts w:hAnsi="宋体"/>
          <w:sz w:val="28"/>
        </w:rPr>
        <w:t>（</w:t>
      </w:r>
      <w:r>
        <w:rPr>
          <w:sz w:val="28"/>
        </w:rPr>
        <w:t>D-C-F</w:t>
      </w:r>
      <w:r>
        <w:rPr>
          <w:rFonts w:hAnsi="宋体"/>
          <w:sz w:val="28"/>
        </w:rPr>
        <w:t>）</w:t>
      </w:r>
      <w:r>
        <w:rPr>
          <w:sz w:val="28"/>
        </w:rPr>
        <w:t>/(A+B) ×100%=(</w:t>
      </w:r>
      <w:r>
        <w:rPr>
          <w:rFonts w:hint="eastAsia"/>
          <w:sz w:val="28"/>
        </w:rPr>
        <w:t>2</w:t>
      </w:r>
      <w:r>
        <w:rPr>
          <w:rFonts w:hint="eastAsia"/>
          <w:sz w:val="28"/>
          <w:lang w:val="en-US" w:eastAsia="zh-CN"/>
        </w:rPr>
        <w:t>5</w:t>
      </w:r>
      <w:r>
        <w:rPr>
          <w:sz w:val="28"/>
        </w:rPr>
        <w:t>00-1</w:t>
      </w:r>
      <w:r>
        <w:rPr>
          <w:rFonts w:hint="eastAsia"/>
          <w:sz w:val="28"/>
        </w:rPr>
        <w:t>0</w:t>
      </w:r>
      <w:r>
        <w:rPr>
          <w:sz w:val="28"/>
        </w:rPr>
        <w:t>00-</w:t>
      </w:r>
      <w:r>
        <w:rPr>
          <w:rFonts w:hint="eastAsia"/>
          <w:sz w:val="28"/>
          <w:lang w:val="en-US" w:eastAsia="zh-CN"/>
        </w:rPr>
        <w:t>355</w:t>
      </w:r>
      <w:r>
        <w:rPr>
          <w:sz w:val="28"/>
        </w:rPr>
        <w:t>)/(1</w:t>
      </w:r>
      <w:r>
        <w:rPr>
          <w:rFonts w:hint="eastAsia"/>
          <w:sz w:val="28"/>
        </w:rPr>
        <w:t>0</w:t>
      </w:r>
      <w:r>
        <w:rPr>
          <w:sz w:val="28"/>
        </w:rPr>
        <w:t>00+</w:t>
      </w:r>
      <w:r>
        <w:rPr>
          <w:rFonts w:hint="eastAsia"/>
          <w:sz w:val="28"/>
        </w:rPr>
        <w:t>12</w:t>
      </w:r>
      <w:r>
        <w:rPr>
          <w:rFonts w:hint="eastAsia"/>
          <w:sz w:val="28"/>
          <w:lang w:val="en-US" w:eastAsia="zh-CN"/>
        </w:rPr>
        <w:t>7.5</w:t>
      </w:r>
      <w:r>
        <w:rPr>
          <w:sz w:val="28"/>
        </w:rPr>
        <w:t>)</w:t>
      </w:r>
    </w:p>
    <w:p>
      <w:pPr>
        <w:spacing w:line="360" w:lineRule="auto"/>
        <w:jc w:val="left"/>
        <w:textAlignment w:val="baseline"/>
        <w:rPr>
          <w:sz w:val="28"/>
        </w:rPr>
      </w:pPr>
      <w:r>
        <w:rPr>
          <w:sz w:val="28"/>
        </w:rPr>
        <w:t>×100%=</w:t>
      </w:r>
      <w:r>
        <w:rPr>
          <w:rFonts w:hint="eastAsia"/>
          <w:sz w:val="28"/>
          <w:lang w:val="en-US" w:eastAsia="zh-CN"/>
        </w:rPr>
        <w:t>101.6</w:t>
      </w:r>
      <w:r>
        <w:rPr>
          <w:sz w:val="28"/>
        </w:rPr>
        <w:t>%</w:t>
      </w:r>
      <w:r>
        <w:rPr>
          <w:rFonts w:hAnsi="宋体"/>
          <w:sz w:val="28"/>
        </w:rPr>
        <w:t>。</w:t>
      </w:r>
    </w:p>
    <w:p>
      <w:pPr>
        <w:numPr>
          <w:ilvl w:val="0"/>
          <w:numId w:val="3"/>
        </w:numPr>
        <w:spacing w:line="360" w:lineRule="auto"/>
        <w:jc w:val="left"/>
        <w:textAlignment w:val="baseline"/>
        <w:rPr>
          <w:rFonts w:hAnsi="宋体"/>
          <w:sz w:val="28"/>
        </w:rPr>
      </w:pPr>
      <w:r>
        <w:rPr>
          <w:rFonts w:hAnsi="宋体"/>
          <w:sz w:val="28"/>
        </w:rPr>
        <w:t>投资回收期</w:t>
      </w:r>
      <w:r>
        <w:rPr>
          <w:sz w:val="28"/>
        </w:rPr>
        <w:t>=</w:t>
      </w:r>
      <w:r>
        <w:rPr>
          <w:rFonts w:hAnsi="宋体"/>
          <w:sz w:val="28"/>
        </w:rPr>
        <w:t>（</w:t>
      </w:r>
      <w:r>
        <w:rPr>
          <w:sz w:val="28"/>
        </w:rPr>
        <w:t>A+B</w:t>
      </w:r>
      <w:r>
        <w:rPr>
          <w:rFonts w:hAnsi="宋体"/>
          <w:sz w:val="28"/>
        </w:rPr>
        <w:t>）</w:t>
      </w:r>
      <w:r>
        <w:rPr>
          <w:sz w:val="28"/>
        </w:rPr>
        <w:t>/(D-C-F)+</w:t>
      </w:r>
      <w:r>
        <w:rPr>
          <w:rFonts w:hAnsi="宋体"/>
          <w:sz w:val="28"/>
        </w:rPr>
        <w:t>基建期</w:t>
      </w:r>
      <w:r>
        <w:rPr>
          <w:sz w:val="28"/>
        </w:rPr>
        <w:t>=</w:t>
      </w:r>
      <w:r>
        <w:rPr>
          <w:rFonts w:hAnsi="宋体"/>
          <w:sz w:val="28"/>
        </w:rPr>
        <w:t>（</w:t>
      </w:r>
      <w:r>
        <w:rPr>
          <w:sz w:val="28"/>
        </w:rPr>
        <w:t>1</w:t>
      </w:r>
      <w:r>
        <w:rPr>
          <w:rFonts w:hint="eastAsia"/>
          <w:sz w:val="28"/>
        </w:rPr>
        <w:t>0</w:t>
      </w:r>
      <w:r>
        <w:rPr>
          <w:sz w:val="28"/>
        </w:rPr>
        <w:t>00+</w:t>
      </w:r>
      <w:r>
        <w:rPr>
          <w:rFonts w:hint="eastAsia"/>
          <w:sz w:val="28"/>
        </w:rPr>
        <w:t>12</w:t>
      </w:r>
      <w:r>
        <w:rPr>
          <w:rFonts w:hint="eastAsia"/>
          <w:sz w:val="28"/>
          <w:lang w:val="en-US" w:eastAsia="zh-CN"/>
        </w:rPr>
        <w:t>7.5</w:t>
      </w:r>
      <w:r>
        <w:rPr>
          <w:rFonts w:hAnsi="宋体"/>
          <w:sz w:val="28"/>
        </w:rPr>
        <w:t>）</w:t>
      </w:r>
      <w:r>
        <w:rPr>
          <w:sz w:val="28"/>
        </w:rPr>
        <w:t>/</w:t>
      </w:r>
      <w:r>
        <w:rPr>
          <w:rFonts w:hAnsi="宋体"/>
          <w:sz w:val="28"/>
        </w:rPr>
        <w:t>（</w:t>
      </w:r>
      <w:r>
        <w:rPr>
          <w:rFonts w:hint="eastAsia"/>
          <w:sz w:val="28"/>
        </w:rPr>
        <w:t>2</w:t>
      </w:r>
      <w:r>
        <w:rPr>
          <w:rFonts w:hint="eastAsia"/>
          <w:sz w:val="28"/>
          <w:lang w:val="en-US" w:eastAsia="zh-CN"/>
        </w:rPr>
        <w:t>5</w:t>
      </w:r>
      <w:r>
        <w:rPr>
          <w:sz w:val="28"/>
        </w:rPr>
        <w:t>00-1</w:t>
      </w:r>
      <w:r>
        <w:rPr>
          <w:rFonts w:hint="eastAsia"/>
          <w:sz w:val="28"/>
        </w:rPr>
        <w:t>0</w:t>
      </w:r>
      <w:r>
        <w:rPr>
          <w:sz w:val="28"/>
        </w:rPr>
        <w:t>00-</w:t>
      </w:r>
      <w:r>
        <w:rPr>
          <w:rFonts w:hint="eastAsia"/>
          <w:sz w:val="28"/>
          <w:lang w:val="en-US" w:eastAsia="zh-CN"/>
        </w:rPr>
        <w:t>355</w:t>
      </w:r>
      <w:r>
        <w:rPr>
          <w:rFonts w:hAnsi="宋体"/>
          <w:sz w:val="28"/>
        </w:rPr>
        <w:t>）</w:t>
      </w:r>
      <w:r>
        <w:rPr>
          <w:sz w:val="28"/>
        </w:rPr>
        <w:t>+</w:t>
      </w:r>
      <w:r>
        <w:rPr>
          <w:rFonts w:hint="eastAsia"/>
          <w:sz w:val="28"/>
        </w:rPr>
        <w:t>1</w:t>
      </w:r>
      <w:r>
        <w:rPr>
          <w:sz w:val="28"/>
        </w:rPr>
        <w:t>=</w:t>
      </w:r>
      <w:r>
        <w:rPr>
          <w:rFonts w:hint="eastAsia"/>
          <w:sz w:val="28"/>
        </w:rPr>
        <w:t>2</w:t>
      </w:r>
      <w:r>
        <w:rPr>
          <w:sz w:val="28"/>
        </w:rPr>
        <w:t>.</w:t>
      </w:r>
      <w:r>
        <w:rPr>
          <w:rFonts w:hint="eastAsia"/>
          <w:sz w:val="28"/>
          <w:lang w:val="en-US" w:eastAsia="zh-CN"/>
        </w:rPr>
        <w:t>0</w:t>
      </w:r>
      <w:r>
        <w:rPr>
          <w:rFonts w:hAnsi="宋体"/>
          <w:sz w:val="28"/>
        </w:rPr>
        <w:t>年。</w:t>
      </w:r>
    </w:p>
    <w:p>
      <w:pPr>
        <w:spacing w:line="360" w:lineRule="auto"/>
        <w:ind w:firstLine="560" w:firstLineChars="200"/>
        <w:jc w:val="left"/>
        <w:textAlignment w:val="baseline"/>
        <w:rPr>
          <w:rFonts w:hint="eastAsia" w:eastAsia="宋体"/>
          <w:sz w:val="28"/>
          <w:lang w:eastAsia="zh-CN"/>
        </w:rPr>
      </w:pPr>
      <w:r>
        <w:rPr>
          <w:rFonts w:hAnsi="宋体"/>
          <w:sz w:val="28"/>
        </w:rPr>
        <w:t>从上述经济指标看，矿山总利润</w:t>
      </w:r>
      <w:r>
        <w:rPr>
          <w:rFonts w:hint="eastAsia"/>
          <w:sz w:val="28"/>
          <w:lang w:val="en-US" w:eastAsia="zh-CN"/>
        </w:rPr>
        <w:t>2</w:t>
      </w:r>
      <w:r>
        <w:rPr>
          <w:rFonts w:hint="eastAsia"/>
          <w:sz w:val="28"/>
        </w:rPr>
        <w:t>8872</w:t>
      </w:r>
      <w:r>
        <w:rPr>
          <w:rFonts w:hAnsi="宋体"/>
          <w:sz w:val="28"/>
        </w:rPr>
        <w:t>万元。投资收益率</w:t>
      </w:r>
      <w:r>
        <w:rPr>
          <w:rFonts w:hint="eastAsia"/>
          <w:sz w:val="28"/>
          <w:lang w:val="en-US" w:eastAsia="zh-CN"/>
        </w:rPr>
        <w:t>101</w:t>
      </w:r>
      <w:r>
        <w:rPr>
          <w:rFonts w:hint="eastAsia"/>
          <w:sz w:val="28"/>
        </w:rPr>
        <w:t>.</w:t>
      </w:r>
      <w:r>
        <w:rPr>
          <w:rFonts w:hint="eastAsia"/>
          <w:sz w:val="28"/>
          <w:lang w:val="en-US" w:eastAsia="zh-CN"/>
        </w:rPr>
        <w:t>6</w:t>
      </w:r>
      <w:r>
        <w:rPr>
          <w:sz w:val="28"/>
        </w:rPr>
        <w:t>%</w:t>
      </w:r>
      <w:r>
        <w:rPr>
          <w:rFonts w:hAnsi="宋体"/>
          <w:sz w:val="28"/>
        </w:rPr>
        <w:t>。矿山服务年限</w:t>
      </w:r>
      <w:r>
        <w:rPr>
          <w:rFonts w:hint="eastAsia"/>
          <w:sz w:val="28"/>
        </w:rPr>
        <w:t>20</w:t>
      </w:r>
      <w:r>
        <w:rPr>
          <w:rFonts w:hAnsi="宋体"/>
          <w:sz w:val="28"/>
        </w:rPr>
        <w:t>年，投资回收期</w:t>
      </w:r>
      <w:r>
        <w:rPr>
          <w:rFonts w:hint="eastAsia"/>
          <w:sz w:val="28"/>
        </w:rPr>
        <w:t>2</w:t>
      </w:r>
      <w:r>
        <w:rPr>
          <w:sz w:val="28"/>
        </w:rPr>
        <w:t>.</w:t>
      </w:r>
      <w:r>
        <w:rPr>
          <w:rFonts w:hint="eastAsia"/>
          <w:sz w:val="28"/>
          <w:lang w:val="en-US" w:eastAsia="zh-CN"/>
        </w:rPr>
        <w:t>0</w:t>
      </w:r>
      <w:r>
        <w:rPr>
          <w:rFonts w:hAnsi="宋体"/>
          <w:sz w:val="28"/>
        </w:rPr>
        <w:t>年。</w:t>
      </w:r>
    </w:p>
    <w:p>
      <w:pPr>
        <w:pStyle w:val="2"/>
        <w:adjustRightInd w:val="0"/>
        <w:spacing w:before="0" w:after="0" w:line="240" w:lineRule="auto"/>
        <w:ind w:left="105" w:leftChars="50" w:right="105" w:rightChars="50"/>
        <w:jc w:val="left"/>
        <w:rPr>
          <w:rStyle w:val="23"/>
          <w:color w:val="000000"/>
          <w:sz w:val="32"/>
          <w:szCs w:val="32"/>
        </w:rPr>
      </w:pPr>
      <w:r>
        <w:rPr>
          <w:rStyle w:val="23"/>
          <w:color w:val="000000"/>
          <w:sz w:val="32"/>
          <w:szCs w:val="32"/>
        </w:rPr>
        <w:t>8 结论</w:t>
      </w:r>
      <w:bookmarkEnd w:id="57"/>
      <w:bookmarkEnd w:id="58"/>
    </w:p>
    <w:p>
      <w:pPr>
        <w:pStyle w:val="3"/>
        <w:spacing w:before="0" w:after="0" w:line="240" w:lineRule="auto"/>
        <w:rPr>
          <w:rStyle w:val="23"/>
          <w:rFonts w:ascii="Times New Roman" w:hAnsi="Times New Roman" w:eastAsia="宋体"/>
          <w:color w:val="auto"/>
          <w:sz w:val="30"/>
          <w:szCs w:val="30"/>
        </w:rPr>
      </w:pPr>
      <w:bookmarkStart w:id="59" w:name="_Toc248166392"/>
      <w:bookmarkStart w:id="60" w:name="_Toc59802162"/>
      <w:r>
        <w:rPr>
          <w:rStyle w:val="23"/>
          <w:rFonts w:ascii="Times New Roman" w:hAnsi="Times New Roman" w:eastAsia="宋体"/>
          <w:color w:val="auto"/>
          <w:sz w:val="30"/>
          <w:szCs w:val="30"/>
        </w:rPr>
        <w:t>8.1</w:t>
      </w:r>
      <w:bookmarkEnd w:id="59"/>
      <w:r>
        <w:rPr>
          <w:rStyle w:val="23"/>
          <w:rFonts w:ascii="Times New Roman" w:hAnsi="Times New Roman" w:eastAsia="宋体"/>
          <w:color w:val="auto"/>
          <w:sz w:val="30"/>
          <w:szCs w:val="30"/>
        </w:rPr>
        <w:t xml:space="preserve"> 主要成果</w:t>
      </w:r>
      <w:bookmarkEnd w:id="60"/>
    </w:p>
    <w:p>
      <w:pPr>
        <w:ind w:right="15" w:rightChars="7" w:firstLine="560" w:firstLineChars="200"/>
        <w:rPr>
          <w:sz w:val="28"/>
          <w:szCs w:val="28"/>
        </w:rPr>
      </w:pPr>
      <w:bookmarkStart w:id="61" w:name="OLE_LINK8"/>
      <w:bookmarkStart w:id="62" w:name="OLE_LINK7"/>
      <w:bookmarkStart w:id="63" w:name="_Toc248166393"/>
      <w:r>
        <w:rPr>
          <w:color w:val="000000"/>
          <w:kern w:val="0"/>
          <w:sz w:val="28"/>
          <w:szCs w:val="28"/>
        </w:rPr>
        <w:t>(1)</w:t>
      </w:r>
      <w:r>
        <w:rPr>
          <w:rFonts w:hAnsi="宋体"/>
          <w:color w:val="000000"/>
          <w:kern w:val="0"/>
          <w:sz w:val="28"/>
          <w:szCs w:val="28"/>
        </w:rPr>
        <w:t>通过现场地质调查，基本查明了矿区地层分布情况以及矿层产状、厚度、分布、构造对矿体的破坏程度等。</w:t>
      </w:r>
    </w:p>
    <w:p>
      <w:pPr>
        <w:ind w:firstLine="560" w:firstLineChars="200"/>
        <w:rPr>
          <w:sz w:val="28"/>
          <w:szCs w:val="28"/>
        </w:rPr>
      </w:pPr>
      <w:r>
        <w:rPr>
          <w:sz w:val="28"/>
          <w:szCs w:val="28"/>
        </w:rPr>
        <w:t>(2)</w:t>
      </w:r>
      <w:r>
        <w:rPr>
          <w:rFonts w:hAnsi="宋体"/>
          <w:sz w:val="28"/>
        </w:rPr>
        <w:t>本次拟设矿权范围由</w:t>
      </w:r>
      <w:r>
        <w:rPr>
          <w:sz w:val="28"/>
        </w:rPr>
        <w:t>1</w:t>
      </w:r>
      <w:r>
        <w:rPr>
          <w:rFonts w:hAnsi="宋体"/>
          <w:sz w:val="28"/>
        </w:rPr>
        <w:t>～</w:t>
      </w:r>
      <w:r>
        <w:rPr>
          <w:rFonts w:hint="eastAsia"/>
          <w:sz w:val="28"/>
        </w:rPr>
        <w:t>12</w:t>
      </w:r>
      <w:r>
        <w:rPr>
          <w:rFonts w:hAnsi="宋体"/>
          <w:sz w:val="28"/>
        </w:rPr>
        <w:t>号拐点圈定，开采标高</w:t>
      </w:r>
      <w:r>
        <w:rPr>
          <w:rFonts w:hint="eastAsia" w:hAnsi="宋体"/>
          <w:sz w:val="28"/>
        </w:rPr>
        <w:t>+</w:t>
      </w:r>
      <w:r>
        <w:rPr>
          <w:rFonts w:hint="eastAsia"/>
          <w:sz w:val="28"/>
        </w:rPr>
        <w:t>50</w:t>
      </w:r>
      <w:r>
        <w:rPr>
          <w:sz w:val="28"/>
        </w:rPr>
        <w:t>0</w:t>
      </w:r>
      <w:r>
        <w:rPr>
          <w:rFonts w:hAnsi="宋体"/>
          <w:sz w:val="28"/>
        </w:rPr>
        <w:t>～</w:t>
      </w:r>
      <w:r>
        <w:rPr>
          <w:rFonts w:hint="eastAsia"/>
          <w:sz w:val="28"/>
        </w:rPr>
        <w:t>+360</w:t>
      </w:r>
      <w:r>
        <w:rPr>
          <w:sz w:val="28"/>
        </w:rPr>
        <w:t>m</w:t>
      </w:r>
      <w:r>
        <w:rPr>
          <w:rFonts w:hAnsi="宋体"/>
          <w:sz w:val="28"/>
        </w:rPr>
        <w:t>，面积</w:t>
      </w:r>
      <w:r>
        <w:rPr>
          <w:sz w:val="28"/>
        </w:rPr>
        <w:t>0.1</w:t>
      </w:r>
      <w:r>
        <w:rPr>
          <w:rFonts w:hint="eastAsia"/>
          <w:sz w:val="28"/>
        </w:rPr>
        <w:t>272</w:t>
      </w:r>
      <w:r>
        <w:rPr>
          <w:sz w:val="28"/>
        </w:rPr>
        <w:t>km</w:t>
      </w:r>
      <w:r>
        <w:rPr>
          <w:sz w:val="28"/>
          <w:vertAlign w:val="superscript"/>
        </w:rPr>
        <w:t>2</w:t>
      </w:r>
      <w:r>
        <w:rPr>
          <w:rFonts w:hAnsi="宋体"/>
          <w:sz w:val="28"/>
        </w:rPr>
        <w:t>，开采矿种为</w:t>
      </w:r>
      <w:r>
        <w:rPr>
          <w:rFonts w:hint="eastAsia" w:hAnsi="宋体"/>
          <w:sz w:val="28"/>
        </w:rPr>
        <w:t>砖瓦用页</w:t>
      </w:r>
      <w:r>
        <w:rPr>
          <w:rFonts w:hAnsi="宋体"/>
          <w:sz w:val="28"/>
        </w:rPr>
        <w:t>岩。拟设置生产规模</w:t>
      </w:r>
      <w:r>
        <w:rPr>
          <w:rFonts w:hint="eastAsia"/>
          <w:sz w:val="28"/>
        </w:rPr>
        <w:t>5</w:t>
      </w:r>
      <w:r>
        <w:rPr>
          <w:sz w:val="28"/>
        </w:rPr>
        <w:t>0</w:t>
      </w:r>
      <w:r>
        <w:rPr>
          <w:rFonts w:hAnsi="宋体"/>
          <w:sz w:val="28"/>
        </w:rPr>
        <w:t>万吨</w:t>
      </w:r>
      <w:r>
        <w:rPr>
          <w:sz w:val="28"/>
        </w:rPr>
        <w:t>/</w:t>
      </w:r>
      <w:r>
        <w:rPr>
          <w:rFonts w:hAnsi="宋体"/>
          <w:sz w:val="28"/>
        </w:rPr>
        <w:t>年。</w:t>
      </w:r>
    </w:p>
    <w:p>
      <w:pPr>
        <w:spacing w:line="360" w:lineRule="auto"/>
        <w:ind w:firstLine="573"/>
        <w:textAlignment w:val="baseline"/>
        <w:rPr>
          <w:sz w:val="28"/>
        </w:rPr>
      </w:pPr>
      <w:r>
        <w:rPr>
          <w:sz w:val="28"/>
          <w:szCs w:val="28"/>
        </w:rPr>
        <w:t>(3)</w:t>
      </w:r>
      <w:r>
        <w:rPr>
          <w:rFonts w:hAnsi="宋体"/>
          <w:sz w:val="28"/>
          <w:szCs w:val="28"/>
        </w:rPr>
        <w:t>通过本次核实，</w:t>
      </w:r>
      <w:r>
        <w:rPr>
          <w:rFonts w:hAnsi="宋体"/>
          <w:color w:val="000000"/>
          <w:sz w:val="28"/>
          <w:szCs w:val="28"/>
        </w:rPr>
        <w:t>截止</w:t>
      </w:r>
      <w:r>
        <w:rPr>
          <w:color w:val="000000"/>
          <w:sz w:val="28"/>
          <w:szCs w:val="28"/>
        </w:rPr>
        <w:t>20</w:t>
      </w:r>
      <w:r>
        <w:rPr>
          <w:rFonts w:hint="eastAsia"/>
          <w:color w:val="000000"/>
          <w:sz w:val="28"/>
          <w:szCs w:val="28"/>
        </w:rPr>
        <w:t>20</w:t>
      </w:r>
      <w:r>
        <w:rPr>
          <w:rFonts w:hAnsi="宋体"/>
          <w:color w:val="000000"/>
          <w:sz w:val="28"/>
          <w:szCs w:val="28"/>
        </w:rPr>
        <w:t>年</w:t>
      </w:r>
      <w:r>
        <w:rPr>
          <w:rFonts w:hint="eastAsia"/>
          <w:color w:val="000000"/>
          <w:sz w:val="28"/>
          <w:szCs w:val="28"/>
        </w:rPr>
        <w:t>12</w:t>
      </w:r>
      <w:r>
        <w:rPr>
          <w:rFonts w:hAnsi="宋体"/>
          <w:color w:val="000000"/>
          <w:sz w:val="28"/>
          <w:szCs w:val="28"/>
        </w:rPr>
        <w:t>月底，</w:t>
      </w:r>
      <w:r>
        <w:rPr>
          <w:rFonts w:hAnsi="宋体"/>
          <w:sz w:val="28"/>
        </w:rPr>
        <w:t>拟设置矿区范围内获</w:t>
      </w:r>
      <w:r>
        <w:rPr>
          <w:rFonts w:hint="eastAsia" w:hAnsi="宋体"/>
          <w:sz w:val="28"/>
        </w:rPr>
        <w:t>砖瓦用页</w:t>
      </w:r>
      <w:r>
        <w:rPr>
          <w:rFonts w:hAnsi="宋体"/>
          <w:sz w:val="28"/>
        </w:rPr>
        <w:t>岩矿保有</w:t>
      </w:r>
      <w:r>
        <w:rPr>
          <w:rFonts w:hint="eastAsia" w:hAnsi="宋体"/>
          <w:sz w:val="28"/>
        </w:rPr>
        <w:t>控制</w:t>
      </w:r>
      <w:r>
        <w:rPr>
          <w:rFonts w:hAnsi="宋体"/>
          <w:sz w:val="28"/>
        </w:rPr>
        <w:t>资源量</w:t>
      </w:r>
      <w:r>
        <w:rPr>
          <w:rFonts w:hint="eastAsia"/>
          <w:sz w:val="28"/>
        </w:rPr>
        <w:t>1062.9</w:t>
      </w:r>
      <w:r>
        <w:rPr>
          <w:rFonts w:hAnsi="宋体"/>
          <w:sz w:val="28"/>
        </w:rPr>
        <w:t>万吨</w:t>
      </w:r>
      <w:r>
        <w:rPr>
          <w:color w:val="000000"/>
          <w:sz w:val="28"/>
          <w:szCs w:val="28"/>
        </w:rPr>
        <w:t>(</w:t>
      </w:r>
      <w:r>
        <w:rPr>
          <w:rFonts w:hint="eastAsia"/>
          <w:color w:val="000000"/>
          <w:sz w:val="28"/>
          <w:szCs w:val="28"/>
        </w:rPr>
        <w:t>442.91</w:t>
      </w:r>
      <w:r>
        <w:rPr>
          <w:rFonts w:hAnsi="宋体"/>
          <w:color w:val="000000"/>
          <w:sz w:val="28"/>
          <w:szCs w:val="28"/>
        </w:rPr>
        <w:t>万</w:t>
      </w:r>
      <w:r>
        <w:rPr>
          <w:color w:val="000000"/>
          <w:sz w:val="28"/>
          <w:szCs w:val="28"/>
        </w:rPr>
        <w:t>m</w:t>
      </w:r>
      <w:r>
        <w:rPr>
          <w:color w:val="000000"/>
          <w:sz w:val="28"/>
          <w:szCs w:val="28"/>
          <w:vertAlign w:val="superscript"/>
        </w:rPr>
        <w:t>3</w:t>
      </w:r>
      <w:r>
        <w:rPr>
          <w:color w:val="000000"/>
          <w:sz w:val="28"/>
          <w:szCs w:val="28"/>
        </w:rPr>
        <w:t>)</w:t>
      </w:r>
      <w:r>
        <w:rPr>
          <w:rFonts w:hAnsi="宋体"/>
          <w:sz w:val="28"/>
        </w:rPr>
        <w:t>，按储量备用系数</w:t>
      </w:r>
      <w:r>
        <w:rPr>
          <w:sz w:val="28"/>
        </w:rPr>
        <w:t>1.0</w:t>
      </w:r>
      <w:r>
        <w:rPr>
          <w:rFonts w:hAnsi="宋体"/>
          <w:sz w:val="28"/>
        </w:rPr>
        <w:t>折算，再按</w:t>
      </w:r>
      <w:r>
        <w:rPr>
          <w:sz w:val="28"/>
        </w:rPr>
        <w:t>9</w:t>
      </w:r>
      <w:r>
        <w:rPr>
          <w:rFonts w:hint="eastAsia"/>
          <w:sz w:val="28"/>
        </w:rPr>
        <w:t>5</w:t>
      </w:r>
      <w:r>
        <w:rPr>
          <w:sz w:val="28"/>
        </w:rPr>
        <w:t>%</w:t>
      </w:r>
      <w:r>
        <w:rPr>
          <w:rFonts w:hAnsi="宋体"/>
          <w:sz w:val="28"/>
        </w:rPr>
        <w:t>回采率计算，可获得开采</w:t>
      </w:r>
      <w:r>
        <w:rPr>
          <w:rFonts w:hint="eastAsia" w:hAnsi="宋体"/>
          <w:sz w:val="28"/>
        </w:rPr>
        <w:t>资源</w:t>
      </w:r>
      <w:r>
        <w:rPr>
          <w:rFonts w:hAnsi="宋体"/>
          <w:sz w:val="28"/>
        </w:rPr>
        <w:t>量</w:t>
      </w:r>
      <w:r>
        <w:rPr>
          <w:rFonts w:hint="eastAsia"/>
          <w:sz w:val="28"/>
        </w:rPr>
        <w:t>1009.8</w:t>
      </w:r>
      <w:r>
        <w:rPr>
          <w:rFonts w:hAnsi="宋体"/>
          <w:sz w:val="28"/>
        </w:rPr>
        <w:t>万吨，该矿拟设置生产规模为</w:t>
      </w:r>
      <w:r>
        <w:rPr>
          <w:rFonts w:hint="eastAsia"/>
          <w:sz w:val="28"/>
        </w:rPr>
        <w:t>5</w:t>
      </w:r>
      <w:r>
        <w:rPr>
          <w:sz w:val="28"/>
        </w:rPr>
        <w:t>0</w:t>
      </w:r>
      <w:r>
        <w:rPr>
          <w:rFonts w:hAnsi="宋体"/>
          <w:sz w:val="28"/>
        </w:rPr>
        <w:t>万吨</w:t>
      </w:r>
      <w:r>
        <w:rPr>
          <w:sz w:val="28"/>
        </w:rPr>
        <w:t>/</w:t>
      </w:r>
      <w:r>
        <w:rPr>
          <w:rFonts w:hAnsi="宋体"/>
          <w:sz w:val="28"/>
        </w:rPr>
        <w:t>年，矿山服务年限约</w:t>
      </w:r>
      <w:r>
        <w:rPr>
          <w:rFonts w:hint="eastAsia"/>
          <w:sz w:val="28"/>
        </w:rPr>
        <w:t>20</w:t>
      </w:r>
      <w:r>
        <w:rPr>
          <w:rFonts w:hAnsi="宋体"/>
          <w:sz w:val="28"/>
        </w:rPr>
        <w:t>年。</w:t>
      </w:r>
    </w:p>
    <w:p>
      <w:pPr>
        <w:ind w:firstLine="560" w:firstLineChars="200"/>
        <w:rPr>
          <w:color w:val="000000"/>
          <w:kern w:val="0"/>
          <w:sz w:val="28"/>
          <w:szCs w:val="28"/>
        </w:rPr>
      </w:pPr>
      <w:r>
        <w:rPr>
          <w:sz w:val="28"/>
          <w:szCs w:val="28"/>
        </w:rPr>
        <w:t>(4)</w:t>
      </w:r>
      <w:r>
        <w:rPr>
          <w:rFonts w:hAnsi="宋体"/>
          <w:sz w:val="28"/>
          <w:szCs w:val="28"/>
        </w:rPr>
        <w:t>矿区水文地质条件简单；</w:t>
      </w:r>
      <w:r>
        <w:rPr>
          <w:rFonts w:hint="eastAsia" w:hAnsi="宋体"/>
          <w:sz w:val="28"/>
          <w:szCs w:val="28"/>
        </w:rPr>
        <w:t>工</w:t>
      </w:r>
      <w:r>
        <w:rPr>
          <w:rFonts w:hAnsi="宋体"/>
          <w:sz w:val="28"/>
          <w:szCs w:val="28"/>
        </w:rPr>
        <w:t>程地质问题不突出，工程地质条件</w:t>
      </w:r>
      <w:r>
        <w:rPr>
          <w:rFonts w:hint="eastAsia" w:hAnsi="宋体"/>
          <w:sz w:val="28"/>
          <w:szCs w:val="28"/>
        </w:rPr>
        <w:t>一般</w:t>
      </w:r>
      <w:r>
        <w:rPr>
          <w:rFonts w:hAnsi="宋体"/>
          <w:sz w:val="28"/>
          <w:szCs w:val="28"/>
        </w:rPr>
        <w:t>；矿山采矿活动，对附近环境和水土资源有一定影响，废气物中基本不含有害组分，对植被的生长发育不存在严重破坏，且易恢复治理。该矿山开采技术属</w:t>
      </w:r>
      <w:r>
        <w:rPr>
          <w:rFonts w:ascii="宋体" w:hAnsi="宋体"/>
          <w:sz w:val="28"/>
          <w:szCs w:val="28"/>
        </w:rPr>
        <w:t>“</w:t>
      </w:r>
      <w:r>
        <w:rPr>
          <w:rFonts w:hAnsi="宋体"/>
          <w:sz w:val="28"/>
          <w:szCs w:val="28"/>
        </w:rPr>
        <w:t>三类九型</w:t>
      </w:r>
      <w:r>
        <w:rPr>
          <w:rFonts w:ascii="宋体" w:hAnsi="宋体"/>
          <w:sz w:val="28"/>
          <w:szCs w:val="28"/>
        </w:rPr>
        <w:t>”</w:t>
      </w:r>
      <w:r>
        <w:rPr>
          <w:rFonts w:hAnsi="宋体"/>
          <w:sz w:val="28"/>
          <w:szCs w:val="28"/>
        </w:rPr>
        <w:t>中的简单类型。</w:t>
      </w:r>
    </w:p>
    <w:p>
      <w:pPr>
        <w:ind w:firstLine="560" w:firstLineChars="200"/>
        <w:rPr>
          <w:color w:val="000000"/>
          <w:kern w:val="0"/>
          <w:sz w:val="28"/>
          <w:szCs w:val="28"/>
        </w:rPr>
      </w:pPr>
      <w:r>
        <w:rPr>
          <w:color w:val="000000"/>
          <w:kern w:val="0"/>
          <w:sz w:val="28"/>
          <w:szCs w:val="28"/>
        </w:rPr>
        <w:t>(5)</w:t>
      </w:r>
      <w:r>
        <w:rPr>
          <w:rFonts w:hAnsi="宋体"/>
          <w:color w:val="000000"/>
          <w:kern w:val="0"/>
          <w:sz w:val="28"/>
          <w:szCs w:val="28"/>
        </w:rPr>
        <w:t>编写了《达州市达川区</w:t>
      </w:r>
      <w:r>
        <w:rPr>
          <w:rFonts w:hint="eastAsia" w:hAnsi="宋体"/>
          <w:color w:val="000000"/>
          <w:kern w:val="0"/>
          <w:sz w:val="28"/>
          <w:szCs w:val="28"/>
        </w:rPr>
        <w:t>石桥</w:t>
      </w:r>
      <w:r>
        <w:rPr>
          <w:rFonts w:hAnsi="宋体"/>
          <w:color w:val="000000"/>
          <w:kern w:val="0"/>
          <w:sz w:val="28"/>
          <w:szCs w:val="28"/>
        </w:rPr>
        <w:t>镇</w:t>
      </w:r>
      <w:r>
        <w:rPr>
          <w:rFonts w:hint="eastAsia" w:hAnsi="宋体"/>
          <w:color w:val="000000"/>
          <w:kern w:val="0"/>
          <w:sz w:val="28"/>
          <w:szCs w:val="28"/>
        </w:rPr>
        <w:t>麻油沟</w:t>
      </w:r>
      <w:r>
        <w:rPr>
          <w:rFonts w:hAnsi="宋体"/>
          <w:color w:val="000000"/>
          <w:kern w:val="0"/>
          <w:sz w:val="28"/>
          <w:szCs w:val="28"/>
        </w:rPr>
        <w:t>村</w:t>
      </w:r>
      <w:r>
        <w:rPr>
          <w:rFonts w:hint="eastAsia" w:hAnsi="宋体"/>
          <w:color w:val="000000"/>
          <w:kern w:val="0"/>
          <w:sz w:val="28"/>
          <w:szCs w:val="28"/>
        </w:rPr>
        <w:t>小儿坡页</w:t>
      </w:r>
      <w:r>
        <w:rPr>
          <w:rFonts w:hAnsi="宋体"/>
          <w:color w:val="000000"/>
          <w:kern w:val="0"/>
          <w:sz w:val="28"/>
          <w:szCs w:val="28"/>
        </w:rPr>
        <w:t>岩</w:t>
      </w:r>
      <w:r>
        <w:rPr>
          <w:rFonts w:hint="eastAsia" w:hAnsi="宋体"/>
          <w:color w:val="000000"/>
          <w:kern w:val="0"/>
          <w:sz w:val="28"/>
          <w:szCs w:val="28"/>
        </w:rPr>
        <w:t>矿</w:t>
      </w:r>
      <w:r>
        <w:rPr>
          <w:rFonts w:hAnsi="宋体"/>
          <w:color w:val="000000"/>
          <w:kern w:val="0"/>
          <w:sz w:val="28"/>
          <w:szCs w:val="28"/>
        </w:rPr>
        <w:t>资源量核实报告》及其相关图纸。</w:t>
      </w:r>
    </w:p>
    <w:bookmarkEnd w:id="61"/>
    <w:bookmarkEnd w:id="62"/>
    <w:bookmarkEnd w:id="63"/>
    <w:p>
      <w:pPr>
        <w:pStyle w:val="3"/>
        <w:spacing w:before="0" w:after="0" w:line="240" w:lineRule="auto"/>
        <w:rPr>
          <w:rStyle w:val="23"/>
          <w:rFonts w:ascii="Times New Roman" w:hAnsi="Times New Roman" w:eastAsia="宋体"/>
          <w:color w:val="auto"/>
          <w:sz w:val="30"/>
          <w:szCs w:val="30"/>
        </w:rPr>
      </w:pPr>
      <w:bookmarkStart w:id="64" w:name="_Toc59802163"/>
      <w:r>
        <w:rPr>
          <w:rStyle w:val="23"/>
          <w:rFonts w:ascii="Times New Roman" w:hAnsi="Times New Roman" w:eastAsia="宋体"/>
          <w:color w:val="auto"/>
          <w:sz w:val="30"/>
          <w:szCs w:val="30"/>
        </w:rPr>
        <w:t>8.2 建议</w:t>
      </w:r>
      <w:bookmarkEnd w:id="64"/>
    </w:p>
    <w:p>
      <w:pPr>
        <w:spacing w:line="360" w:lineRule="auto"/>
        <w:ind w:firstLine="560" w:firstLineChars="200"/>
        <w:rPr>
          <w:color w:val="000000"/>
          <w:kern w:val="0"/>
          <w:sz w:val="28"/>
          <w:szCs w:val="28"/>
        </w:rPr>
      </w:pPr>
      <w:r>
        <w:rPr>
          <w:color w:val="000000"/>
          <w:kern w:val="0"/>
          <w:sz w:val="28"/>
          <w:szCs w:val="28"/>
        </w:rPr>
        <w:t>(1)</w:t>
      </w:r>
      <w:r>
        <w:rPr>
          <w:rFonts w:hAnsi="宋体"/>
          <w:color w:val="000000"/>
          <w:kern w:val="0"/>
          <w:sz w:val="28"/>
          <w:szCs w:val="28"/>
        </w:rPr>
        <w:t>本次资源量核实未进行系统的取样化验工作，使用周边区域同类矿山采用的各项数据，</w:t>
      </w:r>
      <w:r>
        <w:rPr>
          <w:rFonts w:hint="eastAsia" w:hAnsi="宋体"/>
          <w:color w:val="000000"/>
          <w:kern w:val="0"/>
          <w:sz w:val="28"/>
          <w:szCs w:val="28"/>
        </w:rPr>
        <w:t>虽然</w:t>
      </w:r>
      <w:r>
        <w:rPr>
          <w:rFonts w:hAnsi="宋体"/>
          <w:color w:val="000000"/>
          <w:kern w:val="0"/>
          <w:sz w:val="28"/>
          <w:szCs w:val="28"/>
        </w:rPr>
        <w:t>这些数据经相邻矿山多年实际开采，与实际相符</w:t>
      </w:r>
      <w:r>
        <w:rPr>
          <w:rFonts w:hint="eastAsia" w:hAnsi="宋体"/>
          <w:color w:val="000000"/>
          <w:kern w:val="0"/>
          <w:sz w:val="28"/>
          <w:szCs w:val="28"/>
        </w:rPr>
        <w:t>，但也建议矿山今后采样送验</w:t>
      </w:r>
      <w:r>
        <w:rPr>
          <w:rFonts w:hAnsi="宋体"/>
          <w:color w:val="000000"/>
          <w:kern w:val="0"/>
          <w:sz w:val="28"/>
          <w:szCs w:val="28"/>
        </w:rPr>
        <w:t>。</w:t>
      </w:r>
    </w:p>
    <w:p>
      <w:pPr>
        <w:spacing w:line="360" w:lineRule="auto"/>
        <w:ind w:firstLine="560" w:firstLineChars="200"/>
        <w:rPr>
          <w:color w:val="000000"/>
          <w:kern w:val="0"/>
          <w:sz w:val="28"/>
          <w:szCs w:val="28"/>
        </w:rPr>
      </w:pPr>
      <w:r>
        <w:rPr>
          <w:color w:val="000000"/>
          <w:kern w:val="0"/>
          <w:sz w:val="28"/>
          <w:szCs w:val="28"/>
        </w:rPr>
        <w:t>(2)</w:t>
      </w:r>
      <w:r>
        <w:rPr>
          <w:rFonts w:hAnsi="宋体"/>
          <w:color w:val="000000"/>
          <w:kern w:val="0"/>
          <w:sz w:val="28"/>
          <w:szCs w:val="28"/>
        </w:rPr>
        <w:t>矿山应设置专业人员建立资源管理台账，合理利用资源。</w:t>
      </w:r>
    </w:p>
    <w:p>
      <w:pPr>
        <w:spacing w:line="360" w:lineRule="auto"/>
        <w:ind w:firstLine="560" w:firstLineChars="200"/>
        <w:rPr>
          <w:color w:val="000000"/>
          <w:kern w:val="0"/>
          <w:sz w:val="28"/>
          <w:szCs w:val="28"/>
        </w:rPr>
      </w:pPr>
      <w:r>
        <w:rPr>
          <w:color w:val="000000"/>
          <w:kern w:val="0"/>
          <w:sz w:val="28"/>
          <w:szCs w:val="28"/>
        </w:rPr>
        <w:t>(3)</w:t>
      </w:r>
      <w:r>
        <w:rPr>
          <w:rFonts w:hAnsi="宋体"/>
          <w:color w:val="000000"/>
          <w:kern w:val="0"/>
          <w:sz w:val="28"/>
          <w:szCs w:val="28"/>
        </w:rPr>
        <w:t>虽然矿山开采矿层处构造较为简单，但是矿石属于</w:t>
      </w:r>
      <w:r>
        <w:rPr>
          <w:rFonts w:hint="eastAsia" w:hAnsi="宋体"/>
          <w:color w:val="000000"/>
          <w:kern w:val="0"/>
          <w:sz w:val="28"/>
          <w:szCs w:val="28"/>
        </w:rPr>
        <w:t>泥质</w:t>
      </w:r>
      <w:r>
        <w:rPr>
          <w:rFonts w:hAnsi="宋体"/>
          <w:color w:val="000000"/>
          <w:kern w:val="0"/>
          <w:sz w:val="28"/>
          <w:szCs w:val="28"/>
        </w:rPr>
        <w:t>岩</w:t>
      </w:r>
      <w:r>
        <w:rPr>
          <w:rFonts w:hint="eastAsia" w:hAnsi="宋体"/>
          <w:color w:val="000000"/>
          <w:kern w:val="0"/>
          <w:sz w:val="28"/>
          <w:szCs w:val="28"/>
        </w:rPr>
        <w:t>类</w:t>
      </w:r>
      <w:r>
        <w:rPr>
          <w:rFonts w:hAnsi="宋体"/>
          <w:color w:val="000000"/>
          <w:kern w:val="0"/>
          <w:sz w:val="28"/>
          <w:szCs w:val="28"/>
        </w:rPr>
        <w:t>，</w:t>
      </w:r>
      <w:r>
        <w:rPr>
          <w:rFonts w:hint="eastAsia" w:hAnsi="宋体"/>
          <w:color w:val="000000"/>
          <w:kern w:val="0"/>
          <w:sz w:val="28"/>
          <w:szCs w:val="28"/>
        </w:rPr>
        <w:t>属于中硬岩石，</w:t>
      </w:r>
      <w:r>
        <w:rPr>
          <w:rFonts w:hAnsi="宋体"/>
          <w:color w:val="000000"/>
          <w:kern w:val="0"/>
          <w:sz w:val="28"/>
          <w:szCs w:val="28"/>
        </w:rPr>
        <w:t>可能</w:t>
      </w:r>
      <w:r>
        <w:rPr>
          <w:rFonts w:hint="eastAsia" w:hAnsi="宋体"/>
          <w:color w:val="000000"/>
          <w:kern w:val="0"/>
          <w:sz w:val="28"/>
          <w:szCs w:val="28"/>
        </w:rPr>
        <w:t>因</w:t>
      </w:r>
      <w:r>
        <w:rPr>
          <w:rFonts w:hAnsi="宋体"/>
          <w:color w:val="000000"/>
          <w:kern w:val="0"/>
          <w:sz w:val="28"/>
          <w:szCs w:val="28"/>
        </w:rPr>
        <w:t>岩石不稳定的原因</w:t>
      </w:r>
      <w:r>
        <w:rPr>
          <w:rFonts w:hint="eastAsia" w:hAnsi="宋体"/>
          <w:color w:val="000000"/>
          <w:kern w:val="0"/>
          <w:sz w:val="28"/>
          <w:szCs w:val="28"/>
        </w:rPr>
        <w:t>引发</w:t>
      </w:r>
      <w:r>
        <w:rPr>
          <w:rFonts w:hAnsi="宋体"/>
          <w:color w:val="000000"/>
          <w:kern w:val="0"/>
          <w:sz w:val="28"/>
          <w:szCs w:val="28"/>
        </w:rPr>
        <w:t>崩塌或滑坡。建议矿山在开采过程中，注意排除隐患及险情。避免给矿山造成经济、人员的损失。</w:t>
      </w:r>
    </w:p>
    <w:p>
      <w:pPr>
        <w:ind w:firstLine="560" w:firstLineChars="200"/>
        <w:rPr>
          <w:sz w:val="28"/>
        </w:rPr>
      </w:pPr>
      <w:r>
        <w:rPr>
          <w:color w:val="000000"/>
          <w:sz w:val="28"/>
          <w:szCs w:val="28"/>
        </w:rPr>
        <w:t>(4)</w:t>
      </w:r>
      <w:r>
        <w:rPr>
          <w:rFonts w:hAnsi="宋体"/>
          <w:sz w:val="28"/>
        </w:rPr>
        <w:t>矿山应注意废石、废料等的堆放，避免堵塞冲沟，造成水水患险情，要及时排查隐患，及时撤离。突发洪水时，可减少矿山经济、人员的损失。</w:t>
      </w:r>
    </w:p>
    <w:p>
      <w:pPr>
        <w:spacing w:line="360" w:lineRule="auto"/>
        <w:ind w:firstLine="560" w:firstLineChars="200"/>
        <w:rPr>
          <w:color w:val="000000"/>
          <w:kern w:val="0"/>
          <w:sz w:val="28"/>
          <w:szCs w:val="28"/>
        </w:rPr>
      </w:pPr>
      <w:r>
        <w:rPr>
          <w:color w:val="000000"/>
          <w:kern w:val="0"/>
          <w:sz w:val="28"/>
          <w:szCs w:val="28"/>
        </w:rPr>
        <w:t>(5)</w:t>
      </w:r>
      <w:r>
        <w:rPr>
          <w:rFonts w:hAnsi="宋体"/>
          <w:color w:val="000000"/>
          <w:kern w:val="0"/>
          <w:sz w:val="28"/>
          <w:szCs w:val="28"/>
        </w:rPr>
        <w:t>矿山矿区范围下部为省道和有零星居民居住，区内有一定的人类活动，今后开采中应该严格按照操作规程进行施工，加强安全管理工作，注意周围行人的安全。矿山在今后的开采活动中避免盲目野蛮施工产生不必要的安全、生产事故，坚决杜绝此类事情的发生。</w:t>
      </w:r>
    </w:p>
    <w:p>
      <w:pPr>
        <w:spacing w:line="360" w:lineRule="auto"/>
        <w:ind w:firstLine="560" w:firstLineChars="200"/>
        <w:rPr>
          <w:color w:val="000000"/>
          <w:kern w:val="0"/>
          <w:sz w:val="28"/>
          <w:szCs w:val="28"/>
        </w:rPr>
      </w:pPr>
      <w:r>
        <w:rPr>
          <w:color w:val="000000"/>
          <w:kern w:val="0"/>
          <w:sz w:val="28"/>
          <w:szCs w:val="28"/>
        </w:rPr>
        <w:t>(6)</w:t>
      </w:r>
      <w:r>
        <w:rPr>
          <w:rFonts w:hAnsi="宋体"/>
          <w:color w:val="000000"/>
          <w:kern w:val="0"/>
          <w:sz w:val="28"/>
          <w:szCs w:val="28"/>
        </w:rPr>
        <w:t>矿山开采中产生的废渣应设置专门的废渣场，矿方必须选择适当的对渣场地并修建牢固的渣场外坡挡墙，以减小次生地质灾害的发生。</w:t>
      </w:r>
    </w:p>
    <w:p>
      <w:pPr>
        <w:spacing w:line="360" w:lineRule="auto"/>
        <w:ind w:firstLine="560" w:firstLineChars="200"/>
        <w:rPr>
          <w:rFonts w:hint="eastAsia" w:eastAsia="仿宋_GB2312"/>
          <w:color w:val="000000"/>
          <w:kern w:val="0"/>
          <w:sz w:val="28"/>
          <w:szCs w:val="28"/>
        </w:rPr>
      </w:pPr>
      <w:r>
        <w:rPr>
          <w:color w:val="000000"/>
          <w:kern w:val="0"/>
          <w:sz w:val="28"/>
          <w:szCs w:val="28"/>
        </w:rPr>
        <w:t>(7)</w:t>
      </w:r>
      <w:r>
        <w:rPr>
          <w:rFonts w:hAnsi="宋体"/>
          <w:color w:val="000000"/>
          <w:kern w:val="0"/>
          <w:sz w:val="28"/>
          <w:szCs w:val="28"/>
        </w:rPr>
        <w:t>建议矿山在开采过程中应详细收集相关地质资料，提高对矿区的地质研究程度，按开采进度及时做出采掘工程相关图件，以利于指导生产和加强安全管理。</w:t>
      </w:r>
    </w:p>
    <w:p>
      <w:pPr>
        <w:spacing w:line="360" w:lineRule="auto"/>
        <w:ind w:firstLine="560" w:firstLineChars="200"/>
        <w:rPr>
          <w:rFonts w:hint="eastAsia" w:hAnsi="宋体"/>
          <w:color w:val="000000"/>
          <w:kern w:val="0"/>
          <w:sz w:val="28"/>
          <w:szCs w:val="28"/>
        </w:rPr>
      </w:pPr>
      <w:r>
        <w:rPr>
          <w:rFonts w:hint="eastAsia" w:hAnsi="宋体"/>
          <w:color w:val="000000"/>
          <w:kern w:val="0"/>
          <w:sz w:val="28"/>
          <w:szCs w:val="28"/>
        </w:rPr>
        <w:t>(8)对于矿权范围300m以内存在的民房，后续根据不同的开发利用方案进行不同的处置，即机械开挖则留足房屋安全边坡，爆破开挖则实施搬迁避让措施。</w:t>
      </w:r>
    </w:p>
    <w:p>
      <w:pPr>
        <w:spacing w:line="360" w:lineRule="auto"/>
        <w:ind w:firstLine="560" w:firstLineChars="200"/>
        <w:rPr>
          <w:rFonts w:hint="eastAsia"/>
        </w:rPr>
      </w:pPr>
      <w:r>
        <w:rPr>
          <w:rFonts w:hint="eastAsia" w:ascii="Times New Roman" w:hAnsi="宋体" w:eastAsia="宋体" w:cs="Times New Roman"/>
          <w:color w:val="000000"/>
          <w:kern w:val="0"/>
          <w:sz w:val="28"/>
          <w:szCs w:val="28"/>
          <w:lang w:eastAsia="zh-CN"/>
        </w:rPr>
        <w:t>（</w:t>
      </w:r>
      <w:r>
        <w:rPr>
          <w:rFonts w:hint="eastAsia" w:ascii="Times New Roman" w:hAnsi="宋体" w:eastAsia="宋体" w:cs="Times New Roman"/>
          <w:color w:val="000000"/>
          <w:kern w:val="0"/>
          <w:sz w:val="28"/>
          <w:szCs w:val="28"/>
          <w:lang w:val="en-US" w:eastAsia="zh-CN"/>
        </w:rPr>
        <w:t>9</w:t>
      </w:r>
      <w:r>
        <w:rPr>
          <w:rFonts w:hint="eastAsia" w:ascii="Times New Roman" w:hAnsi="宋体" w:eastAsia="宋体" w:cs="Times New Roman"/>
          <w:color w:val="000000"/>
          <w:kern w:val="0"/>
          <w:sz w:val="28"/>
          <w:szCs w:val="28"/>
          <w:lang w:eastAsia="zh-CN"/>
        </w:rPr>
        <w:t>）</w:t>
      </w:r>
      <w:r>
        <w:rPr>
          <w:rFonts w:hint="eastAsia" w:ascii="Times New Roman" w:hAnsi="宋体" w:eastAsia="宋体" w:cs="Times New Roman"/>
          <w:color w:val="000000"/>
          <w:kern w:val="0"/>
          <w:sz w:val="28"/>
          <w:szCs w:val="28"/>
          <w:lang w:val="en-US" w:eastAsia="zh-CN"/>
        </w:rPr>
        <w:t>本报告中“</w:t>
      </w:r>
      <w:r>
        <w:rPr>
          <w:rFonts w:hint="eastAsia" w:ascii="Times New Roman" w:hAnsi="宋体" w:eastAsia="宋体" w:cs="Times New Roman"/>
          <w:color w:val="000000"/>
          <w:kern w:val="0"/>
          <w:sz w:val="28"/>
          <w:szCs w:val="28"/>
        </w:rPr>
        <w:t>矿山经济意义研究</w:t>
      </w:r>
      <w:r>
        <w:rPr>
          <w:rFonts w:hint="eastAsia" w:ascii="Times New Roman" w:hAnsi="宋体" w:eastAsia="宋体" w:cs="Times New Roman"/>
          <w:color w:val="000000"/>
          <w:kern w:val="0"/>
          <w:sz w:val="28"/>
          <w:szCs w:val="28"/>
          <w:lang w:val="en-US" w:eastAsia="zh-CN"/>
        </w:rPr>
        <w:t>”基于理论分析（仅供参考）。</w:t>
      </w:r>
    </w:p>
    <w:p>
      <w:pPr>
        <w:spacing w:before="11" w:line="266" w:lineRule="auto"/>
        <w:ind w:right="2445"/>
        <w:rPr>
          <w:rFonts w:ascii="黑体" w:eastAsia="黑体"/>
          <w:b/>
          <w:sz w:val="44"/>
        </w:rPr>
      </w:pPr>
    </w:p>
    <w:sectPr>
      <w:headerReference r:id="rId10" w:type="default"/>
      <w:footerReference r:id="rId11" w:type="default"/>
      <w:pgSz w:w="11910" w:h="16840"/>
      <w:pgMar w:top="2098" w:right="1520" w:bottom="1713" w:left="1582" w:header="720" w:footer="720" w:gutter="0"/>
      <w:pgNumType w:start="1"/>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文新魏">
    <w:panose1 w:val="02010800040101010101"/>
    <w:charset w:val="86"/>
    <w:family w:val="auto"/>
    <w:pitch w:val="default"/>
    <w:sig w:usb0="00000001" w:usb1="080F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华文中宋">
    <w:panose1 w:val="02010600040101010101"/>
    <w:charset w:val="86"/>
    <w:family w:val="auto"/>
    <w:pitch w:val="default"/>
    <w:sig w:usb0="00000287" w:usb1="080F0000" w:usb2="00000000" w:usb3="00000000" w:csb0="0004009F" w:csb1="DFD70000"/>
  </w:font>
  <w:font w:name="方正小标宋简体">
    <w:panose1 w:val="03000509000000000000"/>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10" w:usb3="00000000" w:csb0="00040000" w:csb1="00000000"/>
  </w:font>
  <w:font w:name="华文仿宋">
    <w:panose1 w:val="02010600040101010101"/>
    <w:charset w:val="86"/>
    <w:family w:val="auto"/>
    <w:pitch w:val="default"/>
    <w:sig w:usb0="00000287" w:usb1="080F0000" w:usb2="00000000" w:usb3="00000000" w:csb0="0004009F" w:csb1="DFD70000"/>
  </w:font>
  <w:font w:name="方正仿宋简体">
    <w:panose1 w:val="02010601030101010101"/>
    <w:charset w:val="86"/>
    <w:family w:val="script"/>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Dotum">
    <w:altName w:val="Malgun Gothic"/>
    <w:panose1 w:val="020B0600000101010101"/>
    <w:charset w:val="81"/>
    <w:family w:val="modern"/>
    <w:pitch w:val="default"/>
    <w:sig w:usb0="00000000" w:usb1="00000000" w:usb2="00000010" w:usb3="00000000" w:csb0="00080000" w:csb1="00000000"/>
  </w:font>
  <w:font w:name="Malgun Gothic">
    <w:panose1 w:val="020B0503020000020004"/>
    <w:charset w:val="81"/>
    <w:family w:val="auto"/>
    <w:pitch w:val="default"/>
    <w:sig w:usb0="9000002F" w:usb1="29D77CFB" w:usb2="00000012" w:usb3="00000000" w:csb0="00080001" w:csb1="00000000"/>
  </w:font>
  <w:font w:name="宋">
    <w:altName w:val="宋体"/>
    <w:panose1 w:val="00000000000000000000"/>
    <w:charset w:val="00"/>
    <w:family w:val="auto"/>
    <w:pitch w:val="default"/>
    <w:sig w:usb0="00000000" w:usb1="00000000" w:usb2="00000000" w:usb3="00000000" w:csb0="00040001" w:csb1="00000000"/>
  </w:font>
  <w:font w:name="新宋体">
    <w:panose1 w:val="02010609030101010101"/>
    <w:charset w:val="86"/>
    <w:family w:val="modern"/>
    <w:pitch w:val="default"/>
    <w:sig w:usb0="0000028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right="360"/>
      <w:jc w:val="right"/>
    </w:pPr>
  </w:p>
  <w:p>
    <w:pPr>
      <w:pStyle w:val="1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framePr w:wrap="around" w:vAnchor="text" w:hAnchor="margin" w:xAlign="right" w:y="1"/>
      <w:rPr>
        <w:rStyle w:val="21"/>
      </w:rPr>
    </w:pPr>
    <w:r>
      <w:rPr>
        <w:rStyle w:val="21"/>
      </w:rPr>
      <w:fldChar w:fldCharType="begin"/>
    </w:r>
    <w:r>
      <w:rPr>
        <w:rStyle w:val="21"/>
      </w:rPr>
      <w:instrText xml:space="preserve">PAGE  </w:instrText>
    </w:r>
    <w:r>
      <w:rPr>
        <w:rStyle w:val="21"/>
      </w:rPr>
      <w:fldChar w:fldCharType="end"/>
    </w:r>
  </w:p>
  <w:p>
    <w:pPr>
      <w:pStyle w:val="11"/>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framePr w:wrap="around" w:vAnchor="text" w:hAnchor="margin" w:xAlign="center" w:y="1"/>
      <w:rPr>
        <w:rStyle w:val="21"/>
      </w:rPr>
    </w:pPr>
    <w:r>
      <w:fldChar w:fldCharType="begin"/>
    </w:r>
    <w:r>
      <w:rPr>
        <w:rStyle w:val="21"/>
      </w:rPr>
      <w:instrText xml:space="preserve">PAGE  </w:instrText>
    </w:r>
    <w:r>
      <w:fldChar w:fldCharType="end"/>
    </w:r>
  </w:p>
  <w:p>
    <w:pPr>
      <w:pStyle w:val="11"/>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framePr w:wrap="around" w:vAnchor="text" w:hAnchor="page" w:x="10403" w:y="-33"/>
      <w:rPr>
        <w:rStyle w:val="21"/>
      </w:rPr>
    </w:pPr>
    <w:r>
      <w:rPr>
        <w:rStyle w:val="21"/>
      </w:rPr>
      <w:fldChar w:fldCharType="begin"/>
    </w:r>
    <w:r>
      <w:rPr>
        <w:rStyle w:val="21"/>
      </w:rPr>
      <w:instrText xml:space="preserve">PAGE  </w:instrText>
    </w:r>
    <w:r>
      <w:rPr>
        <w:rStyle w:val="21"/>
      </w:rPr>
      <w:fldChar w:fldCharType="separate"/>
    </w:r>
    <w:r>
      <w:rPr>
        <w:rStyle w:val="21"/>
      </w:rPr>
      <w:t>21</w:t>
    </w:r>
    <w:r>
      <w:rPr>
        <w:rStyle w:val="21"/>
      </w:rPr>
      <w:fldChar w:fldCharType="end"/>
    </w:r>
  </w:p>
  <w:p>
    <w:pPr>
      <w:pStyle w:val="11"/>
      <w:ind w:right="360"/>
      <w:jc w:val="right"/>
    </w:pPr>
  </w:p>
  <w:p>
    <w:pPr>
      <w:pStyle w:val="11"/>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C8F9425"/>
    <w:multiLevelType w:val="singleLevel"/>
    <w:tmpl w:val="EC8F9425"/>
    <w:lvl w:ilvl="0" w:tentative="0">
      <w:start w:val="3"/>
      <w:numFmt w:val="decimal"/>
      <w:lvlText w:val="(%1)"/>
      <w:lvlJc w:val="left"/>
      <w:pPr>
        <w:tabs>
          <w:tab w:val="left" w:pos="312"/>
        </w:tabs>
      </w:pPr>
    </w:lvl>
  </w:abstractNum>
  <w:abstractNum w:abstractNumId="1">
    <w:nsid w:val="0000000A"/>
    <w:multiLevelType w:val="singleLevel"/>
    <w:tmpl w:val="0000000A"/>
    <w:lvl w:ilvl="0" w:tentative="0">
      <w:start w:val="1"/>
      <w:numFmt w:val="chineseCounting"/>
      <w:suff w:val="nothing"/>
      <w:lvlText w:val="%1、"/>
      <w:lvlJc w:val="left"/>
      <w:pPr>
        <w:ind w:left="-420" w:firstLine="420"/>
      </w:pPr>
      <w:rPr>
        <w:rFonts w:hint="eastAsia" w:cs="Times New Roman"/>
      </w:rPr>
    </w:lvl>
  </w:abstractNum>
  <w:abstractNum w:abstractNumId="2">
    <w:nsid w:val="68182040"/>
    <w:multiLevelType w:val="multilevel"/>
    <w:tmpl w:val="68182040"/>
    <w:lvl w:ilvl="0" w:tentative="0">
      <w:start w:val="1"/>
      <w:numFmt w:val="japaneseCounting"/>
      <w:lvlText w:val="%1、"/>
      <w:lvlJc w:val="left"/>
      <w:pPr>
        <w:ind w:left="1350" w:hanging="720"/>
      </w:pPr>
      <w:rPr>
        <w:rFonts w:hint="default" w:cs="Times New Roman"/>
      </w:rPr>
    </w:lvl>
    <w:lvl w:ilvl="1" w:tentative="0">
      <w:start w:val="1"/>
      <w:numFmt w:val="lowerLetter"/>
      <w:lvlText w:val="%2)"/>
      <w:lvlJc w:val="left"/>
      <w:pPr>
        <w:ind w:left="1470" w:hanging="420"/>
      </w:pPr>
      <w:rPr>
        <w:rFonts w:cs="Times New Roman"/>
      </w:rPr>
    </w:lvl>
    <w:lvl w:ilvl="2" w:tentative="0">
      <w:start w:val="1"/>
      <w:numFmt w:val="lowerRoman"/>
      <w:lvlText w:val="%3."/>
      <w:lvlJc w:val="right"/>
      <w:pPr>
        <w:ind w:left="1890" w:hanging="420"/>
      </w:pPr>
      <w:rPr>
        <w:rFonts w:cs="Times New Roman"/>
      </w:rPr>
    </w:lvl>
    <w:lvl w:ilvl="3" w:tentative="0">
      <w:start w:val="1"/>
      <w:numFmt w:val="decimal"/>
      <w:lvlText w:val="%4."/>
      <w:lvlJc w:val="left"/>
      <w:pPr>
        <w:ind w:left="2310" w:hanging="420"/>
      </w:pPr>
      <w:rPr>
        <w:rFonts w:cs="Times New Roman"/>
      </w:rPr>
    </w:lvl>
    <w:lvl w:ilvl="4" w:tentative="0">
      <w:start w:val="1"/>
      <w:numFmt w:val="lowerLetter"/>
      <w:lvlText w:val="%5)"/>
      <w:lvlJc w:val="left"/>
      <w:pPr>
        <w:ind w:left="2730" w:hanging="420"/>
      </w:pPr>
      <w:rPr>
        <w:rFonts w:cs="Times New Roman"/>
      </w:rPr>
    </w:lvl>
    <w:lvl w:ilvl="5" w:tentative="0">
      <w:start w:val="1"/>
      <w:numFmt w:val="lowerRoman"/>
      <w:lvlText w:val="%6."/>
      <w:lvlJc w:val="right"/>
      <w:pPr>
        <w:ind w:left="3150" w:hanging="420"/>
      </w:pPr>
      <w:rPr>
        <w:rFonts w:cs="Times New Roman"/>
      </w:rPr>
    </w:lvl>
    <w:lvl w:ilvl="6" w:tentative="0">
      <w:start w:val="1"/>
      <w:numFmt w:val="decimal"/>
      <w:lvlText w:val="%7."/>
      <w:lvlJc w:val="left"/>
      <w:pPr>
        <w:ind w:left="3570" w:hanging="420"/>
      </w:pPr>
      <w:rPr>
        <w:rFonts w:cs="Times New Roman"/>
      </w:rPr>
    </w:lvl>
    <w:lvl w:ilvl="7" w:tentative="0">
      <w:start w:val="1"/>
      <w:numFmt w:val="lowerLetter"/>
      <w:lvlText w:val="%8)"/>
      <w:lvlJc w:val="left"/>
      <w:pPr>
        <w:ind w:left="3990" w:hanging="420"/>
      </w:pPr>
      <w:rPr>
        <w:rFonts w:cs="Times New Roman"/>
      </w:rPr>
    </w:lvl>
    <w:lvl w:ilvl="8" w:tentative="0">
      <w:start w:val="1"/>
      <w:numFmt w:val="lowerRoman"/>
      <w:lvlText w:val="%9."/>
      <w:lvlJc w:val="right"/>
      <w:pPr>
        <w:ind w:left="4410" w:hanging="420"/>
      </w:pPr>
      <w:rPr>
        <w:rFonts w:cs="Times New Roman"/>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30FB"/>
    <w:rsid w:val="00004231"/>
    <w:rsid w:val="00005024"/>
    <w:rsid w:val="00012426"/>
    <w:rsid w:val="00013613"/>
    <w:rsid w:val="00015971"/>
    <w:rsid w:val="00020A86"/>
    <w:rsid w:val="000252E0"/>
    <w:rsid w:val="000258CD"/>
    <w:rsid w:val="00025D13"/>
    <w:rsid w:val="00032926"/>
    <w:rsid w:val="000346B2"/>
    <w:rsid w:val="00034F80"/>
    <w:rsid w:val="00035D05"/>
    <w:rsid w:val="0004628D"/>
    <w:rsid w:val="000467B3"/>
    <w:rsid w:val="000506E1"/>
    <w:rsid w:val="00052B96"/>
    <w:rsid w:val="00055E36"/>
    <w:rsid w:val="00057287"/>
    <w:rsid w:val="000576C1"/>
    <w:rsid w:val="00060330"/>
    <w:rsid w:val="00061FFF"/>
    <w:rsid w:val="00064A95"/>
    <w:rsid w:val="00064D44"/>
    <w:rsid w:val="0007231A"/>
    <w:rsid w:val="0007291E"/>
    <w:rsid w:val="00075460"/>
    <w:rsid w:val="00080E9F"/>
    <w:rsid w:val="00081093"/>
    <w:rsid w:val="00083A64"/>
    <w:rsid w:val="00083E26"/>
    <w:rsid w:val="00084F18"/>
    <w:rsid w:val="000904C5"/>
    <w:rsid w:val="00090F5A"/>
    <w:rsid w:val="00094550"/>
    <w:rsid w:val="00094999"/>
    <w:rsid w:val="000955CA"/>
    <w:rsid w:val="00097630"/>
    <w:rsid w:val="000A350A"/>
    <w:rsid w:val="000A4342"/>
    <w:rsid w:val="000A4A1A"/>
    <w:rsid w:val="000A4E0F"/>
    <w:rsid w:val="000A6F4B"/>
    <w:rsid w:val="000A73EF"/>
    <w:rsid w:val="000A7665"/>
    <w:rsid w:val="000B05B4"/>
    <w:rsid w:val="000B17DB"/>
    <w:rsid w:val="000B30BA"/>
    <w:rsid w:val="000B49DD"/>
    <w:rsid w:val="000B5FFC"/>
    <w:rsid w:val="000C02A3"/>
    <w:rsid w:val="000C0FB7"/>
    <w:rsid w:val="000C20A3"/>
    <w:rsid w:val="000D1EA3"/>
    <w:rsid w:val="000D2770"/>
    <w:rsid w:val="000D4822"/>
    <w:rsid w:val="000D4E4D"/>
    <w:rsid w:val="000E09BC"/>
    <w:rsid w:val="000E2175"/>
    <w:rsid w:val="000E356C"/>
    <w:rsid w:val="000E4F1A"/>
    <w:rsid w:val="000E6764"/>
    <w:rsid w:val="000E7AB7"/>
    <w:rsid w:val="000F0507"/>
    <w:rsid w:val="000F2E37"/>
    <w:rsid w:val="000F5700"/>
    <w:rsid w:val="00104B99"/>
    <w:rsid w:val="00106E14"/>
    <w:rsid w:val="00107686"/>
    <w:rsid w:val="0010776A"/>
    <w:rsid w:val="00107C57"/>
    <w:rsid w:val="00113266"/>
    <w:rsid w:val="00113EA0"/>
    <w:rsid w:val="0011640D"/>
    <w:rsid w:val="00116548"/>
    <w:rsid w:val="0011755A"/>
    <w:rsid w:val="00123B5D"/>
    <w:rsid w:val="00124955"/>
    <w:rsid w:val="001250ED"/>
    <w:rsid w:val="00125450"/>
    <w:rsid w:val="00126293"/>
    <w:rsid w:val="001313B4"/>
    <w:rsid w:val="0013290B"/>
    <w:rsid w:val="00132E0E"/>
    <w:rsid w:val="00133924"/>
    <w:rsid w:val="0013472C"/>
    <w:rsid w:val="00134909"/>
    <w:rsid w:val="0014027D"/>
    <w:rsid w:val="0014376F"/>
    <w:rsid w:val="00143A1D"/>
    <w:rsid w:val="0014421B"/>
    <w:rsid w:val="0014506F"/>
    <w:rsid w:val="001450DA"/>
    <w:rsid w:val="001459AC"/>
    <w:rsid w:val="001464DF"/>
    <w:rsid w:val="001466E1"/>
    <w:rsid w:val="001514ED"/>
    <w:rsid w:val="00154F27"/>
    <w:rsid w:val="00155ED1"/>
    <w:rsid w:val="001569FC"/>
    <w:rsid w:val="00157058"/>
    <w:rsid w:val="00160075"/>
    <w:rsid w:val="00160610"/>
    <w:rsid w:val="00160B7E"/>
    <w:rsid w:val="0016362F"/>
    <w:rsid w:val="00167041"/>
    <w:rsid w:val="001674FC"/>
    <w:rsid w:val="00170961"/>
    <w:rsid w:val="00171DC5"/>
    <w:rsid w:val="00172AFC"/>
    <w:rsid w:val="00173408"/>
    <w:rsid w:val="00173B05"/>
    <w:rsid w:val="001749D0"/>
    <w:rsid w:val="0017757B"/>
    <w:rsid w:val="0018064F"/>
    <w:rsid w:val="001829D7"/>
    <w:rsid w:val="00184AEA"/>
    <w:rsid w:val="00184F5D"/>
    <w:rsid w:val="00185681"/>
    <w:rsid w:val="00190928"/>
    <w:rsid w:val="00190F1B"/>
    <w:rsid w:val="00191ED7"/>
    <w:rsid w:val="00192995"/>
    <w:rsid w:val="00193FD2"/>
    <w:rsid w:val="00194767"/>
    <w:rsid w:val="00195A91"/>
    <w:rsid w:val="001970A3"/>
    <w:rsid w:val="001A2474"/>
    <w:rsid w:val="001A57E2"/>
    <w:rsid w:val="001A5CF3"/>
    <w:rsid w:val="001A6251"/>
    <w:rsid w:val="001B0644"/>
    <w:rsid w:val="001B083C"/>
    <w:rsid w:val="001B3D1A"/>
    <w:rsid w:val="001B5529"/>
    <w:rsid w:val="001B7296"/>
    <w:rsid w:val="001C186E"/>
    <w:rsid w:val="001C27E1"/>
    <w:rsid w:val="001C43DE"/>
    <w:rsid w:val="001C6E14"/>
    <w:rsid w:val="001C7B84"/>
    <w:rsid w:val="001D0521"/>
    <w:rsid w:val="001D07E6"/>
    <w:rsid w:val="001D3EAC"/>
    <w:rsid w:val="001D4A2F"/>
    <w:rsid w:val="001D576A"/>
    <w:rsid w:val="001D64DD"/>
    <w:rsid w:val="001D6B86"/>
    <w:rsid w:val="001D76E9"/>
    <w:rsid w:val="001E26C0"/>
    <w:rsid w:val="001E3E06"/>
    <w:rsid w:val="001E4739"/>
    <w:rsid w:val="001E7A14"/>
    <w:rsid w:val="001F1E8B"/>
    <w:rsid w:val="001F22A3"/>
    <w:rsid w:val="001F3F5E"/>
    <w:rsid w:val="001F4BF5"/>
    <w:rsid w:val="001F5163"/>
    <w:rsid w:val="001F6B1D"/>
    <w:rsid w:val="002001E6"/>
    <w:rsid w:val="00200260"/>
    <w:rsid w:val="0020464C"/>
    <w:rsid w:val="00207215"/>
    <w:rsid w:val="002079F5"/>
    <w:rsid w:val="002143DA"/>
    <w:rsid w:val="002154D5"/>
    <w:rsid w:val="00215E36"/>
    <w:rsid w:val="00216E25"/>
    <w:rsid w:val="00217BA3"/>
    <w:rsid w:val="00217D25"/>
    <w:rsid w:val="002225F4"/>
    <w:rsid w:val="002239C1"/>
    <w:rsid w:val="00224220"/>
    <w:rsid w:val="0023111F"/>
    <w:rsid w:val="002318AF"/>
    <w:rsid w:val="00232CDB"/>
    <w:rsid w:val="0023467D"/>
    <w:rsid w:val="00235278"/>
    <w:rsid w:val="00237FB1"/>
    <w:rsid w:val="0024053B"/>
    <w:rsid w:val="00240919"/>
    <w:rsid w:val="00243CF4"/>
    <w:rsid w:val="00243FF5"/>
    <w:rsid w:val="00246632"/>
    <w:rsid w:val="002501E4"/>
    <w:rsid w:val="00250D82"/>
    <w:rsid w:val="00251F6C"/>
    <w:rsid w:val="00254BF1"/>
    <w:rsid w:val="0025503A"/>
    <w:rsid w:val="00257FA2"/>
    <w:rsid w:val="0026041B"/>
    <w:rsid w:val="002609F8"/>
    <w:rsid w:val="00263BA7"/>
    <w:rsid w:val="00266B3D"/>
    <w:rsid w:val="00266BBE"/>
    <w:rsid w:val="00266F89"/>
    <w:rsid w:val="002702AE"/>
    <w:rsid w:val="00270E21"/>
    <w:rsid w:val="00271E09"/>
    <w:rsid w:val="00272314"/>
    <w:rsid w:val="00272374"/>
    <w:rsid w:val="00275862"/>
    <w:rsid w:val="00276289"/>
    <w:rsid w:val="00280DDC"/>
    <w:rsid w:val="0028102A"/>
    <w:rsid w:val="002818F2"/>
    <w:rsid w:val="00286750"/>
    <w:rsid w:val="00290232"/>
    <w:rsid w:val="00291F40"/>
    <w:rsid w:val="002937C5"/>
    <w:rsid w:val="002948A9"/>
    <w:rsid w:val="0029707F"/>
    <w:rsid w:val="002974A8"/>
    <w:rsid w:val="002A00F0"/>
    <w:rsid w:val="002A0AAA"/>
    <w:rsid w:val="002A23EE"/>
    <w:rsid w:val="002A38BD"/>
    <w:rsid w:val="002A5E38"/>
    <w:rsid w:val="002B5194"/>
    <w:rsid w:val="002C1832"/>
    <w:rsid w:val="002C432E"/>
    <w:rsid w:val="002C4A1E"/>
    <w:rsid w:val="002C4C79"/>
    <w:rsid w:val="002D28BB"/>
    <w:rsid w:val="002D34BB"/>
    <w:rsid w:val="002D5A64"/>
    <w:rsid w:val="002E14B7"/>
    <w:rsid w:val="002E35E8"/>
    <w:rsid w:val="002E58CB"/>
    <w:rsid w:val="002E6438"/>
    <w:rsid w:val="002E65AF"/>
    <w:rsid w:val="002E69D0"/>
    <w:rsid w:val="002E6D98"/>
    <w:rsid w:val="002E6F5A"/>
    <w:rsid w:val="002E7305"/>
    <w:rsid w:val="002F11ED"/>
    <w:rsid w:val="002F130A"/>
    <w:rsid w:val="002F323D"/>
    <w:rsid w:val="002F44D7"/>
    <w:rsid w:val="002F481D"/>
    <w:rsid w:val="00300BA9"/>
    <w:rsid w:val="003025D4"/>
    <w:rsid w:val="003030E3"/>
    <w:rsid w:val="003034E3"/>
    <w:rsid w:val="003040F8"/>
    <w:rsid w:val="00304D2A"/>
    <w:rsid w:val="0030585B"/>
    <w:rsid w:val="00305AAD"/>
    <w:rsid w:val="003074F6"/>
    <w:rsid w:val="00315D6F"/>
    <w:rsid w:val="0031686B"/>
    <w:rsid w:val="00321BBE"/>
    <w:rsid w:val="00323A00"/>
    <w:rsid w:val="00324655"/>
    <w:rsid w:val="00324F30"/>
    <w:rsid w:val="00327FD2"/>
    <w:rsid w:val="00330862"/>
    <w:rsid w:val="00334B7A"/>
    <w:rsid w:val="003401ED"/>
    <w:rsid w:val="003401EE"/>
    <w:rsid w:val="00340964"/>
    <w:rsid w:val="00341E40"/>
    <w:rsid w:val="00342E51"/>
    <w:rsid w:val="00343C82"/>
    <w:rsid w:val="00346038"/>
    <w:rsid w:val="00347B29"/>
    <w:rsid w:val="00347FA8"/>
    <w:rsid w:val="00350775"/>
    <w:rsid w:val="00351120"/>
    <w:rsid w:val="003527FD"/>
    <w:rsid w:val="003535F5"/>
    <w:rsid w:val="00354689"/>
    <w:rsid w:val="00355CED"/>
    <w:rsid w:val="00357AB3"/>
    <w:rsid w:val="003608A5"/>
    <w:rsid w:val="00360C5C"/>
    <w:rsid w:val="00364C42"/>
    <w:rsid w:val="00366253"/>
    <w:rsid w:val="00366FFD"/>
    <w:rsid w:val="003710A9"/>
    <w:rsid w:val="00376A28"/>
    <w:rsid w:val="00380194"/>
    <w:rsid w:val="003811F3"/>
    <w:rsid w:val="003819D8"/>
    <w:rsid w:val="00381F42"/>
    <w:rsid w:val="00383B34"/>
    <w:rsid w:val="00387007"/>
    <w:rsid w:val="00387275"/>
    <w:rsid w:val="0038751B"/>
    <w:rsid w:val="0038797A"/>
    <w:rsid w:val="00387FF6"/>
    <w:rsid w:val="0039376B"/>
    <w:rsid w:val="003937FF"/>
    <w:rsid w:val="00394BD7"/>
    <w:rsid w:val="00395828"/>
    <w:rsid w:val="00396E00"/>
    <w:rsid w:val="00397141"/>
    <w:rsid w:val="003973DC"/>
    <w:rsid w:val="003975ED"/>
    <w:rsid w:val="003A021C"/>
    <w:rsid w:val="003A1337"/>
    <w:rsid w:val="003A1A11"/>
    <w:rsid w:val="003A2DBA"/>
    <w:rsid w:val="003A473F"/>
    <w:rsid w:val="003A4CB6"/>
    <w:rsid w:val="003A4DB7"/>
    <w:rsid w:val="003A648D"/>
    <w:rsid w:val="003A6B41"/>
    <w:rsid w:val="003B0D70"/>
    <w:rsid w:val="003B1190"/>
    <w:rsid w:val="003B1718"/>
    <w:rsid w:val="003B338C"/>
    <w:rsid w:val="003C4790"/>
    <w:rsid w:val="003C59F3"/>
    <w:rsid w:val="003D09E1"/>
    <w:rsid w:val="003D205A"/>
    <w:rsid w:val="003D4540"/>
    <w:rsid w:val="003D6408"/>
    <w:rsid w:val="003D73DC"/>
    <w:rsid w:val="003E1C6F"/>
    <w:rsid w:val="003E2581"/>
    <w:rsid w:val="003E393C"/>
    <w:rsid w:val="003E5359"/>
    <w:rsid w:val="003F1B78"/>
    <w:rsid w:val="003F365D"/>
    <w:rsid w:val="003F6375"/>
    <w:rsid w:val="00402936"/>
    <w:rsid w:val="00403C50"/>
    <w:rsid w:val="0040645F"/>
    <w:rsid w:val="00407242"/>
    <w:rsid w:val="00410FFF"/>
    <w:rsid w:val="0041252C"/>
    <w:rsid w:val="004130A8"/>
    <w:rsid w:val="00422793"/>
    <w:rsid w:val="004231AC"/>
    <w:rsid w:val="0042540D"/>
    <w:rsid w:val="0042716B"/>
    <w:rsid w:val="00432D96"/>
    <w:rsid w:val="0043329B"/>
    <w:rsid w:val="00433CD9"/>
    <w:rsid w:val="00433E6C"/>
    <w:rsid w:val="00435654"/>
    <w:rsid w:val="0043694A"/>
    <w:rsid w:val="00436B2B"/>
    <w:rsid w:val="00437C1C"/>
    <w:rsid w:val="00440A47"/>
    <w:rsid w:val="00440AD9"/>
    <w:rsid w:val="00440DB9"/>
    <w:rsid w:val="00442BF0"/>
    <w:rsid w:val="00444232"/>
    <w:rsid w:val="0044650A"/>
    <w:rsid w:val="00450E30"/>
    <w:rsid w:val="0045149D"/>
    <w:rsid w:val="00454FD7"/>
    <w:rsid w:val="00455E85"/>
    <w:rsid w:val="004562AA"/>
    <w:rsid w:val="00456B8C"/>
    <w:rsid w:val="00461123"/>
    <w:rsid w:val="0046122C"/>
    <w:rsid w:val="0046230B"/>
    <w:rsid w:val="0046323C"/>
    <w:rsid w:val="004646B4"/>
    <w:rsid w:val="00464887"/>
    <w:rsid w:val="004671D8"/>
    <w:rsid w:val="004679F7"/>
    <w:rsid w:val="00471731"/>
    <w:rsid w:val="00471FED"/>
    <w:rsid w:val="00473EA7"/>
    <w:rsid w:val="00482A75"/>
    <w:rsid w:val="00483463"/>
    <w:rsid w:val="00485961"/>
    <w:rsid w:val="00486786"/>
    <w:rsid w:val="00486ADF"/>
    <w:rsid w:val="00486F05"/>
    <w:rsid w:val="004949E9"/>
    <w:rsid w:val="00496BC5"/>
    <w:rsid w:val="004A054A"/>
    <w:rsid w:val="004A1DE6"/>
    <w:rsid w:val="004A279F"/>
    <w:rsid w:val="004A3610"/>
    <w:rsid w:val="004A5B35"/>
    <w:rsid w:val="004A7880"/>
    <w:rsid w:val="004A7CF9"/>
    <w:rsid w:val="004B2810"/>
    <w:rsid w:val="004B34F7"/>
    <w:rsid w:val="004B5F10"/>
    <w:rsid w:val="004B7228"/>
    <w:rsid w:val="004B762C"/>
    <w:rsid w:val="004C10D2"/>
    <w:rsid w:val="004C1D8A"/>
    <w:rsid w:val="004C7AE4"/>
    <w:rsid w:val="004D05F0"/>
    <w:rsid w:val="004D219B"/>
    <w:rsid w:val="004D3B8C"/>
    <w:rsid w:val="004D41C6"/>
    <w:rsid w:val="004D564D"/>
    <w:rsid w:val="004E088A"/>
    <w:rsid w:val="004E4042"/>
    <w:rsid w:val="004E56FD"/>
    <w:rsid w:val="004F05C6"/>
    <w:rsid w:val="004F2151"/>
    <w:rsid w:val="004F4542"/>
    <w:rsid w:val="0050121C"/>
    <w:rsid w:val="00502F60"/>
    <w:rsid w:val="00503AC3"/>
    <w:rsid w:val="00503B50"/>
    <w:rsid w:val="00505789"/>
    <w:rsid w:val="00505F70"/>
    <w:rsid w:val="005068AE"/>
    <w:rsid w:val="00507E5A"/>
    <w:rsid w:val="00511AEB"/>
    <w:rsid w:val="00511E49"/>
    <w:rsid w:val="00515823"/>
    <w:rsid w:val="00516446"/>
    <w:rsid w:val="00516FED"/>
    <w:rsid w:val="0051763A"/>
    <w:rsid w:val="00520E88"/>
    <w:rsid w:val="00521F5D"/>
    <w:rsid w:val="00523AB4"/>
    <w:rsid w:val="00523B57"/>
    <w:rsid w:val="00525454"/>
    <w:rsid w:val="00525741"/>
    <w:rsid w:val="00527F2D"/>
    <w:rsid w:val="005319CF"/>
    <w:rsid w:val="005329DB"/>
    <w:rsid w:val="00533B1F"/>
    <w:rsid w:val="0053632E"/>
    <w:rsid w:val="005373F2"/>
    <w:rsid w:val="00537402"/>
    <w:rsid w:val="00541CF7"/>
    <w:rsid w:val="005421B3"/>
    <w:rsid w:val="005453CC"/>
    <w:rsid w:val="00545ACA"/>
    <w:rsid w:val="00546E07"/>
    <w:rsid w:val="0055280A"/>
    <w:rsid w:val="00553CA9"/>
    <w:rsid w:val="00554232"/>
    <w:rsid w:val="0055574F"/>
    <w:rsid w:val="005568B4"/>
    <w:rsid w:val="005607B9"/>
    <w:rsid w:val="00564799"/>
    <w:rsid w:val="005651BF"/>
    <w:rsid w:val="005728A1"/>
    <w:rsid w:val="0057645A"/>
    <w:rsid w:val="00576CF4"/>
    <w:rsid w:val="0058204E"/>
    <w:rsid w:val="00582B09"/>
    <w:rsid w:val="00582BC0"/>
    <w:rsid w:val="00584FD6"/>
    <w:rsid w:val="00586FAF"/>
    <w:rsid w:val="00587DF4"/>
    <w:rsid w:val="00591900"/>
    <w:rsid w:val="00592808"/>
    <w:rsid w:val="00592D34"/>
    <w:rsid w:val="00592F14"/>
    <w:rsid w:val="00593136"/>
    <w:rsid w:val="00595C4C"/>
    <w:rsid w:val="005971C8"/>
    <w:rsid w:val="005A03ED"/>
    <w:rsid w:val="005A1C5C"/>
    <w:rsid w:val="005A37DE"/>
    <w:rsid w:val="005A6378"/>
    <w:rsid w:val="005A643C"/>
    <w:rsid w:val="005B187C"/>
    <w:rsid w:val="005B29B3"/>
    <w:rsid w:val="005B2A5E"/>
    <w:rsid w:val="005B42DF"/>
    <w:rsid w:val="005B4DA6"/>
    <w:rsid w:val="005C1AF8"/>
    <w:rsid w:val="005C724E"/>
    <w:rsid w:val="005D35C7"/>
    <w:rsid w:val="005D3BD2"/>
    <w:rsid w:val="005D5606"/>
    <w:rsid w:val="005D57CC"/>
    <w:rsid w:val="005E2089"/>
    <w:rsid w:val="005E2A27"/>
    <w:rsid w:val="005E2B3B"/>
    <w:rsid w:val="005E31AD"/>
    <w:rsid w:val="005E3E3D"/>
    <w:rsid w:val="005E61A4"/>
    <w:rsid w:val="005E6C6B"/>
    <w:rsid w:val="005E7D7B"/>
    <w:rsid w:val="005F4D08"/>
    <w:rsid w:val="00600590"/>
    <w:rsid w:val="006038BF"/>
    <w:rsid w:val="00607C7A"/>
    <w:rsid w:val="006105FE"/>
    <w:rsid w:val="0061122C"/>
    <w:rsid w:val="006127E7"/>
    <w:rsid w:val="00614698"/>
    <w:rsid w:val="0061474E"/>
    <w:rsid w:val="00621178"/>
    <w:rsid w:val="006226DD"/>
    <w:rsid w:val="006250DE"/>
    <w:rsid w:val="00625B9F"/>
    <w:rsid w:val="00625F5F"/>
    <w:rsid w:val="00632836"/>
    <w:rsid w:val="00636193"/>
    <w:rsid w:val="00637BEB"/>
    <w:rsid w:val="006456BB"/>
    <w:rsid w:val="00645BEE"/>
    <w:rsid w:val="00645EF6"/>
    <w:rsid w:val="006465BE"/>
    <w:rsid w:val="00647F04"/>
    <w:rsid w:val="00651FDC"/>
    <w:rsid w:val="006524C8"/>
    <w:rsid w:val="006610EC"/>
    <w:rsid w:val="00661229"/>
    <w:rsid w:val="00665D25"/>
    <w:rsid w:val="006662B6"/>
    <w:rsid w:val="006664FC"/>
    <w:rsid w:val="00667F8E"/>
    <w:rsid w:val="006709D1"/>
    <w:rsid w:val="00671971"/>
    <w:rsid w:val="006723B6"/>
    <w:rsid w:val="00675A2D"/>
    <w:rsid w:val="006829C0"/>
    <w:rsid w:val="00683C1A"/>
    <w:rsid w:val="006841DD"/>
    <w:rsid w:val="00684B5C"/>
    <w:rsid w:val="006854BA"/>
    <w:rsid w:val="00685774"/>
    <w:rsid w:val="00687230"/>
    <w:rsid w:val="0069360A"/>
    <w:rsid w:val="00697CFD"/>
    <w:rsid w:val="006A0D65"/>
    <w:rsid w:val="006A210A"/>
    <w:rsid w:val="006A33EF"/>
    <w:rsid w:val="006A5459"/>
    <w:rsid w:val="006A64C6"/>
    <w:rsid w:val="006B03C2"/>
    <w:rsid w:val="006B0531"/>
    <w:rsid w:val="006B0813"/>
    <w:rsid w:val="006B3074"/>
    <w:rsid w:val="006B3771"/>
    <w:rsid w:val="006B387F"/>
    <w:rsid w:val="006B534E"/>
    <w:rsid w:val="006B5E4D"/>
    <w:rsid w:val="006B6D13"/>
    <w:rsid w:val="006B76F5"/>
    <w:rsid w:val="006C20AE"/>
    <w:rsid w:val="006C3930"/>
    <w:rsid w:val="006C3C73"/>
    <w:rsid w:val="006C505E"/>
    <w:rsid w:val="006C57D8"/>
    <w:rsid w:val="006C5B71"/>
    <w:rsid w:val="006C61EE"/>
    <w:rsid w:val="006C6986"/>
    <w:rsid w:val="006D0732"/>
    <w:rsid w:val="006D0768"/>
    <w:rsid w:val="006D0BB9"/>
    <w:rsid w:val="006D34CA"/>
    <w:rsid w:val="006D37E7"/>
    <w:rsid w:val="006D48E4"/>
    <w:rsid w:val="006D50FF"/>
    <w:rsid w:val="006D65AE"/>
    <w:rsid w:val="006D7C0C"/>
    <w:rsid w:val="006D7FA1"/>
    <w:rsid w:val="006E5A89"/>
    <w:rsid w:val="006E63F0"/>
    <w:rsid w:val="006E65CF"/>
    <w:rsid w:val="006F07E4"/>
    <w:rsid w:val="006F1B1B"/>
    <w:rsid w:val="006F5988"/>
    <w:rsid w:val="006F59EF"/>
    <w:rsid w:val="00702ABE"/>
    <w:rsid w:val="007037A9"/>
    <w:rsid w:val="00704B5B"/>
    <w:rsid w:val="00707558"/>
    <w:rsid w:val="00707F83"/>
    <w:rsid w:val="007104EA"/>
    <w:rsid w:val="00711055"/>
    <w:rsid w:val="00712902"/>
    <w:rsid w:val="0071367D"/>
    <w:rsid w:val="0071500E"/>
    <w:rsid w:val="00716578"/>
    <w:rsid w:val="00720966"/>
    <w:rsid w:val="00721614"/>
    <w:rsid w:val="00723862"/>
    <w:rsid w:val="00725429"/>
    <w:rsid w:val="00730AB8"/>
    <w:rsid w:val="00731ADF"/>
    <w:rsid w:val="0073258C"/>
    <w:rsid w:val="00741A86"/>
    <w:rsid w:val="00742FAE"/>
    <w:rsid w:val="0074567B"/>
    <w:rsid w:val="00750B73"/>
    <w:rsid w:val="00754A03"/>
    <w:rsid w:val="00755211"/>
    <w:rsid w:val="00755789"/>
    <w:rsid w:val="007572BE"/>
    <w:rsid w:val="00761B81"/>
    <w:rsid w:val="00763670"/>
    <w:rsid w:val="0076551A"/>
    <w:rsid w:val="007658F6"/>
    <w:rsid w:val="00765C0B"/>
    <w:rsid w:val="007665CF"/>
    <w:rsid w:val="00767013"/>
    <w:rsid w:val="00770470"/>
    <w:rsid w:val="00770C8A"/>
    <w:rsid w:val="00771AF7"/>
    <w:rsid w:val="00772122"/>
    <w:rsid w:val="00773186"/>
    <w:rsid w:val="00777408"/>
    <w:rsid w:val="00781941"/>
    <w:rsid w:val="007827AF"/>
    <w:rsid w:val="007835FD"/>
    <w:rsid w:val="00787BC5"/>
    <w:rsid w:val="007917EC"/>
    <w:rsid w:val="007946FD"/>
    <w:rsid w:val="00795015"/>
    <w:rsid w:val="0079508A"/>
    <w:rsid w:val="007A2748"/>
    <w:rsid w:val="007A2BE0"/>
    <w:rsid w:val="007A3187"/>
    <w:rsid w:val="007A4CDC"/>
    <w:rsid w:val="007A5A7D"/>
    <w:rsid w:val="007A5B56"/>
    <w:rsid w:val="007A5ECF"/>
    <w:rsid w:val="007A7230"/>
    <w:rsid w:val="007A7B53"/>
    <w:rsid w:val="007B34BB"/>
    <w:rsid w:val="007C0682"/>
    <w:rsid w:val="007C74E2"/>
    <w:rsid w:val="007D0C1C"/>
    <w:rsid w:val="007D15E0"/>
    <w:rsid w:val="007D4393"/>
    <w:rsid w:val="007D5551"/>
    <w:rsid w:val="007D5730"/>
    <w:rsid w:val="007D73ED"/>
    <w:rsid w:val="007D7C68"/>
    <w:rsid w:val="007E0E90"/>
    <w:rsid w:val="007E2266"/>
    <w:rsid w:val="007E2469"/>
    <w:rsid w:val="007E24AF"/>
    <w:rsid w:val="007E284C"/>
    <w:rsid w:val="007E3705"/>
    <w:rsid w:val="007E3912"/>
    <w:rsid w:val="007E465E"/>
    <w:rsid w:val="007E49ED"/>
    <w:rsid w:val="007E64AA"/>
    <w:rsid w:val="007E6B64"/>
    <w:rsid w:val="007E7FB9"/>
    <w:rsid w:val="007F1A37"/>
    <w:rsid w:val="007F212F"/>
    <w:rsid w:val="007F5559"/>
    <w:rsid w:val="007F5919"/>
    <w:rsid w:val="007F6CED"/>
    <w:rsid w:val="007F7C59"/>
    <w:rsid w:val="008009E4"/>
    <w:rsid w:val="00801CA0"/>
    <w:rsid w:val="00806892"/>
    <w:rsid w:val="0080777D"/>
    <w:rsid w:val="00807DCE"/>
    <w:rsid w:val="00811629"/>
    <w:rsid w:val="00811DE4"/>
    <w:rsid w:val="00812E7C"/>
    <w:rsid w:val="00817F6C"/>
    <w:rsid w:val="00820954"/>
    <w:rsid w:val="00822AEE"/>
    <w:rsid w:val="008237BC"/>
    <w:rsid w:val="00823C1B"/>
    <w:rsid w:val="00824636"/>
    <w:rsid w:val="008256C5"/>
    <w:rsid w:val="0083143D"/>
    <w:rsid w:val="008315E2"/>
    <w:rsid w:val="008324B6"/>
    <w:rsid w:val="00832BA8"/>
    <w:rsid w:val="008410E3"/>
    <w:rsid w:val="008427C8"/>
    <w:rsid w:val="008429A5"/>
    <w:rsid w:val="00850A47"/>
    <w:rsid w:val="00850E85"/>
    <w:rsid w:val="00851515"/>
    <w:rsid w:val="008532A2"/>
    <w:rsid w:val="00853380"/>
    <w:rsid w:val="00854996"/>
    <w:rsid w:val="00855868"/>
    <w:rsid w:val="00856965"/>
    <w:rsid w:val="00860B13"/>
    <w:rsid w:val="00861485"/>
    <w:rsid w:val="00862C57"/>
    <w:rsid w:val="00862E5E"/>
    <w:rsid w:val="0086300B"/>
    <w:rsid w:val="00864890"/>
    <w:rsid w:val="00865F35"/>
    <w:rsid w:val="00866E64"/>
    <w:rsid w:val="00867B2C"/>
    <w:rsid w:val="00867B49"/>
    <w:rsid w:val="0087193A"/>
    <w:rsid w:val="00873BF6"/>
    <w:rsid w:val="00875F36"/>
    <w:rsid w:val="0087752D"/>
    <w:rsid w:val="00880437"/>
    <w:rsid w:val="008811F9"/>
    <w:rsid w:val="00881891"/>
    <w:rsid w:val="00883D22"/>
    <w:rsid w:val="00884FF4"/>
    <w:rsid w:val="008852BF"/>
    <w:rsid w:val="0088610B"/>
    <w:rsid w:val="00893105"/>
    <w:rsid w:val="008937DC"/>
    <w:rsid w:val="00897AE4"/>
    <w:rsid w:val="008A2AD9"/>
    <w:rsid w:val="008A3126"/>
    <w:rsid w:val="008A3458"/>
    <w:rsid w:val="008A4AD0"/>
    <w:rsid w:val="008A5C4D"/>
    <w:rsid w:val="008A5F2F"/>
    <w:rsid w:val="008B16FE"/>
    <w:rsid w:val="008B24DA"/>
    <w:rsid w:val="008B4C3A"/>
    <w:rsid w:val="008C171A"/>
    <w:rsid w:val="008C3358"/>
    <w:rsid w:val="008C51EE"/>
    <w:rsid w:val="008C54DA"/>
    <w:rsid w:val="008C5880"/>
    <w:rsid w:val="008C7366"/>
    <w:rsid w:val="008C76D0"/>
    <w:rsid w:val="008D1859"/>
    <w:rsid w:val="008D3006"/>
    <w:rsid w:val="008D5D24"/>
    <w:rsid w:val="008D785D"/>
    <w:rsid w:val="008E3520"/>
    <w:rsid w:val="008E42BC"/>
    <w:rsid w:val="008E515E"/>
    <w:rsid w:val="008E516F"/>
    <w:rsid w:val="008E58F3"/>
    <w:rsid w:val="008E6A64"/>
    <w:rsid w:val="008E73CE"/>
    <w:rsid w:val="008E7E1C"/>
    <w:rsid w:val="008F1BC8"/>
    <w:rsid w:val="008F28A7"/>
    <w:rsid w:val="008F4C5C"/>
    <w:rsid w:val="008F4C82"/>
    <w:rsid w:val="008F4F41"/>
    <w:rsid w:val="008F543E"/>
    <w:rsid w:val="008F596A"/>
    <w:rsid w:val="008F600F"/>
    <w:rsid w:val="00902CFB"/>
    <w:rsid w:val="00904230"/>
    <w:rsid w:val="00904546"/>
    <w:rsid w:val="009053CC"/>
    <w:rsid w:val="00905761"/>
    <w:rsid w:val="00907BE5"/>
    <w:rsid w:val="0091164B"/>
    <w:rsid w:val="0091168A"/>
    <w:rsid w:val="0091218D"/>
    <w:rsid w:val="00914F6E"/>
    <w:rsid w:val="00916BE7"/>
    <w:rsid w:val="00917164"/>
    <w:rsid w:val="00917690"/>
    <w:rsid w:val="00917A6C"/>
    <w:rsid w:val="00920CE7"/>
    <w:rsid w:val="00921C3E"/>
    <w:rsid w:val="00921D96"/>
    <w:rsid w:val="00922857"/>
    <w:rsid w:val="00922B04"/>
    <w:rsid w:val="00923171"/>
    <w:rsid w:val="009240FD"/>
    <w:rsid w:val="00924AD3"/>
    <w:rsid w:val="009272F2"/>
    <w:rsid w:val="00927DCF"/>
    <w:rsid w:val="009302E1"/>
    <w:rsid w:val="00935AD0"/>
    <w:rsid w:val="00937C86"/>
    <w:rsid w:val="00937E4C"/>
    <w:rsid w:val="009412DA"/>
    <w:rsid w:val="00942A53"/>
    <w:rsid w:val="0094460D"/>
    <w:rsid w:val="00944AF5"/>
    <w:rsid w:val="0094606A"/>
    <w:rsid w:val="009461D7"/>
    <w:rsid w:val="00956301"/>
    <w:rsid w:val="00957BBE"/>
    <w:rsid w:val="00962270"/>
    <w:rsid w:val="00963C25"/>
    <w:rsid w:val="00964FC8"/>
    <w:rsid w:val="00971860"/>
    <w:rsid w:val="009724CD"/>
    <w:rsid w:val="00975414"/>
    <w:rsid w:val="009761F2"/>
    <w:rsid w:val="00980795"/>
    <w:rsid w:val="00981252"/>
    <w:rsid w:val="00983722"/>
    <w:rsid w:val="00984604"/>
    <w:rsid w:val="00990DE6"/>
    <w:rsid w:val="009913B6"/>
    <w:rsid w:val="00993BA6"/>
    <w:rsid w:val="00995050"/>
    <w:rsid w:val="00995309"/>
    <w:rsid w:val="0099617F"/>
    <w:rsid w:val="0099669D"/>
    <w:rsid w:val="00997D31"/>
    <w:rsid w:val="009A1B6A"/>
    <w:rsid w:val="009A3A00"/>
    <w:rsid w:val="009A4E8B"/>
    <w:rsid w:val="009A5101"/>
    <w:rsid w:val="009B0DBC"/>
    <w:rsid w:val="009B388D"/>
    <w:rsid w:val="009B470E"/>
    <w:rsid w:val="009B51AC"/>
    <w:rsid w:val="009B54B6"/>
    <w:rsid w:val="009B63DE"/>
    <w:rsid w:val="009C13C2"/>
    <w:rsid w:val="009C1DCF"/>
    <w:rsid w:val="009C1EA7"/>
    <w:rsid w:val="009C32E2"/>
    <w:rsid w:val="009C3A91"/>
    <w:rsid w:val="009C3EB0"/>
    <w:rsid w:val="009C6B5E"/>
    <w:rsid w:val="009C6DF5"/>
    <w:rsid w:val="009C6FF2"/>
    <w:rsid w:val="009D0019"/>
    <w:rsid w:val="009D02F3"/>
    <w:rsid w:val="009D1BA0"/>
    <w:rsid w:val="009D4611"/>
    <w:rsid w:val="009D6908"/>
    <w:rsid w:val="009D6B21"/>
    <w:rsid w:val="009D75CF"/>
    <w:rsid w:val="009D7C5E"/>
    <w:rsid w:val="009E0E95"/>
    <w:rsid w:val="009E214B"/>
    <w:rsid w:val="009E3A16"/>
    <w:rsid w:val="009E4063"/>
    <w:rsid w:val="009E4CC6"/>
    <w:rsid w:val="009E5B8F"/>
    <w:rsid w:val="009E6862"/>
    <w:rsid w:val="009E7CE9"/>
    <w:rsid w:val="009F0161"/>
    <w:rsid w:val="009F0237"/>
    <w:rsid w:val="009F2994"/>
    <w:rsid w:val="009F3F58"/>
    <w:rsid w:val="009F50F5"/>
    <w:rsid w:val="009F52A3"/>
    <w:rsid w:val="00A037EE"/>
    <w:rsid w:val="00A071F3"/>
    <w:rsid w:val="00A10833"/>
    <w:rsid w:val="00A11D10"/>
    <w:rsid w:val="00A13216"/>
    <w:rsid w:val="00A15B8F"/>
    <w:rsid w:val="00A17EBF"/>
    <w:rsid w:val="00A20FDE"/>
    <w:rsid w:val="00A21017"/>
    <w:rsid w:val="00A221BD"/>
    <w:rsid w:val="00A22FFE"/>
    <w:rsid w:val="00A30F11"/>
    <w:rsid w:val="00A31F10"/>
    <w:rsid w:val="00A321EE"/>
    <w:rsid w:val="00A3401E"/>
    <w:rsid w:val="00A35A69"/>
    <w:rsid w:val="00A35FA5"/>
    <w:rsid w:val="00A36570"/>
    <w:rsid w:val="00A40ABC"/>
    <w:rsid w:val="00A43B34"/>
    <w:rsid w:val="00A44C64"/>
    <w:rsid w:val="00A46394"/>
    <w:rsid w:val="00A46518"/>
    <w:rsid w:val="00A47694"/>
    <w:rsid w:val="00A4799F"/>
    <w:rsid w:val="00A510A2"/>
    <w:rsid w:val="00A51F43"/>
    <w:rsid w:val="00A5260B"/>
    <w:rsid w:val="00A52DF5"/>
    <w:rsid w:val="00A562C8"/>
    <w:rsid w:val="00A56566"/>
    <w:rsid w:val="00A61900"/>
    <w:rsid w:val="00A61A0D"/>
    <w:rsid w:val="00A61D04"/>
    <w:rsid w:val="00A6224E"/>
    <w:rsid w:val="00A62BBC"/>
    <w:rsid w:val="00A64B0C"/>
    <w:rsid w:val="00A650E5"/>
    <w:rsid w:val="00A66659"/>
    <w:rsid w:val="00A67138"/>
    <w:rsid w:val="00A7268F"/>
    <w:rsid w:val="00A73319"/>
    <w:rsid w:val="00A74AD3"/>
    <w:rsid w:val="00A754F6"/>
    <w:rsid w:val="00A80DAF"/>
    <w:rsid w:val="00A83687"/>
    <w:rsid w:val="00A84029"/>
    <w:rsid w:val="00A84965"/>
    <w:rsid w:val="00A84F41"/>
    <w:rsid w:val="00A855F2"/>
    <w:rsid w:val="00A861F9"/>
    <w:rsid w:val="00A9323C"/>
    <w:rsid w:val="00A9328A"/>
    <w:rsid w:val="00A93C1C"/>
    <w:rsid w:val="00A93C2D"/>
    <w:rsid w:val="00A95801"/>
    <w:rsid w:val="00AA14E7"/>
    <w:rsid w:val="00AA2531"/>
    <w:rsid w:val="00AA4794"/>
    <w:rsid w:val="00AA55C7"/>
    <w:rsid w:val="00AA67E4"/>
    <w:rsid w:val="00AB2F37"/>
    <w:rsid w:val="00AB559A"/>
    <w:rsid w:val="00AB6142"/>
    <w:rsid w:val="00AB671C"/>
    <w:rsid w:val="00AB75FE"/>
    <w:rsid w:val="00AC17EE"/>
    <w:rsid w:val="00AC364F"/>
    <w:rsid w:val="00AC3E31"/>
    <w:rsid w:val="00AC427C"/>
    <w:rsid w:val="00AC4376"/>
    <w:rsid w:val="00AC6294"/>
    <w:rsid w:val="00AC7834"/>
    <w:rsid w:val="00AC7BAC"/>
    <w:rsid w:val="00AD3025"/>
    <w:rsid w:val="00AD4713"/>
    <w:rsid w:val="00AD4C5D"/>
    <w:rsid w:val="00AD54E3"/>
    <w:rsid w:val="00AD5F26"/>
    <w:rsid w:val="00AD751C"/>
    <w:rsid w:val="00AD7C53"/>
    <w:rsid w:val="00AE4110"/>
    <w:rsid w:val="00AE648A"/>
    <w:rsid w:val="00AE6D38"/>
    <w:rsid w:val="00AE78E7"/>
    <w:rsid w:val="00AF0F76"/>
    <w:rsid w:val="00AF2673"/>
    <w:rsid w:val="00AF2C6F"/>
    <w:rsid w:val="00AF46F3"/>
    <w:rsid w:val="00AF5CEF"/>
    <w:rsid w:val="00AF719C"/>
    <w:rsid w:val="00B01E06"/>
    <w:rsid w:val="00B02543"/>
    <w:rsid w:val="00B03A63"/>
    <w:rsid w:val="00B05026"/>
    <w:rsid w:val="00B06617"/>
    <w:rsid w:val="00B06AD3"/>
    <w:rsid w:val="00B07FEA"/>
    <w:rsid w:val="00B119CB"/>
    <w:rsid w:val="00B11D7D"/>
    <w:rsid w:val="00B1375C"/>
    <w:rsid w:val="00B15304"/>
    <w:rsid w:val="00B15F2F"/>
    <w:rsid w:val="00B169DC"/>
    <w:rsid w:val="00B179F6"/>
    <w:rsid w:val="00B20959"/>
    <w:rsid w:val="00B20BCA"/>
    <w:rsid w:val="00B21683"/>
    <w:rsid w:val="00B21D21"/>
    <w:rsid w:val="00B23535"/>
    <w:rsid w:val="00B23A80"/>
    <w:rsid w:val="00B3065F"/>
    <w:rsid w:val="00B3198D"/>
    <w:rsid w:val="00B32A5C"/>
    <w:rsid w:val="00B32E9E"/>
    <w:rsid w:val="00B33963"/>
    <w:rsid w:val="00B35488"/>
    <w:rsid w:val="00B36BB9"/>
    <w:rsid w:val="00B3787A"/>
    <w:rsid w:val="00B45B25"/>
    <w:rsid w:val="00B51FE6"/>
    <w:rsid w:val="00B541D2"/>
    <w:rsid w:val="00B55319"/>
    <w:rsid w:val="00B56A6C"/>
    <w:rsid w:val="00B60C37"/>
    <w:rsid w:val="00B61E24"/>
    <w:rsid w:val="00B64205"/>
    <w:rsid w:val="00B64B15"/>
    <w:rsid w:val="00B65DCB"/>
    <w:rsid w:val="00B67050"/>
    <w:rsid w:val="00B70010"/>
    <w:rsid w:val="00B74A8A"/>
    <w:rsid w:val="00B755E3"/>
    <w:rsid w:val="00B811C8"/>
    <w:rsid w:val="00B813D7"/>
    <w:rsid w:val="00B82084"/>
    <w:rsid w:val="00B84E90"/>
    <w:rsid w:val="00B87CF1"/>
    <w:rsid w:val="00B9131D"/>
    <w:rsid w:val="00B91655"/>
    <w:rsid w:val="00B92135"/>
    <w:rsid w:val="00B92804"/>
    <w:rsid w:val="00B95812"/>
    <w:rsid w:val="00B97378"/>
    <w:rsid w:val="00BA0728"/>
    <w:rsid w:val="00BA0841"/>
    <w:rsid w:val="00BA46AC"/>
    <w:rsid w:val="00BB12D7"/>
    <w:rsid w:val="00BB24FC"/>
    <w:rsid w:val="00BB255E"/>
    <w:rsid w:val="00BB3735"/>
    <w:rsid w:val="00BB5C1E"/>
    <w:rsid w:val="00BC13B4"/>
    <w:rsid w:val="00BC5DAA"/>
    <w:rsid w:val="00BC6085"/>
    <w:rsid w:val="00BC65C9"/>
    <w:rsid w:val="00BD22F2"/>
    <w:rsid w:val="00BD2C25"/>
    <w:rsid w:val="00BD45C8"/>
    <w:rsid w:val="00BD5F09"/>
    <w:rsid w:val="00BD654D"/>
    <w:rsid w:val="00BD6E21"/>
    <w:rsid w:val="00BE03EE"/>
    <w:rsid w:val="00BE2791"/>
    <w:rsid w:val="00BE4620"/>
    <w:rsid w:val="00BE66A4"/>
    <w:rsid w:val="00BE6936"/>
    <w:rsid w:val="00BF18A1"/>
    <w:rsid w:val="00BF2171"/>
    <w:rsid w:val="00BF2306"/>
    <w:rsid w:val="00BF299E"/>
    <w:rsid w:val="00BF44BC"/>
    <w:rsid w:val="00BF58EB"/>
    <w:rsid w:val="00C000C7"/>
    <w:rsid w:val="00C00F7F"/>
    <w:rsid w:val="00C053BE"/>
    <w:rsid w:val="00C10297"/>
    <w:rsid w:val="00C115F2"/>
    <w:rsid w:val="00C14881"/>
    <w:rsid w:val="00C1552F"/>
    <w:rsid w:val="00C17126"/>
    <w:rsid w:val="00C17A0C"/>
    <w:rsid w:val="00C23C29"/>
    <w:rsid w:val="00C2561B"/>
    <w:rsid w:val="00C31981"/>
    <w:rsid w:val="00C33D40"/>
    <w:rsid w:val="00C36B4C"/>
    <w:rsid w:val="00C40990"/>
    <w:rsid w:val="00C4369C"/>
    <w:rsid w:val="00C446B8"/>
    <w:rsid w:val="00C45605"/>
    <w:rsid w:val="00C45B20"/>
    <w:rsid w:val="00C47CEF"/>
    <w:rsid w:val="00C50B25"/>
    <w:rsid w:val="00C5102B"/>
    <w:rsid w:val="00C51A8B"/>
    <w:rsid w:val="00C53D3D"/>
    <w:rsid w:val="00C53EB8"/>
    <w:rsid w:val="00C55CE6"/>
    <w:rsid w:val="00C61446"/>
    <w:rsid w:val="00C615F0"/>
    <w:rsid w:val="00C626FA"/>
    <w:rsid w:val="00C62BE9"/>
    <w:rsid w:val="00C6433A"/>
    <w:rsid w:val="00C652CD"/>
    <w:rsid w:val="00C703CC"/>
    <w:rsid w:val="00C71256"/>
    <w:rsid w:val="00C721DF"/>
    <w:rsid w:val="00C73278"/>
    <w:rsid w:val="00C74087"/>
    <w:rsid w:val="00C747BB"/>
    <w:rsid w:val="00C8006C"/>
    <w:rsid w:val="00C8145F"/>
    <w:rsid w:val="00C81E93"/>
    <w:rsid w:val="00C84025"/>
    <w:rsid w:val="00C85477"/>
    <w:rsid w:val="00C86AB2"/>
    <w:rsid w:val="00C87AD3"/>
    <w:rsid w:val="00C9444D"/>
    <w:rsid w:val="00C95B76"/>
    <w:rsid w:val="00CA0F71"/>
    <w:rsid w:val="00CA1A98"/>
    <w:rsid w:val="00CA3571"/>
    <w:rsid w:val="00CA400C"/>
    <w:rsid w:val="00CA456B"/>
    <w:rsid w:val="00CB11A6"/>
    <w:rsid w:val="00CB18FC"/>
    <w:rsid w:val="00CB2D8C"/>
    <w:rsid w:val="00CB3157"/>
    <w:rsid w:val="00CB3782"/>
    <w:rsid w:val="00CB3D4C"/>
    <w:rsid w:val="00CB51F6"/>
    <w:rsid w:val="00CB5B22"/>
    <w:rsid w:val="00CC05F0"/>
    <w:rsid w:val="00CC0F58"/>
    <w:rsid w:val="00CC12B2"/>
    <w:rsid w:val="00CC225A"/>
    <w:rsid w:val="00CC2436"/>
    <w:rsid w:val="00CC3CDC"/>
    <w:rsid w:val="00CC4B93"/>
    <w:rsid w:val="00CC7A94"/>
    <w:rsid w:val="00CD0884"/>
    <w:rsid w:val="00CD134F"/>
    <w:rsid w:val="00CD497C"/>
    <w:rsid w:val="00CD56B8"/>
    <w:rsid w:val="00CD62DF"/>
    <w:rsid w:val="00CD6C51"/>
    <w:rsid w:val="00CD7B45"/>
    <w:rsid w:val="00CD7E6B"/>
    <w:rsid w:val="00CE0978"/>
    <w:rsid w:val="00CE19A8"/>
    <w:rsid w:val="00CE4924"/>
    <w:rsid w:val="00CE5D8F"/>
    <w:rsid w:val="00CE6625"/>
    <w:rsid w:val="00CE673A"/>
    <w:rsid w:val="00CE7A81"/>
    <w:rsid w:val="00CF0593"/>
    <w:rsid w:val="00CF29B1"/>
    <w:rsid w:val="00CF2BA7"/>
    <w:rsid w:val="00D0123F"/>
    <w:rsid w:val="00D02104"/>
    <w:rsid w:val="00D021A4"/>
    <w:rsid w:val="00D069AE"/>
    <w:rsid w:val="00D07455"/>
    <w:rsid w:val="00D108C5"/>
    <w:rsid w:val="00D12321"/>
    <w:rsid w:val="00D1295C"/>
    <w:rsid w:val="00D14880"/>
    <w:rsid w:val="00D16E87"/>
    <w:rsid w:val="00D24B52"/>
    <w:rsid w:val="00D2569C"/>
    <w:rsid w:val="00D25F1A"/>
    <w:rsid w:val="00D26D7B"/>
    <w:rsid w:val="00D3191B"/>
    <w:rsid w:val="00D31A09"/>
    <w:rsid w:val="00D32826"/>
    <w:rsid w:val="00D3286F"/>
    <w:rsid w:val="00D367F2"/>
    <w:rsid w:val="00D3712E"/>
    <w:rsid w:val="00D375D6"/>
    <w:rsid w:val="00D376C1"/>
    <w:rsid w:val="00D4244D"/>
    <w:rsid w:val="00D441BD"/>
    <w:rsid w:val="00D47115"/>
    <w:rsid w:val="00D4715D"/>
    <w:rsid w:val="00D47CC8"/>
    <w:rsid w:val="00D559A5"/>
    <w:rsid w:val="00D55E34"/>
    <w:rsid w:val="00D5741A"/>
    <w:rsid w:val="00D57BAE"/>
    <w:rsid w:val="00D6142F"/>
    <w:rsid w:val="00D63BB5"/>
    <w:rsid w:val="00D67A29"/>
    <w:rsid w:val="00D67C5F"/>
    <w:rsid w:val="00D70B8B"/>
    <w:rsid w:val="00D70C23"/>
    <w:rsid w:val="00D74655"/>
    <w:rsid w:val="00D7547D"/>
    <w:rsid w:val="00D75C51"/>
    <w:rsid w:val="00D7614C"/>
    <w:rsid w:val="00D82E23"/>
    <w:rsid w:val="00D85628"/>
    <w:rsid w:val="00D87E9D"/>
    <w:rsid w:val="00D911DA"/>
    <w:rsid w:val="00D9179F"/>
    <w:rsid w:val="00D92E07"/>
    <w:rsid w:val="00D94793"/>
    <w:rsid w:val="00DA1D60"/>
    <w:rsid w:val="00DA7310"/>
    <w:rsid w:val="00DB02A2"/>
    <w:rsid w:val="00DB4710"/>
    <w:rsid w:val="00DB493A"/>
    <w:rsid w:val="00DB6189"/>
    <w:rsid w:val="00DB63BE"/>
    <w:rsid w:val="00DB7B8D"/>
    <w:rsid w:val="00DB7DA1"/>
    <w:rsid w:val="00DC0CBA"/>
    <w:rsid w:val="00DC17A7"/>
    <w:rsid w:val="00DC4B30"/>
    <w:rsid w:val="00DD14F7"/>
    <w:rsid w:val="00DD27B5"/>
    <w:rsid w:val="00DD7C11"/>
    <w:rsid w:val="00DE2F09"/>
    <w:rsid w:val="00DE306E"/>
    <w:rsid w:val="00DE38EF"/>
    <w:rsid w:val="00DE6FC8"/>
    <w:rsid w:val="00DE7883"/>
    <w:rsid w:val="00DF1FBF"/>
    <w:rsid w:val="00DF3749"/>
    <w:rsid w:val="00DF3980"/>
    <w:rsid w:val="00DF5ACB"/>
    <w:rsid w:val="00E011BB"/>
    <w:rsid w:val="00E023E0"/>
    <w:rsid w:val="00E02DED"/>
    <w:rsid w:val="00E03EFA"/>
    <w:rsid w:val="00E043CD"/>
    <w:rsid w:val="00E0581E"/>
    <w:rsid w:val="00E07655"/>
    <w:rsid w:val="00E103E0"/>
    <w:rsid w:val="00E14C47"/>
    <w:rsid w:val="00E15319"/>
    <w:rsid w:val="00E17CC7"/>
    <w:rsid w:val="00E201A8"/>
    <w:rsid w:val="00E2049D"/>
    <w:rsid w:val="00E20500"/>
    <w:rsid w:val="00E220EF"/>
    <w:rsid w:val="00E2449F"/>
    <w:rsid w:val="00E26918"/>
    <w:rsid w:val="00E30125"/>
    <w:rsid w:val="00E3126F"/>
    <w:rsid w:val="00E32579"/>
    <w:rsid w:val="00E36B0D"/>
    <w:rsid w:val="00E36D19"/>
    <w:rsid w:val="00E3782E"/>
    <w:rsid w:val="00E40124"/>
    <w:rsid w:val="00E41C31"/>
    <w:rsid w:val="00E4244A"/>
    <w:rsid w:val="00E43E65"/>
    <w:rsid w:val="00E503E6"/>
    <w:rsid w:val="00E5122F"/>
    <w:rsid w:val="00E543B6"/>
    <w:rsid w:val="00E56D59"/>
    <w:rsid w:val="00E6001C"/>
    <w:rsid w:val="00E60ECE"/>
    <w:rsid w:val="00E6165E"/>
    <w:rsid w:val="00E62BF8"/>
    <w:rsid w:val="00E63A65"/>
    <w:rsid w:val="00E64189"/>
    <w:rsid w:val="00E65CF0"/>
    <w:rsid w:val="00E664AE"/>
    <w:rsid w:val="00E6702F"/>
    <w:rsid w:val="00E678B7"/>
    <w:rsid w:val="00E70443"/>
    <w:rsid w:val="00E73497"/>
    <w:rsid w:val="00E7357D"/>
    <w:rsid w:val="00E74854"/>
    <w:rsid w:val="00E7563C"/>
    <w:rsid w:val="00E8094F"/>
    <w:rsid w:val="00E81290"/>
    <w:rsid w:val="00E86603"/>
    <w:rsid w:val="00E86C47"/>
    <w:rsid w:val="00E9070D"/>
    <w:rsid w:val="00E931C7"/>
    <w:rsid w:val="00E93D8F"/>
    <w:rsid w:val="00E94245"/>
    <w:rsid w:val="00E9426C"/>
    <w:rsid w:val="00E97B8B"/>
    <w:rsid w:val="00EA02C1"/>
    <w:rsid w:val="00EA0EE6"/>
    <w:rsid w:val="00EA0F58"/>
    <w:rsid w:val="00EA3BD9"/>
    <w:rsid w:val="00EA57AE"/>
    <w:rsid w:val="00EA5F61"/>
    <w:rsid w:val="00EA76B3"/>
    <w:rsid w:val="00EB02C4"/>
    <w:rsid w:val="00EB0302"/>
    <w:rsid w:val="00EB08A6"/>
    <w:rsid w:val="00EB3F5F"/>
    <w:rsid w:val="00EB5149"/>
    <w:rsid w:val="00EB677F"/>
    <w:rsid w:val="00EB7FE2"/>
    <w:rsid w:val="00EB7FF5"/>
    <w:rsid w:val="00EC2B4B"/>
    <w:rsid w:val="00EC2F80"/>
    <w:rsid w:val="00EC43CD"/>
    <w:rsid w:val="00EC46FB"/>
    <w:rsid w:val="00EC4ADB"/>
    <w:rsid w:val="00EC61A8"/>
    <w:rsid w:val="00EC7034"/>
    <w:rsid w:val="00EC7891"/>
    <w:rsid w:val="00EC79BB"/>
    <w:rsid w:val="00ED1658"/>
    <w:rsid w:val="00ED2E8D"/>
    <w:rsid w:val="00ED3586"/>
    <w:rsid w:val="00ED3731"/>
    <w:rsid w:val="00ED684B"/>
    <w:rsid w:val="00EE0571"/>
    <w:rsid w:val="00EE0590"/>
    <w:rsid w:val="00EE2D5B"/>
    <w:rsid w:val="00EE6BFD"/>
    <w:rsid w:val="00EF0A7F"/>
    <w:rsid w:val="00EF1499"/>
    <w:rsid w:val="00EF17D0"/>
    <w:rsid w:val="00EF17FF"/>
    <w:rsid w:val="00EF33EC"/>
    <w:rsid w:val="00EF4986"/>
    <w:rsid w:val="00EF4ED0"/>
    <w:rsid w:val="00EF5A9F"/>
    <w:rsid w:val="00F0014B"/>
    <w:rsid w:val="00F01130"/>
    <w:rsid w:val="00F012AC"/>
    <w:rsid w:val="00F0296D"/>
    <w:rsid w:val="00F03F4C"/>
    <w:rsid w:val="00F042AD"/>
    <w:rsid w:val="00F06566"/>
    <w:rsid w:val="00F068D3"/>
    <w:rsid w:val="00F078E1"/>
    <w:rsid w:val="00F07D32"/>
    <w:rsid w:val="00F122EE"/>
    <w:rsid w:val="00F145D7"/>
    <w:rsid w:val="00F148A7"/>
    <w:rsid w:val="00F15175"/>
    <w:rsid w:val="00F169BA"/>
    <w:rsid w:val="00F20213"/>
    <w:rsid w:val="00F22D14"/>
    <w:rsid w:val="00F231ED"/>
    <w:rsid w:val="00F24E21"/>
    <w:rsid w:val="00F2691E"/>
    <w:rsid w:val="00F26940"/>
    <w:rsid w:val="00F27C52"/>
    <w:rsid w:val="00F30D0A"/>
    <w:rsid w:val="00F32FAF"/>
    <w:rsid w:val="00F347F9"/>
    <w:rsid w:val="00F37834"/>
    <w:rsid w:val="00F40A57"/>
    <w:rsid w:val="00F41E00"/>
    <w:rsid w:val="00F44F33"/>
    <w:rsid w:val="00F468B6"/>
    <w:rsid w:val="00F4740C"/>
    <w:rsid w:val="00F50FED"/>
    <w:rsid w:val="00F515BC"/>
    <w:rsid w:val="00F5186B"/>
    <w:rsid w:val="00F52338"/>
    <w:rsid w:val="00F524DF"/>
    <w:rsid w:val="00F53674"/>
    <w:rsid w:val="00F54CD1"/>
    <w:rsid w:val="00F55937"/>
    <w:rsid w:val="00F57A7F"/>
    <w:rsid w:val="00F57FE2"/>
    <w:rsid w:val="00F60DFE"/>
    <w:rsid w:val="00F67AA9"/>
    <w:rsid w:val="00F709B8"/>
    <w:rsid w:val="00F71091"/>
    <w:rsid w:val="00F71317"/>
    <w:rsid w:val="00F71434"/>
    <w:rsid w:val="00F71E82"/>
    <w:rsid w:val="00F71FD3"/>
    <w:rsid w:val="00F74B57"/>
    <w:rsid w:val="00F75A10"/>
    <w:rsid w:val="00F76651"/>
    <w:rsid w:val="00F8114B"/>
    <w:rsid w:val="00F8245F"/>
    <w:rsid w:val="00F830FB"/>
    <w:rsid w:val="00F836FD"/>
    <w:rsid w:val="00F8635A"/>
    <w:rsid w:val="00F94471"/>
    <w:rsid w:val="00F95791"/>
    <w:rsid w:val="00FA296E"/>
    <w:rsid w:val="00FA3090"/>
    <w:rsid w:val="00FA3558"/>
    <w:rsid w:val="00FA6086"/>
    <w:rsid w:val="00FB01E2"/>
    <w:rsid w:val="00FB095A"/>
    <w:rsid w:val="00FB2447"/>
    <w:rsid w:val="00FB522F"/>
    <w:rsid w:val="00FB5B2C"/>
    <w:rsid w:val="00FC5EF2"/>
    <w:rsid w:val="00FC6F91"/>
    <w:rsid w:val="00FC79DB"/>
    <w:rsid w:val="00FC7BCA"/>
    <w:rsid w:val="00FC7C75"/>
    <w:rsid w:val="00FD39A6"/>
    <w:rsid w:val="00FD61DE"/>
    <w:rsid w:val="00FD6552"/>
    <w:rsid w:val="00FE062B"/>
    <w:rsid w:val="00FE0876"/>
    <w:rsid w:val="00FE0ABF"/>
    <w:rsid w:val="00FE145B"/>
    <w:rsid w:val="00FE3A57"/>
    <w:rsid w:val="00FE4014"/>
    <w:rsid w:val="00FE5E20"/>
    <w:rsid w:val="00FE62E7"/>
    <w:rsid w:val="00FE64E5"/>
    <w:rsid w:val="00FE6849"/>
    <w:rsid w:val="00FF30BB"/>
    <w:rsid w:val="00FF34C6"/>
    <w:rsid w:val="00FF3949"/>
    <w:rsid w:val="00FF39E7"/>
    <w:rsid w:val="00FF5575"/>
    <w:rsid w:val="00FF5C21"/>
    <w:rsid w:val="00FF5E3D"/>
    <w:rsid w:val="00FF6D60"/>
    <w:rsid w:val="02780527"/>
    <w:rsid w:val="03B84DB3"/>
    <w:rsid w:val="0A142E91"/>
    <w:rsid w:val="0D4A77FF"/>
    <w:rsid w:val="10870825"/>
    <w:rsid w:val="16FC56B4"/>
    <w:rsid w:val="199366E4"/>
    <w:rsid w:val="1E574134"/>
    <w:rsid w:val="205B7840"/>
    <w:rsid w:val="24E85F59"/>
    <w:rsid w:val="27A80736"/>
    <w:rsid w:val="31C704F2"/>
    <w:rsid w:val="388B415B"/>
    <w:rsid w:val="3CAF2906"/>
    <w:rsid w:val="3E3D5C21"/>
    <w:rsid w:val="3EC215AC"/>
    <w:rsid w:val="414E6C2F"/>
    <w:rsid w:val="5C091843"/>
    <w:rsid w:val="5C346F9E"/>
    <w:rsid w:val="5C574CBC"/>
    <w:rsid w:val="6216084E"/>
    <w:rsid w:val="62645006"/>
    <w:rsid w:val="639E44FC"/>
    <w:rsid w:val="65A678AF"/>
    <w:rsid w:val="672D12FA"/>
    <w:rsid w:val="67FB552A"/>
    <w:rsid w:val="689479A4"/>
    <w:rsid w:val="6B88592D"/>
    <w:rsid w:val="70D748CE"/>
    <w:rsid w:val="7DC61F6B"/>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iPriority="99" w:name="Normal Indent" w:locked="1"/>
    <w:lsdException w:uiPriority="99" w:name="footnote text" w:locked="1"/>
    <w:lsdException w:qFormat="1" w:unhideWhenUsed="0" w:uiPriority="99" w:semiHidden="0" w:name="annotation text"/>
    <w:lsdException w:qFormat="1" w:unhideWhenUsed="0" w:uiPriority="99" w:semiHidden="0" w:name="header"/>
    <w:lsdException w:qFormat="1" w:unhideWhenUsed="0" w:uiPriority="99" w:semiHidden="0" w:name="footer"/>
    <w:lsdException w:uiPriority="99" w:name="index heading" w:locked="1"/>
    <w:lsdException w:qFormat="1" w:uiPriority="0" w:name="caption"/>
    <w:lsdException w:uiPriority="99" w:name="table of figures" w:locked="1"/>
    <w:lsdException w:uiPriority="99" w:name="envelope address" w:locked="1"/>
    <w:lsdException w:uiPriority="99" w:name="envelope return" w:locked="1"/>
    <w:lsdException w:uiPriority="99" w:name="footnote reference" w:locked="1"/>
    <w:lsdException w:qFormat="1" w:unhideWhenUsed="0" w:uiPriority="99" w:semiHidden="0" w:name="annotation reference"/>
    <w:lsdException w:uiPriority="99" w:name="line number" w:locked="1"/>
    <w:lsdException w:qFormat="1" w:unhideWhenUsed="0" w:uiPriority="99" w:semiHidden="0" w:name="page number"/>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0" w:semiHidden="0" w:name="Title"/>
    <w:lsdException w:uiPriority="99" w:name="Closing" w:locked="1"/>
    <w:lsdException w:uiPriority="99" w:name="Signature" w:locked="1"/>
    <w:lsdException w:qFormat="1" w:uiPriority="1" w:name="Default Paragraph Font"/>
    <w:lsdException w:qFormat="1" w:unhideWhenUsed="0" w:uiPriority="99" w:name="Body Text"/>
    <w:lsdException w:qFormat="1" w:unhideWhenUsed="0" w:uiPriority="99" w:semiHidden="0" w:name="Body Text Indent"/>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0" w:semiHidden="0" w:name="Subtitle"/>
    <w:lsdException w:uiPriority="99" w:name="Salutation" w:locked="1"/>
    <w:lsdException w:uiPriority="99" w:name="Date" w:locked="1"/>
    <w:lsdException w:uiPriority="99" w:name="Body Text First Indent" w:locked="1"/>
    <w:lsdException w:uiPriority="99" w:name="Body Text First Indent 2" w:locked="1"/>
    <w:lsdException w:uiPriority="99" w:name="Note Heading" w:locked="1"/>
    <w:lsdException w:qFormat="1" w:unhideWhenUsed="0" w:uiPriority="0" w:semiHidden="0" w:name="Body Text 2" w:locked="1"/>
    <w:lsdException w:uiPriority="99" w:name="Body Text 3" w:locked="1"/>
    <w:lsdException w:qFormat="1" w:unhideWhenUsed="0" w:uiPriority="0" w:semiHidden="0" w:name="Body Text Indent 2" w:locked="1"/>
    <w:lsdException w:uiPriority="99" w:name="Body Text Indent 3" w:locked="1"/>
    <w:lsdException w:uiPriority="99" w:name="Block Text" w:locked="1"/>
    <w:lsdException w:qFormat="1" w:unhideWhenUsed="0" w:uiPriority="99" w:semiHidden="0" w:name="Hyperlink"/>
    <w:lsdException w:qFormat="1" w:unhideWhenUsed="0" w:uiPriority="99" w:name="FollowedHyperlink"/>
    <w:lsdException w:qFormat="1" w:unhideWhenUsed="0" w:uiPriority="0" w:semiHidden="0" w:name="Strong"/>
    <w:lsdException w:qFormat="1" w:unhideWhenUsed="0" w:uiPriority="0" w:semiHidden="0" w:name="Emphasis"/>
    <w:lsdException w:uiPriority="99" w:name="Document Map" w:locked="1"/>
    <w:lsdException w:qFormat="1" w:unhideWhenUsed="0" w:uiPriority="99" w:semiHidden="0" w:name="Plain Text"/>
    <w:lsdException w:uiPriority="99" w:name="E-mail Signature" w:locked="1"/>
    <w:lsdException w:qFormat="1" w:unhideWhenUsed="0" w:uiPriority="99" w:semiHidden="0" w:name="Normal (Web)"/>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uiPriority="99" w:name="HTML Preformatted" w:locked="1"/>
    <w:lsdException w:uiPriority="99" w:name="HTML Sample" w:locked="1"/>
    <w:lsdException w:uiPriority="99" w:name="HTML Typewriter" w:locked="1"/>
    <w:lsdException w:uiPriority="99" w:name="HTML Variable" w:locked="1"/>
    <w:lsdException w:qFormat="1" w:uiPriority="99" w:name="Normal Table"/>
    <w:lsdException w:qFormat="1" w:unhideWhenUsed="0" w:uiPriority="99" w:semiHidden="0" w:name="annotation subject"/>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semiHidden="0" w:name="Balloon Text"/>
    <w:lsdException w:qFormat="1" w:unhideWhenUsed="0" w:uiPriority="0" w:semiHidden="0" w:name="Table Grid"/>
    <w:lsdException w:uiPriority="99" w:name="Table Theme" w:locked="1"/>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paragraph" w:styleId="3">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qFormat/>
    <w:uiPriority w:val="0"/>
    <w:pPr>
      <w:keepNext/>
      <w:keepLines/>
      <w:spacing w:before="260" w:after="260" w:line="416" w:lineRule="auto"/>
      <w:outlineLvl w:val="2"/>
    </w:pPr>
    <w:rPr>
      <w:b/>
      <w:bCs/>
      <w:sz w:val="32"/>
      <w:szCs w:val="32"/>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5">
    <w:name w:val="annotation text"/>
    <w:basedOn w:val="1"/>
    <w:link w:val="25"/>
    <w:qFormat/>
    <w:uiPriority w:val="99"/>
    <w:pPr>
      <w:jc w:val="left"/>
    </w:pPr>
  </w:style>
  <w:style w:type="paragraph" w:styleId="6">
    <w:name w:val="Body Text"/>
    <w:basedOn w:val="1"/>
    <w:link w:val="26"/>
    <w:semiHidden/>
    <w:qFormat/>
    <w:uiPriority w:val="99"/>
    <w:pPr>
      <w:spacing w:after="120"/>
    </w:pPr>
  </w:style>
  <w:style w:type="paragraph" w:styleId="7">
    <w:name w:val="Body Text Indent"/>
    <w:basedOn w:val="1"/>
    <w:link w:val="27"/>
    <w:qFormat/>
    <w:uiPriority w:val="99"/>
    <w:pPr>
      <w:ind w:firstLine="280" w:firstLineChars="100"/>
    </w:pPr>
    <w:rPr>
      <w:sz w:val="28"/>
      <w:szCs w:val="20"/>
    </w:rPr>
  </w:style>
  <w:style w:type="paragraph" w:styleId="8">
    <w:name w:val="Plain Text"/>
    <w:basedOn w:val="1"/>
    <w:link w:val="28"/>
    <w:qFormat/>
    <w:uiPriority w:val="99"/>
    <w:rPr>
      <w:rFonts w:ascii="宋体" w:hAnsi="Courier New"/>
      <w:sz w:val="32"/>
      <w:szCs w:val="32"/>
    </w:rPr>
  </w:style>
  <w:style w:type="paragraph" w:styleId="9">
    <w:name w:val="Body Text Indent 2"/>
    <w:basedOn w:val="1"/>
    <w:qFormat/>
    <w:locked/>
    <w:uiPriority w:val="0"/>
    <w:pPr>
      <w:spacing w:line="0" w:lineRule="atLeast"/>
      <w:ind w:firstLine="570"/>
    </w:pPr>
    <w:rPr>
      <w:sz w:val="28"/>
    </w:rPr>
  </w:style>
  <w:style w:type="paragraph" w:styleId="10">
    <w:name w:val="Balloon Text"/>
    <w:basedOn w:val="1"/>
    <w:link w:val="29"/>
    <w:qFormat/>
    <w:uiPriority w:val="99"/>
    <w:rPr>
      <w:sz w:val="18"/>
      <w:szCs w:val="18"/>
    </w:rPr>
  </w:style>
  <w:style w:type="paragraph" w:styleId="11">
    <w:name w:val="footer"/>
    <w:basedOn w:val="1"/>
    <w:link w:val="30"/>
    <w:qFormat/>
    <w:uiPriority w:val="99"/>
    <w:pPr>
      <w:tabs>
        <w:tab w:val="center" w:pos="4153"/>
        <w:tab w:val="right" w:pos="8306"/>
      </w:tabs>
      <w:snapToGrid w:val="0"/>
      <w:jc w:val="left"/>
    </w:pPr>
    <w:rPr>
      <w:sz w:val="18"/>
      <w:szCs w:val="18"/>
    </w:rPr>
  </w:style>
  <w:style w:type="paragraph" w:styleId="12">
    <w:name w:val="header"/>
    <w:basedOn w:val="1"/>
    <w:link w:val="31"/>
    <w:qFormat/>
    <w:uiPriority w:val="99"/>
    <w:pPr>
      <w:pBdr>
        <w:bottom w:val="single" w:color="auto" w:sz="6" w:space="1"/>
      </w:pBdr>
      <w:tabs>
        <w:tab w:val="center" w:pos="4153"/>
        <w:tab w:val="right" w:pos="8306"/>
      </w:tabs>
      <w:snapToGrid w:val="0"/>
      <w:jc w:val="center"/>
    </w:pPr>
    <w:rPr>
      <w:sz w:val="18"/>
      <w:szCs w:val="18"/>
    </w:rPr>
  </w:style>
  <w:style w:type="paragraph" w:styleId="13">
    <w:name w:val="toc 1"/>
    <w:basedOn w:val="1"/>
    <w:next w:val="1"/>
    <w:qFormat/>
    <w:uiPriority w:val="39"/>
    <w:pPr>
      <w:spacing w:before="120" w:after="120"/>
      <w:jc w:val="left"/>
    </w:pPr>
    <w:rPr>
      <w:b/>
      <w:bCs/>
      <w:caps/>
      <w:sz w:val="30"/>
      <w:szCs w:val="20"/>
    </w:rPr>
  </w:style>
  <w:style w:type="paragraph" w:styleId="14">
    <w:name w:val="toc 2"/>
    <w:basedOn w:val="1"/>
    <w:next w:val="1"/>
    <w:qFormat/>
    <w:uiPriority w:val="39"/>
    <w:pPr>
      <w:tabs>
        <w:tab w:val="right" w:leader="dot" w:pos="9062"/>
      </w:tabs>
      <w:ind w:left="284"/>
      <w:jc w:val="left"/>
    </w:pPr>
    <w:rPr>
      <w:smallCaps/>
      <w:sz w:val="28"/>
      <w:szCs w:val="20"/>
    </w:rPr>
  </w:style>
  <w:style w:type="paragraph" w:styleId="15">
    <w:name w:val="Body Text 2"/>
    <w:basedOn w:val="1"/>
    <w:qFormat/>
    <w:locked/>
    <w:uiPriority w:val="0"/>
    <w:pPr>
      <w:jc w:val="center"/>
    </w:pPr>
    <w:rPr>
      <w:rFonts w:eastAsia="华文新魏"/>
      <w:b/>
      <w:bCs/>
      <w:sz w:val="84"/>
    </w:rPr>
  </w:style>
  <w:style w:type="paragraph" w:styleId="16">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17">
    <w:name w:val="annotation subject"/>
    <w:basedOn w:val="5"/>
    <w:next w:val="5"/>
    <w:link w:val="32"/>
    <w:qFormat/>
    <w:uiPriority w:val="99"/>
    <w:rPr>
      <w:b/>
      <w:bCs/>
    </w:rPr>
  </w:style>
  <w:style w:type="table" w:styleId="19">
    <w:name w:val="Table Grid"/>
    <w:basedOn w:val="1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page number"/>
    <w:basedOn w:val="20"/>
    <w:qFormat/>
    <w:uiPriority w:val="99"/>
    <w:rPr>
      <w:rFonts w:cs="Times New Roman"/>
    </w:rPr>
  </w:style>
  <w:style w:type="character" w:styleId="22">
    <w:name w:val="FollowedHyperlink"/>
    <w:basedOn w:val="20"/>
    <w:semiHidden/>
    <w:qFormat/>
    <w:uiPriority w:val="99"/>
    <w:rPr>
      <w:rFonts w:cs="Times New Roman"/>
      <w:color w:val="333333"/>
      <w:u w:val="none"/>
    </w:rPr>
  </w:style>
  <w:style w:type="character" w:styleId="23">
    <w:name w:val="Hyperlink"/>
    <w:basedOn w:val="20"/>
    <w:qFormat/>
    <w:uiPriority w:val="99"/>
    <w:rPr>
      <w:rFonts w:cs="Times New Roman"/>
      <w:color w:val="0000FF"/>
      <w:u w:val="none"/>
    </w:rPr>
  </w:style>
  <w:style w:type="character" w:styleId="24">
    <w:name w:val="annotation reference"/>
    <w:basedOn w:val="20"/>
    <w:qFormat/>
    <w:uiPriority w:val="99"/>
    <w:rPr>
      <w:rFonts w:cs="Times New Roman"/>
      <w:sz w:val="21"/>
      <w:szCs w:val="21"/>
    </w:rPr>
  </w:style>
  <w:style w:type="character" w:customStyle="1" w:styleId="25">
    <w:name w:val="批注文字 Char"/>
    <w:basedOn w:val="20"/>
    <w:link w:val="5"/>
    <w:qFormat/>
    <w:locked/>
    <w:uiPriority w:val="99"/>
    <w:rPr>
      <w:rFonts w:cs="Times New Roman"/>
      <w:kern w:val="2"/>
      <w:sz w:val="24"/>
      <w:szCs w:val="24"/>
    </w:rPr>
  </w:style>
  <w:style w:type="character" w:customStyle="1" w:styleId="26">
    <w:name w:val="正文文本 Char"/>
    <w:basedOn w:val="20"/>
    <w:link w:val="6"/>
    <w:semiHidden/>
    <w:qFormat/>
    <w:locked/>
    <w:uiPriority w:val="99"/>
    <w:rPr>
      <w:rFonts w:cs="Times New Roman"/>
      <w:kern w:val="2"/>
      <w:sz w:val="24"/>
      <w:szCs w:val="24"/>
    </w:rPr>
  </w:style>
  <w:style w:type="character" w:customStyle="1" w:styleId="27">
    <w:name w:val="正文文本缩进 Char"/>
    <w:basedOn w:val="20"/>
    <w:link w:val="7"/>
    <w:qFormat/>
    <w:locked/>
    <w:uiPriority w:val="99"/>
    <w:rPr>
      <w:rFonts w:cs="Times New Roman"/>
      <w:kern w:val="2"/>
      <w:sz w:val="28"/>
    </w:rPr>
  </w:style>
  <w:style w:type="character" w:customStyle="1" w:styleId="28">
    <w:name w:val="纯文本 Char"/>
    <w:basedOn w:val="20"/>
    <w:link w:val="8"/>
    <w:qFormat/>
    <w:locked/>
    <w:uiPriority w:val="99"/>
    <w:rPr>
      <w:rFonts w:ascii="宋体" w:hAnsi="Courier New" w:cs="Times New Roman"/>
      <w:kern w:val="2"/>
      <w:sz w:val="32"/>
    </w:rPr>
  </w:style>
  <w:style w:type="character" w:customStyle="1" w:styleId="29">
    <w:name w:val="批注框文本 Char"/>
    <w:basedOn w:val="20"/>
    <w:link w:val="10"/>
    <w:qFormat/>
    <w:locked/>
    <w:uiPriority w:val="99"/>
    <w:rPr>
      <w:rFonts w:cs="Times New Roman"/>
      <w:kern w:val="2"/>
      <w:sz w:val="18"/>
    </w:rPr>
  </w:style>
  <w:style w:type="character" w:customStyle="1" w:styleId="30">
    <w:name w:val="页脚 Char"/>
    <w:basedOn w:val="20"/>
    <w:link w:val="11"/>
    <w:qFormat/>
    <w:locked/>
    <w:uiPriority w:val="99"/>
    <w:rPr>
      <w:rFonts w:cs="Times New Roman"/>
      <w:kern w:val="2"/>
      <w:sz w:val="18"/>
    </w:rPr>
  </w:style>
  <w:style w:type="character" w:customStyle="1" w:styleId="31">
    <w:name w:val="页眉 Char"/>
    <w:basedOn w:val="20"/>
    <w:link w:val="12"/>
    <w:qFormat/>
    <w:locked/>
    <w:uiPriority w:val="99"/>
    <w:rPr>
      <w:rFonts w:cs="Times New Roman"/>
      <w:kern w:val="2"/>
      <w:sz w:val="18"/>
    </w:rPr>
  </w:style>
  <w:style w:type="character" w:customStyle="1" w:styleId="32">
    <w:name w:val="批注主题 Char"/>
    <w:basedOn w:val="25"/>
    <w:link w:val="17"/>
    <w:qFormat/>
    <w:locked/>
    <w:uiPriority w:val="99"/>
    <w:rPr>
      <w:b/>
      <w:bCs/>
    </w:rPr>
  </w:style>
  <w:style w:type="paragraph" w:customStyle="1" w:styleId="33">
    <w:name w:val="WPS Plain"/>
    <w:qFormat/>
    <w:uiPriority w:val="99"/>
    <w:rPr>
      <w:rFonts w:ascii="Times New Roman" w:hAnsi="Times New Roman" w:eastAsia="宋体" w:cs="Times New Roman"/>
      <w:kern w:val="0"/>
      <w:sz w:val="20"/>
      <w:szCs w:val="20"/>
      <w:lang w:val="en-US" w:eastAsia="zh-CN" w:bidi="ar-SA"/>
    </w:rPr>
  </w:style>
  <w:style w:type="paragraph" w:customStyle="1" w:styleId="34">
    <w:name w:val="p0"/>
    <w:basedOn w:val="1"/>
    <w:qFormat/>
    <w:uiPriority w:val="99"/>
    <w:pPr>
      <w:widowControl/>
      <w:spacing w:line="365" w:lineRule="atLeast"/>
      <w:ind w:left="1"/>
    </w:pPr>
    <w:rPr>
      <w:kern w:val="0"/>
      <w:sz w:val="20"/>
      <w:szCs w:val="20"/>
    </w:rPr>
  </w:style>
  <w:style w:type="paragraph" w:customStyle="1" w:styleId="35">
    <w:name w:val="正文首行缩进两字符"/>
    <w:basedOn w:val="1"/>
    <w:qFormat/>
    <w:uiPriority w:val="99"/>
    <w:pPr>
      <w:spacing w:line="360" w:lineRule="auto"/>
      <w:ind w:firstLine="200" w:firstLineChars="200"/>
    </w:pPr>
  </w:style>
  <w:style w:type="paragraph" w:customStyle="1" w:styleId="36">
    <w:name w:val="p15"/>
    <w:basedOn w:val="1"/>
    <w:qFormat/>
    <w:uiPriority w:val="99"/>
    <w:pPr>
      <w:widowControl/>
      <w:jc w:val="left"/>
    </w:pPr>
    <w:rPr>
      <w:kern w:val="0"/>
      <w:sz w:val="20"/>
      <w:szCs w:val="20"/>
    </w:rPr>
  </w:style>
  <w:style w:type="paragraph" w:styleId="37">
    <w:name w:val="List Paragraph"/>
    <w:basedOn w:val="1"/>
    <w:qFormat/>
    <w:uiPriority w:val="99"/>
    <w:pPr>
      <w:ind w:firstLine="420" w:firstLineChars="200"/>
    </w:pPr>
  </w:style>
  <w:style w:type="paragraph" w:styleId="38">
    <w:name w:val="No Spacing"/>
    <w:link w:val="39"/>
    <w:qFormat/>
    <w:uiPriority w:val="99"/>
    <w:rPr>
      <w:rFonts w:ascii="Calibri" w:hAnsi="Calibri" w:eastAsia="宋体" w:cs="Times New Roman"/>
      <w:kern w:val="0"/>
      <w:sz w:val="22"/>
      <w:szCs w:val="22"/>
      <w:lang w:val="en-US" w:eastAsia="zh-CN" w:bidi="ar-SA"/>
    </w:rPr>
  </w:style>
  <w:style w:type="character" w:customStyle="1" w:styleId="39">
    <w:name w:val="无间隔 Char"/>
    <w:basedOn w:val="20"/>
    <w:link w:val="38"/>
    <w:qFormat/>
    <w:locked/>
    <w:uiPriority w:val="99"/>
    <w:rPr>
      <w:rFonts w:ascii="Calibri" w:hAnsi="Calibri" w:cs="Times New Roman"/>
      <w:sz w:val="22"/>
      <w:szCs w:val="22"/>
      <w:lang w:val="en-US" w:eastAsia="zh-CN" w:bidi="ar-SA"/>
    </w:rPr>
  </w:style>
  <w:style w:type="table" w:customStyle="1" w:styleId="40">
    <w:name w:val="Table Normal1"/>
    <w:semiHidden/>
    <w:qFormat/>
    <w:uiPriority w:val="99"/>
    <w:pPr>
      <w:widowControl w:val="0"/>
      <w:autoSpaceDE w:val="0"/>
      <w:autoSpaceDN w:val="0"/>
    </w:pPr>
    <w:rPr>
      <w:rFonts w:ascii="Calibri" w:hAnsi="Calibri"/>
      <w:kern w:val="0"/>
      <w:sz w:val="22"/>
      <w:lang w:eastAsia="en-US"/>
    </w:rPr>
    <w:tblPr>
      <w:tblCellMar>
        <w:top w:w="0" w:type="dxa"/>
        <w:left w:w="0" w:type="dxa"/>
        <w:bottom w:w="0" w:type="dxa"/>
        <w:right w:w="0" w:type="dxa"/>
      </w:tblCellMar>
    </w:tblPr>
  </w:style>
  <w:style w:type="paragraph" w:customStyle="1" w:styleId="41">
    <w:name w:val="Table Paragraph"/>
    <w:basedOn w:val="1"/>
    <w:qFormat/>
    <w:uiPriority w:val="99"/>
    <w:pPr>
      <w:autoSpaceDE w:val="0"/>
      <w:autoSpaceDN w:val="0"/>
      <w:jc w:val="left"/>
    </w:pPr>
    <w:rPr>
      <w:rFonts w:ascii="宋体" w:hAnsi="宋体" w:cs="宋体"/>
      <w:kern w:val="0"/>
      <w:sz w:val="22"/>
      <w:szCs w:val="22"/>
      <w:lang w:val="zh-CN"/>
    </w:rPr>
  </w:style>
  <w:style w:type="paragraph" w:customStyle="1" w:styleId="42">
    <w:name w:val="_Style 35"/>
    <w:basedOn w:val="1"/>
    <w:qFormat/>
    <w:uiPriority w:val="0"/>
    <w:pPr>
      <w:widowControl/>
      <w:spacing w:after="160" w:line="240" w:lineRule="exact"/>
      <w:jc w:val="left"/>
    </w:pPr>
    <w:rPr>
      <w:szCs w:val="20"/>
    </w:rPr>
  </w:style>
  <w:style w:type="paragraph" w:customStyle="1" w:styleId="43">
    <w:name w:val="无间隔"/>
    <w:basedOn w:val="1"/>
    <w:qFormat/>
    <w:uiPriority w:val="0"/>
    <w:pPr>
      <w:widowControl/>
      <w:jc w:val="left"/>
    </w:pPr>
    <w:rPr>
      <w:rFonts w:ascii="Calibri" w:hAnsi="Calibri"/>
      <w:kern w:val="0"/>
      <w:sz w:val="22"/>
      <w:szCs w:val="22"/>
      <w:lang w:eastAsia="en-US" w:bidi="en-US"/>
    </w:rPr>
  </w:style>
  <w:style w:type="paragraph" w:customStyle="1" w:styleId="44">
    <w:name w:val="样式 宋体 小四 首行缩进:  0.99 厘米 行距: 最小值 28.9 磅"/>
    <w:basedOn w:val="1"/>
    <w:qFormat/>
    <w:uiPriority w:val="99"/>
    <w:pPr>
      <w:spacing w:line="578" w:lineRule="atLeast"/>
      <w:ind w:firstLine="480" w:firstLineChars="200"/>
    </w:pPr>
    <w:rPr>
      <w:sz w:val="24"/>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7" Type="http://schemas.openxmlformats.org/officeDocument/2006/relationships/fontTable" Target="fontTable.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oleObject" Target="embeddings/oleObject10.bin"/><Relationship Id="rId33" Type="http://schemas.openxmlformats.org/officeDocument/2006/relationships/oleObject" Target="embeddings/oleObject9.bin"/><Relationship Id="rId32" Type="http://schemas.openxmlformats.org/officeDocument/2006/relationships/oleObject" Target="embeddings/oleObject8.bin"/><Relationship Id="rId31" Type="http://schemas.openxmlformats.org/officeDocument/2006/relationships/image" Target="media/image12.wmf"/><Relationship Id="rId30" Type="http://schemas.openxmlformats.org/officeDocument/2006/relationships/oleObject" Target="embeddings/oleObject7.bin"/><Relationship Id="rId3" Type="http://schemas.openxmlformats.org/officeDocument/2006/relationships/header" Target="header1.xml"/><Relationship Id="rId29" Type="http://schemas.openxmlformats.org/officeDocument/2006/relationships/image" Target="media/image11.wmf"/><Relationship Id="rId28" Type="http://schemas.openxmlformats.org/officeDocument/2006/relationships/oleObject" Target="embeddings/oleObject6.bin"/><Relationship Id="rId27" Type="http://schemas.openxmlformats.org/officeDocument/2006/relationships/image" Target="media/image10.wmf"/><Relationship Id="rId26" Type="http://schemas.openxmlformats.org/officeDocument/2006/relationships/oleObject" Target="embeddings/oleObject5.bin"/><Relationship Id="rId25" Type="http://schemas.openxmlformats.org/officeDocument/2006/relationships/image" Target="media/image9.wmf"/><Relationship Id="rId24" Type="http://schemas.openxmlformats.org/officeDocument/2006/relationships/oleObject" Target="embeddings/oleObject4.bin"/><Relationship Id="rId23" Type="http://schemas.openxmlformats.org/officeDocument/2006/relationships/image" Target="media/image8.wmf"/><Relationship Id="rId22" Type="http://schemas.openxmlformats.org/officeDocument/2006/relationships/oleObject" Target="embeddings/oleObject3.bin"/><Relationship Id="rId21" Type="http://schemas.openxmlformats.org/officeDocument/2006/relationships/image" Target="media/image7.wmf"/><Relationship Id="rId20" Type="http://schemas.openxmlformats.org/officeDocument/2006/relationships/oleObject" Target="embeddings/oleObject2.bin"/><Relationship Id="rId2" Type="http://schemas.openxmlformats.org/officeDocument/2006/relationships/settings" Target="settings.xml"/><Relationship Id="rId19" Type="http://schemas.openxmlformats.org/officeDocument/2006/relationships/image" Target="media/image6.wmf"/><Relationship Id="rId18" Type="http://schemas.openxmlformats.org/officeDocument/2006/relationships/oleObject" Target="embeddings/oleObject1.bin"/><Relationship Id="rId17" Type="http://schemas.openxmlformats.org/officeDocument/2006/relationships/image" Target="media/image5.jpeg"/><Relationship Id="rId16" Type="http://schemas.openxmlformats.org/officeDocument/2006/relationships/image" Target="media/image4.jpe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jpeg"/><Relationship Id="rId12" Type="http://schemas.openxmlformats.org/officeDocument/2006/relationships/theme" Target="theme/theme1.xml"/><Relationship Id="rId11" Type="http://schemas.openxmlformats.org/officeDocument/2006/relationships/footer" Target="footer6.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HP Inc.</Company>
  <Pages>35</Pages>
  <Words>1911</Words>
  <Characters>10895</Characters>
  <Lines>90</Lines>
  <Paragraphs>25</Paragraphs>
  <TotalTime>4</TotalTime>
  <ScaleCrop>false</ScaleCrop>
  <LinksUpToDate>false</LinksUpToDate>
  <CharactersWithSpaces>12781</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2021-01-06T01:50:00Z</dcterms:created>
  <dc:creator>微软用户</dc:creator>
  <cp:lastModifiedBy>大脸猫z23</cp:lastModifiedBy>
  <cp:lastPrinted>2021-05-25T03:35:13Z</cp:lastPrinted>
  <dcterms:modified xsi:type="dcterms:W3CDTF">2021-05-25T03:38:19Z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KSOSaveFontToCloudKey">
    <vt:lpwstr>1137815405_btnclosed</vt:lpwstr>
  </property>
  <property fmtid="{D5CDD505-2E9C-101B-9397-08002B2CF9AE}" pid="4" name="ICV">
    <vt:lpwstr>A6765160C000438D8A7EEBCAFA3C9829</vt:lpwstr>
  </property>
</Properties>
</file>