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44"/>
          <w14:textFill>
            <w14:solidFill>
              <w14:schemeClr w14:val="tx1"/>
            </w14:solidFill>
          </w14:textFill>
        </w:rPr>
      </w:pPr>
    </w:p>
    <w:p>
      <w:pPr>
        <w:rPr>
          <w:color w:val="000000" w:themeColor="text1"/>
          <w:sz w:val="4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6192" behindDoc="0" locked="0" layoutInCell="0" allowOverlap="1">
                <wp:simplePos x="0" y="0"/>
                <wp:positionH relativeFrom="page">
                  <wp:posOffset>853440</wp:posOffset>
                </wp:positionH>
                <wp:positionV relativeFrom="page">
                  <wp:posOffset>1583055</wp:posOffset>
                </wp:positionV>
                <wp:extent cx="6286500" cy="396240"/>
                <wp:effectExtent l="0" t="0" r="0" b="0"/>
                <wp:wrapNone/>
                <wp:docPr id="3" name="Text Box 4"/>
                <wp:cNvGraphicFramePr/>
                <a:graphic xmlns:a="http://schemas.openxmlformats.org/drawingml/2006/main">
                  <a:graphicData uri="http://schemas.microsoft.com/office/word/2010/wordprocessingShape">
                    <wps:wsp>
                      <wps:cNvSpPr txBox="1"/>
                      <wps:spPr>
                        <a:xfrm>
                          <a:off x="0" y="0"/>
                          <a:ext cx="6286500" cy="396240"/>
                        </a:xfrm>
                        <a:prstGeom prst="rect">
                          <a:avLst/>
                        </a:prstGeom>
                        <a:noFill/>
                        <a:ln>
                          <a:noFill/>
                        </a:ln>
                      </wps:spPr>
                      <wps:txbx>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黑体" w:hAnsi="黑体" w:eastAsia="黑体"/>
                                <w:sz w:val="28"/>
                              </w:rPr>
                              <w:t>DST(P)</w:t>
                            </w:r>
                            <w:r>
                              <w:rPr>
                                <w:rFonts w:hint="eastAsia" w:ascii="黑体" w:hAnsi="黑体" w:eastAsia="黑体"/>
                                <w:sz w:val="28"/>
                              </w:rPr>
                              <w:t>〔</w:t>
                            </w:r>
                            <w:r>
                              <w:rPr>
                                <w:rFonts w:ascii="黑体" w:hAnsi="黑体" w:eastAsia="黑体"/>
                                <w:sz w:val="28"/>
                                <w:u w:val="single"/>
                              </w:rPr>
                              <w:t>2021</w:t>
                            </w:r>
                            <w:r>
                              <w:rPr>
                                <w:rFonts w:hint="eastAsia" w:ascii="黑体" w:hAnsi="黑体" w:eastAsia="黑体"/>
                                <w:sz w:val="28"/>
                              </w:rPr>
                              <w:t>〕</w:t>
                            </w:r>
                            <w:r>
                              <w:rPr>
                                <w:rFonts w:hint="eastAsia" w:ascii="黑体" w:hAnsi="黑体" w:eastAsia="黑体"/>
                                <w:sz w:val="28"/>
                                <w:lang w:val="en-US" w:eastAsia="zh-CN"/>
                              </w:rPr>
                              <w:t>4</w:t>
                            </w:r>
                            <w:r>
                              <w:rPr>
                                <w:rFonts w:hint="eastAsia" w:ascii="黑体" w:hAnsi="黑体" w:eastAsia="黑体"/>
                                <w:sz w:val="28"/>
                              </w:rPr>
                              <w:t>号</w:t>
                            </w:r>
                          </w:p>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67.2pt;margin-top:124.65pt;height:31.2pt;width:495pt;mso-position-horizontal-relative:page;mso-position-vertical-relative:page;z-index:251656192;mso-width-relative:page;mso-height-relative:page;" filled="f" stroked="f" coordsize="21600,21600" o:allowincell="f" o:gfxdata="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WWRMjXAAAADAEAAA8AAAAAAAAAAQAgAAAAIgAAAGRycy9kb3ducmV2LnhtbFBLAQIUABQA&#10;AAAIAIdO4kBvr0lxuAEAAIMDAAAOAAAAAAAAAAEAIAAAACYBAABkcnMvZTJvRG9jLnhtbFBLBQYA&#10;AAAABgAGAFkBAABQBQAAAAA=&#10;">
                <v:fill on="f" focussize="0,0"/>
                <v:stroke on="f"/>
                <v:imagedata o:title=""/>
                <o:lock v:ext="edit" aspectratio="f"/>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黑体" w:hAnsi="黑体" w:eastAsia="黑体"/>
                          <w:sz w:val="28"/>
                        </w:rPr>
                        <w:t>DST(P)</w:t>
                      </w:r>
                      <w:r>
                        <w:rPr>
                          <w:rFonts w:hint="eastAsia" w:ascii="黑体" w:hAnsi="黑体" w:eastAsia="黑体"/>
                          <w:sz w:val="28"/>
                        </w:rPr>
                        <w:t>〔</w:t>
                      </w:r>
                      <w:r>
                        <w:rPr>
                          <w:rFonts w:ascii="黑体" w:hAnsi="黑体" w:eastAsia="黑体"/>
                          <w:sz w:val="28"/>
                          <w:u w:val="single"/>
                        </w:rPr>
                        <w:t>2021</w:t>
                      </w:r>
                      <w:r>
                        <w:rPr>
                          <w:rFonts w:hint="eastAsia" w:ascii="黑体" w:hAnsi="黑体" w:eastAsia="黑体"/>
                          <w:sz w:val="28"/>
                        </w:rPr>
                        <w:t>〕</w:t>
                      </w:r>
                      <w:r>
                        <w:rPr>
                          <w:rFonts w:hint="eastAsia" w:ascii="黑体" w:hAnsi="黑体" w:eastAsia="黑体"/>
                          <w:sz w:val="28"/>
                          <w:lang w:val="en-US" w:eastAsia="zh-CN"/>
                        </w:rPr>
                        <w:t>4</w:t>
                      </w:r>
                      <w:r>
                        <w:rPr>
                          <w:rFonts w:hint="eastAsia" w:ascii="黑体" w:hAnsi="黑体" w:eastAsia="黑体"/>
                          <w:sz w:val="28"/>
                        </w:rPr>
                        <w:t>号</w:t>
                      </w:r>
                    </w:p>
                    <w:p>
                      <w:pPr>
                        <w:snapToGrid w:val="0"/>
                        <w:spacing w:line="289" w:lineRule="atLeast"/>
                      </w:pPr>
                    </w:p>
                    <w:p>
                      <w:pPr>
                        <w:snapToGrid w:val="0"/>
                        <w:spacing w:line="538" w:lineRule="atLeast"/>
                      </w:pPr>
                    </w:p>
                    <w:p/>
                  </w:txbxContent>
                </v:textbox>
              </v:shape>
            </w:pict>
          </mc:Fallback>
        </mc:AlternateContent>
      </w:r>
    </w:p>
    <w:p>
      <w:pPr>
        <w:jc w:val="left"/>
        <w:rPr>
          <w:color w:val="000000" w:themeColor="text1"/>
          <w:sz w:val="44"/>
          <w14:textFill>
            <w14:solidFill>
              <w14:schemeClr w14:val="tx1"/>
            </w14:solidFill>
          </w14:textFill>
        </w:rPr>
      </w:pPr>
    </w:p>
    <w:p>
      <w:pPr>
        <w:rPr>
          <w:color w:val="000000" w:themeColor="text1"/>
          <w:sz w:val="44"/>
          <w14:textFill>
            <w14:solidFill>
              <w14:schemeClr w14:val="tx1"/>
            </w14:solidFill>
          </w14:textFill>
        </w:rPr>
      </w:pPr>
    </w:p>
    <w:p>
      <w:pPr>
        <w:ind w:left="220" w:hanging="260" w:hangingChars="50"/>
        <w:jc w:val="center"/>
        <w:rPr>
          <w:rFonts w:hint="eastAsia" w:ascii="方正小标宋简体" w:hAnsi="微软雅黑" w:eastAsia="方正小标宋简体"/>
          <w:color w:val="000000" w:themeColor="text1"/>
          <w:sz w:val="52"/>
          <w:szCs w:val="52"/>
          <w14:textFill>
            <w14:solidFill>
              <w14:schemeClr w14:val="tx1"/>
            </w14:solidFill>
          </w14:textFill>
        </w:rPr>
      </w:pPr>
      <w:r>
        <w:rPr>
          <w:rFonts w:hint="eastAsia" w:ascii="方正小标宋简体" w:hAnsi="微软雅黑" w:eastAsia="方正小标宋简体"/>
          <w:color w:val="000000" w:themeColor="text1"/>
          <w:sz w:val="52"/>
          <w:szCs w:val="52"/>
          <w14:textFill>
            <w14:solidFill>
              <w14:schemeClr w14:val="tx1"/>
            </w14:solidFill>
          </w14:textFill>
        </w:rPr>
        <w:t>马踏洞片区中心服务区04-04a地块国有建设用地使用权拍卖出让文件</w:t>
      </w: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rPr>
          <w:color w:val="000000" w:themeColor="text1"/>
          <w:sz w:val="44"/>
          <w14:textFill>
            <w14:solidFill>
              <w14:schemeClr w14:val="tx1"/>
            </w14:solidFill>
          </w14:textFill>
        </w:rPr>
      </w:pPr>
    </w:p>
    <w:p>
      <w:pPr>
        <w:tabs>
          <w:tab w:val="left" w:leader="middleDot" w:pos="6720"/>
        </w:tabs>
        <w:ind w:left="220" w:hanging="220" w:hangingChars="50"/>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r>
        <w:rPr>
          <w:color w:val="000000" w:themeColor="text1"/>
          <w:sz w:val="44"/>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6" name="文本框 13"/>
                <wp:cNvGraphicFramePr/>
                <a:graphic xmlns:a="http://schemas.openxmlformats.org/drawingml/2006/main">
                  <a:graphicData uri="http://schemas.microsoft.com/office/word/2010/wordprocessingShape">
                    <wps:wsp>
                      <wps:cNvSpPr txBox="1"/>
                      <wps:spPr>
                        <a:xfrm>
                          <a:off x="0" y="0"/>
                          <a:ext cx="4307840" cy="12896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distribute"/>
                              <w:rPr>
                                <w:rFonts w:hint="eastAsia"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3" o:spid="_x0000_s1026" o:spt="202" type="#_x0000_t202" style="position:absolute;left:0pt;margin-left:55.85pt;margin-top:0.65pt;height:101.55pt;width:339.2pt;z-index:251659264;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fill on="t" focussize="0,0"/>
                <v:stroke color="#FFFFFF" joinstyle="miter"/>
                <v:imagedata o:title=""/>
                <o:lock v:ext="edit" aspectratio="f"/>
                <v:textbox style="mso-fit-shape-to-text:t;">
                  <w:txbxContent>
                    <w:p>
                      <w:pPr>
                        <w:jc w:val="distribute"/>
                        <w:rPr>
                          <w:rFonts w:hint="eastAsia"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rFonts w:ascii="黑体" w:hAnsi="黑体" w:eastAsia="黑体"/>
          <w:bCs/>
          <w:color w:val="000000" w:themeColor="text1"/>
          <w:w w:val="80"/>
          <w:sz w:val="44"/>
          <w14:textFill>
            <w14:solidFill>
              <w14:schemeClr w14:val="tx1"/>
            </w14:solidFill>
          </w14:textFill>
        </w:rPr>
      </w:pPr>
      <w:r>
        <w:rPr>
          <w:color w:val="000000" w:themeColor="text1"/>
          <w:sz w:val="44"/>
          <w14:textFill>
            <w14:solidFill>
              <w14:schemeClr w14:val="tx1"/>
            </w14:solidFill>
          </w14:textFill>
        </w:rPr>
        <w:br w:type="page"/>
      </w:r>
      <w:r>
        <w:rPr>
          <w:rFonts w:hint="eastAsia" w:ascii="黑体" w:hAnsi="黑体" w:eastAsia="黑体"/>
          <w:bCs/>
          <w:color w:val="000000" w:themeColor="text1"/>
          <w:w w:val="80"/>
          <w:sz w:val="44"/>
          <w14:textFill>
            <w14:solidFill>
              <w14:schemeClr w14:val="tx1"/>
            </w14:solidFill>
          </w14:textFill>
        </w:rPr>
        <w:t>目录</w:t>
      </w:r>
    </w:p>
    <w:p>
      <w:pPr>
        <w:tabs>
          <w:tab w:val="left" w:leader="middleDot" w:pos="7980"/>
        </w:tabs>
        <w:rPr>
          <w:rFonts w:ascii="宋体"/>
          <w:color w:val="000000" w:themeColor="text1"/>
          <w:w w:val="66"/>
          <w:sz w:val="32"/>
          <w:szCs w:val="32"/>
          <w14:textFill>
            <w14:solidFill>
              <w14:schemeClr w14:val="tx1"/>
            </w14:solidFill>
          </w14:textFill>
        </w:rPr>
      </w:pP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rPr>
          <w:rFonts w:ascii="宋体" w:hAnsi="宋体"/>
          <w:color w:val="000000" w:themeColor="text1"/>
          <w:w w:val="66"/>
          <w:sz w:val="32"/>
          <w:szCs w:val="32"/>
          <w14:textFill>
            <w14:solidFill>
              <w14:schemeClr w14:val="tx1"/>
            </w14:solidFill>
          </w14:textFill>
        </w:rPr>
        <w:fldChar w:fldCharType="begin"/>
      </w:r>
      <w:r>
        <w:rPr>
          <w:rFonts w:ascii="宋体" w:hAnsi="宋体"/>
          <w:color w:val="000000" w:themeColor="text1"/>
          <w:w w:val="66"/>
          <w:sz w:val="32"/>
          <w:szCs w:val="32"/>
          <w14:textFill>
            <w14:solidFill>
              <w14:schemeClr w14:val="tx1"/>
            </w14:solidFill>
          </w14:textFill>
        </w:rPr>
        <w:instrText xml:space="preserve"> TOC \o "1-1" \h \z \u </w:instrText>
      </w:r>
      <w:r>
        <w:rPr>
          <w:rFonts w:ascii="宋体" w:hAnsi="宋体"/>
          <w:color w:val="000000" w:themeColor="text1"/>
          <w:w w:val="66"/>
          <w:sz w:val="32"/>
          <w:szCs w:val="32"/>
          <w14:textFill>
            <w14:solidFill>
              <w14:schemeClr w14:val="tx1"/>
            </w14:solidFill>
          </w14:textFill>
        </w:rPr>
        <w:fldChar w:fldCharType="separate"/>
      </w:r>
      <w:r>
        <w:fldChar w:fldCharType="begin"/>
      </w:r>
      <w:r>
        <w:instrText xml:space="preserve"> HYPERLINK \l "_Toc3391970" </w:instrText>
      </w:r>
      <w:r>
        <w:fldChar w:fldCharType="separate"/>
      </w:r>
      <w:r>
        <w:rPr>
          <w:rFonts w:hint="eastAsia" w:ascii="宋体" w:hAnsi="宋体"/>
          <w:color w:val="000000" w:themeColor="text1"/>
          <w:w w:val="66"/>
          <w:sz w:val="32"/>
          <w:szCs w:val="32"/>
          <w14:textFill>
            <w14:solidFill>
              <w14:schemeClr w14:val="tx1"/>
            </w14:solidFill>
          </w14:textFill>
        </w:rPr>
        <w:t>拍卖出让公告</w:t>
      </w:r>
      <w:r>
        <w:rPr>
          <w:rFonts w:ascii="宋体"/>
          <w:color w:val="000000" w:themeColor="text1"/>
          <w:w w:val="66"/>
          <w:sz w:val="32"/>
          <w:szCs w:val="32"/>
          <w14:textFill>
            <w14:solidFill>
              <w14:schemeClr w14:val="tx1"/>
            </w14:solidFill>
          </w14:textFill>
        </w:rPr>
        <w:tab/>
      </w:r>
      <w:r>
        <w:rPr>
          <w:rFonts w:ascii="宋体" w:hAnsi="宋体"/>
          <w:color w:val="000000" w:themeColor="text1"/>
          <w:w w:val="66"/>
          <w:sz w:val="32"/>
          <w:szCs w:val="32"/>
          <w14:textFill>
            <w14:solidFill>
              <w14:schemeClr w14:val="tx1"/>
            </w14:solidFill>
          </w14:textFill>
        </w:rPr>
        <w:fldChar w:fldCharType="begin"/>
      </w:r>
      <w:r>
        <w:rPr>
          <w:rFonts w:ascii="宋体" w:hAnsi="宋体"/>
          <w:color w:val="000000" w:themeColor="text1"/>
          <w:w w:val="66"/>
          <w:sz w:val="32"/>
          <w:szCs w:val="32"/>
          <w14:textFill>
            <w14:solidFill>
              <w14:schemeClr w14:val="tx1"/>
            </w14:solidFill>
          </w14:textFill>
        </w:rPr>
        <w:instrText xml:space="preserve"> PAGEREF _Toc3391970 \h </w:instrText>
      </w:r>
      <w:r>
        <w:rPr>
          <w:rFonts w:ascii="宋体" w:hAnsi="宋体"/>
          <w:color w:val="000000" w:themeColor="text1"/>
          <w:w w:val="66"/>
          <w:sz w:val="32"/>
          <w:szCs w:val="32"/>
          <w14:textFill>
            <w14:solidFill>
              <w14:schemeClr w14:val="tx1"/>
            </w14:solidFill>
          </w14:textFill>
        </w:rPr>
        <w:fldChar w:fldCharType="separate"/>
      </w:r>
      <w:r>
        <w:rPr>
          <w:rFonts w:ascii="宋体" w:hAnsi="宋体"/>
          <w:color w:val="000000" w:themeColor="text1"/>
          <w:w w:val="66"/>
          <w:sz w:val="32"/>
          <w:szCs w:val="32"/>
          <w14:textFill>
            <w14:solidFill>
              <w14:schemeClr w14:val="tx1"/>
            </w14:solidFill>
          </w14:textFill>
        </w:rPr>
        <w:t>3</w:t>
      </w:r>
      <w:r>
        <w:rPr>
          <w:rFonts w:ascii="宋体" w:hAns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fldChar w:fldCharType="end"/>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"_Toc3391971" </w:instrText>
      </w:r>
      <w:r>
        <w:fldChar w:fldCharType="separate"/>
      </w:r>
      <w:r>
        <w:rPr>
          <w:rFonts w:hint="eastAsia" w:ascii="宋体" w:hAnsi="宋体"/>
          <w:color w:val="000000" w:themeColor="text1"/>
          <w:w w:val="66"/>
          <w:sz w:val="32"/>
          <w:szCs w:val="32"/>
          <w14:textFill>
            <w14:solidFill>
              <w14:schemeClr w14:val="tx1"/>
            </w14:solidFill>
          </w14:textFill>
        </w:rPr>
        <w:t>国有建设用地使用权拍卖出让须知</w:t>
      </w:r>
      <w:r>
        <w:rPr>
          <w:rFonts w:ascii="宋体"/>
          <w:color w:val="000000" w:themeColor="text1"/>
          <w:w w:val="66"/>
          <w:sz w:val="32"/>
          <w:szCs w:val="32"/>
          <w14:textFill>
            <w14:solidFill>
              <w14:schemeClr w14:val="tx1"/>
            </w14:solidFill>
          </w14:textFill>
        </w:rPr>
        <w:tab/>
      </w:r>
      <w:r>
        <w:rPr>
          <w:rFonts w:ascii="宋体"/>
          <w:color w:val="000000" w:themeColor="text1"/>
          <w:w w:val="66"/>
          <w:sz w:val="32"/>
          <w:szCs w:val="32"/>
          <w14:textFill>
            <w14:solidFill>
              <w14:schemeClr w14:val="tx1"/>
            </w14:solidFill>
          </w14:textFill>
        </w:rPr>
        <w:fldChar w:fldCharType="end"/>
      </w:r>
      <w:r>
        <w:rPr>
          <w:rFonts w:ascii="宋体"/>
          <w:color w:val="000000" w:themeColor="text1"/>
          <w:w w:val="66"/>
          <w:sz w:val="32"/>
          <w:szCs w:val="32"/>
          <w14:textFill>
            <w14:solidFill>
              <w14:schemeClr w14:val="tx1"/>
            </w14:solidFill>
          </w14:textFill>
        </w:rPr>
        <w:t>6</w:t>
      </w:r>
      <w:r>
        <w:rPr>
          <w:rFonts w:ascii="宋体"/>
          <w:color w:val="000000" w:themeColor="text1"/>
          <w:sz w:val="32"/>
          <w:szCs w:val="32"/>
          <w14:textFill>
            <w14:solidFill>
              <w14:schemeClr w14:val="tx1"/>
            </w14:solidFill>
          </w14:textFill>
        </w:rPr>
        <w:t>-</w:t>
      </w:r>
      <w:r>
        <w:rPr>
          <w:rFonts w:ascii="宋体" w:hAnsi="宋体"/>
          <w:color w:val="000000" w:themeColor="text1"/>
          <w:sz w:val="32"/>
          <w:szCs w:val="32"/>
          <w14:textFill>
            <w14:solidFill>
              <w14:schemeClr w14:val="tx1"/>
            </w14:solidFill>
          </w14:textFill>
        </w:rPr>
        <w:t>17</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"_Toc3391972" </w:instrText>
      </w:r>
      <w:r>
        <w:fldChar w:fldCharType="separate"/>
      </w:r>
      <w:r>
        <w:rPr>
          <w:rFonts w:hint="eastAsia" w:ascii="宋体" w:hAnsi="宋体"/>
          <w:color w:val="000000" w:themeColor="text1"/>
          <w:w w:val="66"/>
          <w:sz w:val="32"/>
          <w:szCs w:val="32"/>
          <w14:textFill>
            <w14:solidFill>
              <w14:schemeClr w14:val="tx1"/>
            </w14:solidFill>
          </w14:textFill>
        </w:rPr>
        <w:t>地块规划条件相关资料</w:t>
      </w:r>
      <w:r>
        <w:rPr>
          <w:rFonts w:ascii="宋体"/>
          <w:color w:val="000000" w:themeColor="text1"/>
          <w:w w:val="66"/>
          <w:sz w:val="32"/>
          <w:szCs w:val="32"/>
          <w14:textFill>
            <w14:solidFill>
              <w14:schemeClr w14:val="tx1"/>
            </w14:solidFill>
          </w14:textFill>
        </w:rPr>
        <w:tab/>
      </w:r>
      <w:r>
        <w:rPr>
          <w:rFonts w:ascii="宋体"/>
          <w:color w:val="000000" w:themeColor="text1"/>
          <w:w w:val="66"/>
          <w:sz w:val="32"/>
          <w:szCs w:val="32"/>
          <w14:textFill>
            <w14:solidFill>
              <w14:schemeClr w14:val="tx1"/>
            </w14:solidFill>
          </w14:textFill>
        </w:rPr>
        <w:fldChar w:fldCharType="end"/>
      </w:r>
      <w:r>
        <w:rPr>
          <w:rFonts w:ascii="宋体"/>
          <w:color w:val="000000" w:themeColor="text1"/>
          <w:w w:val="66"/>
          <w:sz w:val="32"/>
          <w:szCs w:val="32"/>
          <w14:textFill>
            <w14:solidFill>
              <w14:schemeClr w14:val="tx1"/>
            </w14:solidFill>
          </w14:textFill>
        </w:rPr>
        <w:t>18-21</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"_Toc3391973" </w:instrText>
      </w:r>
      <w:r>
        <w:fldChar w:fldCharType="separate"/>
      </w:r>
      <w:r>
        <w:rPr>
          <w:rFonts w:hint="eastAsia" w:ascii="宋体" w:hAnsi="宋体"/>
          <w:color w:val="000000" w:themeColor="text1"/>
          <w:w w:val="66"/>
          <w:sz w:val="32"/>
          <w:szCs w:val="32"/>
          <w14:textFill>
            <w14:solidFill>
              <w14:schemeClr w14:val="tx1"/>
            </w14:solidFill>
          </w14:textFill>
        </w:rPr>
        <w:t>用地红线图</w:t>
      </w:r>
      <w:r>
        <w:rPr>
          <w:rFonts w:ascii="宋体"/>
          <w:color w:val="000000" w:themeColor="text1"/>
          <w:w w:val="66"/>
          <w:sz w:val="32"/>
          <w:szCs w:val="32"/>
          <w14:textFill>
            <w14:solidFill>
              <w14:schemeClr w14:val="tx1"/>
            </w14:solidFill>
          </w14:textFill>
        </w:rPr>
        <w:tab/>
      </w:r>
      <w:r>
        <w:rPr>
          <w:rFonts w:ascii="宋体"/>
          <w:color w:val="000000" w:themeColor="text1"/>
          <w:w w:val="66"/>
          <w:sz w:val="32"/>
          <w:szCs w:val="32"/>
          <w14:textFill>
            <w14:solidFill>
              <w14:schemeClr w14:val="tx1"/>
            </w14:solidFill>
          </w14:textFill>
        </w:rPr>
        <w:fldChar w:fldCharType="end"/>
      </w:r>
      <w:r>
        <w:rPr>
          <w:rFonts w:ascii="宋体"/>
          <w:color w:val="000000" w:themeColor="text1"/>
          <w:w w:val="66"/>
          <w:sz w:val="32"/>
          <w:szCs w:val="32"/>
          <w14:textFill>
            <w14:solidFill>
              <w14:schemeClr w14:val="tx1"/>
            </w14:solidFill>
          </w14:textFill>
        </w:rPr>
        <w:t>22</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"_Toc3391974" </w:instrText>
      </w:r>
      <w:r>
        <w:fldChar w:fldCharType="separate"/>
      </w:r>
      <w:r>
        <w:rPr>
          <w:rFonts w:hint="eastAsia" w:ascii="宋体" w:hAnsi="宋体"/>
          <w:color w:val="000000" w:themeColor="text1"/>
          <w:w w:val="66"/>
          <w:sz w:val="32"/>
          <w:szCs w:val="32"/>
          <w14:textFill>
            <w14:solidFill>
              <w14:schemeClr w14:val="tx1"/>
            </w14:solidFill>
          </w14:textFill>
        </w:rPr>
        <w:t>宗地平面界址图</w:t>
      </w:r>
      <w:r>
        <w:rPr>
          <w:rFonts w:ascii="宋体"/>
          <w:color w:val="000000" w:themeColor="text1"/>
          <w:w w:val="66"/>
          <w:sz w:val="32"/>
          <w:szCs w:val="32"/>
          <w14:textFill>
            <w14:solidFill>
              <w14:schemeClr w14:val="tx1"/>
            </w14:solidFill>
          </w14:textFill>
        </w:rPr>
        <w:tab/>
      </w:r>
      <w:r>
        <w:rPr>
          <w:rFonts w:asci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23</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"_Toc3391975" </w:instrText>
      </w:r>
      <w:r>
        <w:fldChar w:fldCharType="separate"/>
      </w:r>
      <w:r>
        <w:rPr>
          <w:rFonts w:hint="eastAsia" w:ascii="宋体" w:hAnsi="宋体"/>
          <w:color w:val="000000" w:themeColor="text1"/>
          <w:w w:val="66"/>
          <w:sz w:val="32"/>
          <w:szCs w:val="32"/>
          <w14:textFill>
            <w14:solidFill>
              <w14:schemeClr w14:val="tx1"/>
            </w14:solidFill>
          </w14:textFill>
        </w:rPr>
        <w:t>竞买申请书（样本）</w:t>
      </w:r>
      <w:r>
        <w:rPr>
          <w:rFonts w:ascii="宋体"/>
          <w:color w:val="000000" w:themeColor="text1"/>
          <w:w w:val="66"/>
          <w:sz w:val="32"/>
          <w:szCs w:val="32"/>
          <w14:textFill>
            <w14:solidFill>
              <w14:schemeClr w14:val="tx1"/>
            </w14:solidFill>
          </w14:textFill>
        </w:rPr>
        <w:tab/>
      </w:r>
      <w:r>
        <w:rPr>
          <w:rFonts w:ascii="宋体" w:hAnsi="宋体"/>
          <w:color w:val="000000" w:themeColor="text1"/>
          <w:w w:val="66"/>
          <w:sz w:val="32"/>
          <w:szCs w:val="32"/>
          <w14:textFill>
            <w14:solidFill>
              <w14:schemeClr w14:val="tx1"/>
            </w14:solidFill>
          </w14:textFill>
        </w:rPr>
        <w:t>2</w:t>
      </w:r>
      <w:r>
        <w:rPr>
          <w:rFonts w:ascii="宋体" w:hAns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4</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"_Toc3391976" </w:instrText>
      </w:r>
      <w:r>
        <w:fldChar w:fldCharType="separate"/>
      </w:r>
      <w:r>
        <w:rPr>
          <w:rFonts w:hint="eastAsia" w:ascii="宋体" w:hAnsi="宋体"/>
          <w:color w:val="000000" w:themeColor="text1"/>
          <w:w w:val="66"/>
          <w:sz w:val="32"/>
          <w:szCs w:val="32"/>
          <w14:textFill>
            <w14:solidFill>
              <w14:schemeClr w14:val="tx1"/>
            </w14:solidFill>
          </w14:textFill>
        </w:rPr>
        <w:t>保证金承诺书（样本）</w:t>
      </w:r>
      <w:r>
        <w:rPr>
          <w:rFonts w:ascii="宋体"/>
          <w:color w:val="000000" w:themeColor="text1"/>
          <w:w w:val="66"/>
          <w:sz w:val="32"/>
          <w:szCs w:val="32"/>
          <w14:textFill>
            <w14:solidFill>
              <w14:schemeClr w14:val="tx1"/>
            </w14:solidFill>
          </w14:textFill>
        </w:rPr>
        <w:tab/>
      </w:r>
      <w:r>
        <w:rPr>
          <w:rFonts w:ascii="宋体" w:hAnsi="宋体"/>
          <w:color w:val="000000" w:themeColor="text1"/>
          <w:w w:val="66"/>
          <w:sz w:val="32"/>
          <w:szCs w:val="32"/>
          <w14:textFill>
            <w14:solidFill>
              <w14:schemeClr w14:val="tx1"/>
            </w14:solidFill>
          </w14:textFill>
        </w:rPr>
        <w:t>2</w:t>
      </w:r>
      <w:r>
        <w:rPr>
          <w:rFonts w:ascii="宋体" w:hAns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5</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"_Toc3391977" </w:instrText>
      </w:r>
      <w:r>
        <w:fldChar w:fldCharType="separate"/>
      </w:r>
      <w:r>
        <w:rPr>
          <w:rFonts w:hint="eastAsia" w:ascii="宋体" w:hAnsi="宋体"/>
          <w:color w:val="000000" w:themeColor="text1"/>
          <w:w w:val="66"/>
          <w:sz w:val="32"/>
          <w:szCs w:val="32"/>
          <w14:textFill>
            <w14:solidFill>
              <w14:schemeClr w14:val="tx1"/>
            </w14:solidFill>
          </w14:textFill>
        </w:rPr>
        <w:t>法定代表人身份证明书（样本）</w:t>
      </w:r>
      <w:r>
        <w:rPr>
          <w:rFonts w:ascii="宋体"/>
          <w:color w:val="000000" w:themeColor="text1"/>
          <w:w w:val="66"/>
          <w:sz w:val="32"/>
          <w:szCs w:val="32"/>
          <w14:textFill>
            <w14:solidFill>
              <w14:schemeClr w14:val="tx1"/>
            </w14:solidFill>
          </w14:textFill>
        </w:rPr>
        <w:tab/>
      </w:r>
      <w:r>
        <w:rPr>
          <w:rFonts w:ascii="宋体" w:hAnsi="宋体"/>
          <w:color w:val="000000" w:themeColor="text1"/>
          <w:w w:val="66"/>
          <w:sz w:val="32"/>
          <w:szCs w:val="32"/>
          <w14:textFill>
            <w14:solidFill>
              <w14:schemeClr w14:val="tx1"/>
            </w14:solidFill>
          </w14:textFill>
        </w:rPr>
        <w:t>2</w:t>
      </w:r>
      <w:r>
        <w:rPr>
          <w:rFonts w:ascii="宋体" w:hAns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6</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"_Toc3391978" </w:instrText>
      </w:r>
      <w:r>
        <w:fldChar w:fldCharType="separate"/>
      </w:r>
      <w:r>
        <w:rPr>
          <w:rFonts w:hint="eastAsia" w:ascii="宋体" w:hAnsi="宋体"/>
          <w:color w:val="000000" w:themeColor="text1"/>
          <w:w w:val="66"/>
          <w:sz w:val="32"/>
          <w:szCs w:val="32"/>
          <w14:textFill>
            <w14:solidFill>
              <w14:schemeClr w14:val="tx1"/>
            </w14:solidFill>
          </w14:textFill>
        </w:rPr>
        <w:t>授权委托书（样本）</w:t>
      </w:r>
      <w:r>
        <w:rPr>
          <w:rFonts w:ascii="宋体"/>
          <w:color w:val="000000" w:themeColor="text1"/>
          <w:w w:val="66"/>
          <w:sz w:val="32"/>
          <w:szCs w:val="32"/>
          <w14:textFill>
            <w14:solidFill>
              <w14:schemeClr w14:val="tx1"/>
            </w14:solidFill>
          </w14:textFill>
        </w:rPr>
        <w:tab/>
      </w:r>
      <w:r>
        <w:rPr>
          <w:rFonts w:ascii="宋体" w:hAnsi="宋体"/>
          <w:color w:val="000000" w:themeColor="text1"/>
          <w:w w:val="66"/>
          <w:sz w:val="32"/>
          <w:szCs w:val="32"/>
          <w14:textFill>
            <w14:solidFill>
              <w14:schemeClr w14:val="tx1"/>
            </w14:solidFill>
          </w14:textFill>
        </w:rPr>
        <w:t>2</w:t>
      </w:r>
      <w:r>
        <w:rPr>
          <w:rFonts w:ascii="宋体" w:hAns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7</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"_Toc3391979" </w:instrText>
      </w:r>
      <w:r>
        <w:fldChar w:fldCharType="separate"/>
      </w:r>
      <w:r>
        <w:rPr>
          <w:rFonts w:hint="eastAsia" w:ascii="宋体" w:hAnsi="宋体"/>
          <w:color w:val="000000" w:themeColor="text1"/>
          <w:w w:val="66"/>
          <w:sz w:val="32"/>
          <w:szCs w:val="32"/>
          <w14:textFill>
            <w14:solidFill>
              <w14:schemeClr w14:val="tx1"/>
            </w14:solidFill>
          </w14:textFill>
        </w:rPr>
        <w:t>成交确认书（样本）</w:t>
      </w:r>
      <w:r>
        <w:rPr>
          <w:rFonts w:ascii="宋体"/>
          <w:color w:val="000000" w:themeColor="text1"/>
          <w:w w:val="66"/>
          <w:sz w:val="32"/>
          <w:szCs w:val="32"/>
          <w14:textFill>
            <w14:solidFill>
              <w14:schemeClr w14:val="tx1"/>
            </w14:solidFill>
          </w14:textFill>
        </w:rPr>
        <w:tab/>
      </w:r>
      <w:r>
        <w:rPr>
          <w:rFonts w:ascii="宋体" w:hAnsi="宋体"/>
          <w:color w:val="000000" w:themeColor="text1"/>
          <w:w w:val="66"/>
          <w:sz w:val="32"/>
          <w:szCs w:val="32"/>
          <w14:textFill>
            <w14:solidFill>
              <w14:schemeClr w14:val="tx1"/>
            </w14:solidFill>
          </w14:textFill>
        </w:rPr>
        <w:t>2</w:t>
      </w:r>
      <w:r>
        <w:rPr>
          <w:rFonts w:ascii="宋体" w:hAns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8</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"_Toc3391980" </w:instrText>
      </w:r>
      <w:r>
        <w:fldChar w:fldCharType="separate"/>
      </w:r>
      <w:r>
        <w:rPr>
          <w:rFonts w:hint="eastAsia" w:ascii="宋体" w:hAnsi="宋体"/>
          <w:color w:val="000000" w:themeColor="text1"/>
          <w:w w:val="66"/>
          <w:sz w:val="32"/>
          <w:szCs w:val="32"/>
          <w14:textFill>
            <w14:solidFill>
              <w14:schemeClr w14:val="tx1"/>
            </w14:solidFill>
          </w14:textFill>
        </w:rPr>
        <w:t>国有建设用地使用权出让合同（样本）</w:t>
      </w:r>
      <w:r>
        <w:rPr>
          <w:rFonts w:ascii="宋体"/>
          <w:color w:val="000000" w:themeColor="text1"/>
          <w:w w:val="66"/>
          <w:sz w:val="32"/>
          <w:szCs w:val="32"/>
          <w14:textFill>
            <w14:solidFill>
              <w14:schemeClr w14:val="tx1"/>
            </w14:solidFill>
          </w14:textFill>
        </w:rPr>
        <w:tab/>
      </w:r>
      <w:r>
        <w:rPr>
          <w:rFonts w:asci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29-43</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\l "_Toc3391981" </w:instrText>
      </w:r>
      <w:r>
        <w:fldChar w:fldCharType="separate"/>
      </w:r>
      <w:r>
        <w:rPr>
          <w:rFonts w:hint="eastAsia" w:ascii="宋体" w:hAnsi="宋体"/>
          <w:color w:val="000000" w:themeColor="text1"/>
          <w:w w:val="66"/>
          <w:sz w:val="32"/>
          <w:szCs w:val="32"/>
          <w14:textFill>
            <w14:solidFill>
              <w14:schemeClr w14:val="tx1"/>
            </w14:solidFill>
          </w14:textFill>
        </w:rPr>
        <w:t>其他相关文件</w:t>
      </w:r>
      <w:r>
        <w:rPr>
          <w:rFonts w:ascii="宋体"/>
          <w:color w:val="000000" w:themeColor="text1"/>
          <w:w w:val="66"/>
          <w:sz w:val="32"/>
          <w:szCs w:val="32"/>
          <w14:textFill>
            <w14:solidFill>
              <w14:schemeClr w14:val="tx1"/>
            </w14:solidFill>
          </w14:textFill>
        </w:rPr>
        <w:tab/>
      </w:r>
      <w:r>
        <w:rPr>
          <w:rFonts w:ascii="宋体"/>
          <w:color w:val="000000" w:themeColor="text1"/>
          <w:w w:val="66"/>
          <w:sz w:val="32"/>
          <w:szCs w:val="32"/>
          <w14:textFill>
            <w14:solidFill>
              <w14:schemeClr w14:val="tx1"/>
            </w14:solidFill>
          </w14:textFill>
        </w:rPr>
        <w:fldChar w:fldCharType="end"/>
      </w:r>
      <w:r>
        <w:rPr>
          <w:rFonts w:ascii="宋体" w:hAnsi="宋体"/>
          <w:color w:val="000000" w:themeColor="text1"/>
          <w:w w:val="66"/>
          <w:sz w:val="32"/>
          <w:szCs w:val="32"/>
          <w14:textFill>
            <w14:solidFill>
              <w14:schemeClr w14:val="tx1"/>
            </w14:solidFill>
          </w14:textFill>
        </w:rPr>
        <w:t>44-48</w:t>
      </w:r>
    </w:p>
    <w:p>
      <w:pPr>
        <w:rPr>
          <w:rFonts w:ascii="黑体" w:eastAsia="黑体"/>
          <w:color w:val="000000" w:themeColor="text1"/>
          <w:sz w:val="48"/>
          <w:szCs w:val="48"/>
          <w14:textFill>
            <w14:solidFill>
              <w14:schemeClr w14:val="tx1"/>
            </w14:solidFill>
          </w14:textFill>
        </w:rPr>
      </w:pPr>
      <w:r>
        <w:rPr>
          <w:rFonts w:ascii="宋体" w:hAnsi="宋体"/>
          <w:color w:val="000000" w:themeColor="text1"/>
          <w:w w:val="66"/>
          <w:sz w:val="32"/>
          <w:szCs w:val="32"/>
          <w14:textFill>
            <w14:solidFill>
              <w14:schemeClr w14:val="tx1"/>
            </w14:solidFill>
          </w14:textFill>
        </w:rPr>
        <w:fldChar w:fldCharType="end"/>
      </w:r>
    </w:p>
    <w:p>
      <w:pPr>
        <w:tabs>
          <w:tab w:val="left" w:leader="middleDot" w:pos="6720"/>
        </w:tabs>
        <w:ind w:left="105" w:hanging="105" w:hangingChars="50"/>
        <w:jc w:val="cente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5"/>
        <w:spacing w:line="492" w:lineRule="atLeast"/>
        <w:ind w:left="0"/>
        <w:rPr>
          <w:rFonts w:ascii="Dotum" w:eastAsia="Dotum" w:cs="Dotum"/>
          <w:b/>
          <w:color w:val="000000" w:themeColor="text1"/>
          <w:spacing w:val="-5"/>
          <w:sz w:val="44"/>
          <w:szCs w:val="44"/>
          <w14:textFill>
            <w14:solidFill>
              <w14:schemeClr w14:val="tx1"/>
            </w14:solidFill>
          </w14:textFill>
        </w:rPr>
        <w:sectPr>
          <w:headerReference r:id="rId3" w:type="default"/>
          <w:footerReference r:id="rId4" w:type="default"/>
          <w:footerReference r:id="rId5" w:type="even"/>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s="宋体"/>
          <w:color w:val="000000" w:themeColor="text1"/>
          <w:sz w:val="44"/>
          <w:szCs w:val="44"/>
          <w14:textFill>
            <w14:solidFill>
              <w14:schemeClr w14:val="tx1"/>
            </w14:solidFill>
          </w14:textFill>
        </w:rPr>
      </w:pPr>
      <w:bookmarkStart w:id="0" w:name="_Toc3391741"/>
      <w:bookmarkStart w:id="1" w:name="_Toc3391970"/>
      <w:r>
        <w:rPr>
          <w:rFonts w:hint="eastAsia" w:ascii="方正小标宋简体" w:hAnsi="宋体" w:eastAsia="方正小标宋简体" w:cs="宋体"/>
          <w:color w:val="000000" w:themeColor="text1"/>
          <w:sz w:val="44"/>
          <w:szCs w:val="44"/>
          <w14:textFill>
            <w14:solidFill>
              <w14:schemeClr w14:val="tx1"/>
            </w14:solidFill>
          </w14:textFill>
        </w:rPr>
        <w:t>达州市自然资源和规划局</w:t>
      </w:r>
    </w:p>
    <w:p>
      <w:pPr>
        <w:snapToGrid w:val="0"/>
        <w:spacing w:line="600" w:lineRule="exact"/>
        <w:jc w:val="center"/>
        <w:rPr>
          <w:rFonts w:ascii="方正小标宋简体" w:hAnsi="宋体" w:eastAsia="方正小标宋简体" w:cs="宋体"/>
          <w:color w:val="000000" w:themeColor="text1"/>
          <w:sz w:val="44"/>
          <w:szCs w:val="44"/>
          <w14:textFill>
            <w14:solidFill>
              <w14:schemeClr w14:val="tx1"/>
            </w14:solidFill>
          </w14:textFill>
        </w:rPr>
      </w:pPr>
      <w:r>
        <w:rPr>
          <w:rFonts w:hint="eastAsia" w:ascii="方正小标宋简体" w:hAnsi="宋体" w:eastAsia="方正小标宋简体" w:cs="宋体"/>
          <w:color w:val="000000" w:themeColor="text1"/>
          <w:sz w:val="44"/>
          <w:szCs w:val="44"/>
          <w14:textFill>
            <w14:solidFill>
              <w14:schemeClr w14:val="tx1"/>
            </w14:solidFill>
          </w14:textFill>
        </w:rPr>
        <w:t>达州市公共资源交易服务中心</w:t>
      </w:r>
    </w:p>
    <w:p>
      <w:pPr>
        <w:pStyle w:val="12"/>
        <w:spacing w:before="0" w:after="0" w:line="600" w:lineRule="exact"/>
        <w:rPr>
          <w:rFonts w:ascii="方正小标宋简体" w:eastAsia="方正小标宋简体"/>
          <w:b w:val="0"/>
          <w:color w:val="000000" w:themeColor="text1"/>
          <w:sz w:val="44"/>
          <w:szCs w:val="44"/>
          <w14:textFill>
            <w14:solidFill>
              <w14:schemeClr w14:val="tx1"/>
            </w14:solidFill>
          </w14:textFill>
        </w:rPr>
      </w:pPr>
      <w:r>
        <w:rPr>
          <w:rFonts w:hint="eastAsia" w:ascii="方正小标宋简体" w:eastAsia="方正小标宋简体"/>
          <w:b w:val="0"/>
          <w:color w:val="000000" w:themeColor="text1"/>
          <w:sz w:val="44"/>
          <w:szCs w:val="44"/>
          <w14:textFill>
            <w14:solidFill>
              <w14:schemeClr w14:val="tx1"/>
            </w14:solidFill>
          </w14:textFill>
        </w:rPr>
        <w:t>国有建设用地使用权拍卖出让公告</w:t>
      </w:r>
      <w:bookmarkEnd w:id="0"/>
      <w:bookmarkEnd w:id="1"/>
    </w:p>
    <w:p>
      <w:pPr>
        <w:snapToGrid w:val="0"/>
        <w:spacing w:line="600" w:lineRule="exact"/>
        <w:jc w:val="center"/>
        <w:rPr>
          <w:rFonts w:ascii="宋体" w:cs="宋体"/>
          <w:color w:val="000000" w:themeColor="text1"/>
          <w:sz w:val="28"/>
          <w:szCs w:val="28"/>
          <w14:textFill>
            <w14:solidFill>
              <w14:schemeClr w14:val="tx1"/>
            </w14:solidFill>
          </w14:textFill>
        </w:rPr>
      </w:pPr>
    </w:p>
    <w:p>
      <w:pPr>
        <w:snapToGrid w:val="0"/>
        <w:spacing w:line="600" w:lineRule="exact"/>
        <w:jc w:val="center"/>
        <w:rPr>
          <w:rFonts w:ascii="宋体" w:cs="宋体"/>
          <w:color w:val="000000" w:themeColor="text1"/>
          <w:sz w:val="28"/>
          <w:szCs w:val="28"/>
          <w14:textFill>
            <w14:solidFill>
              <w14:schemeClr w14:val="tx1"/>
            </w14:solidFill>
          </w14:textFill>
        </w:rPr>
      </w:pPr>
      <w:r>
        <w:rPr>
          <w:rFonts w:ascii="宋体" w:hAnsi="宋体" w:cs="宋体"/>
          <w:color w:val="000000" w:themeColor="text1"/>
          <w:sz w:val="28"/>
          <w:szCs w:val="28"/>
          <w14:textFill>
            <w14:solidFill>
              <w14:schemeClr w14:val="tx1"/>
            </w14:solidFill>
          </w14:textFill>
        </w:rPr>
        <w:t>DST(P)</w:t>
      </w:r>
      <w:r>
        <w:rPr>
          <w:rFonts w:hint="eastAsia" w:ascii="黑体" w:hAnsi="黑体" w:eastAsia="黑体"/>
          <w:sz w:val="28"/>
        </w:rPr>
        <w:t>〔</w:t>
      </w:r>
      <w:r>
        <w:rPr>
          <w:rFonts w:ascii="黑体" w:hAnsi="黑体" w:eastAsia="黑体"/>
          <w:sz w:val="28"/>
          <w:u w:val="single"/>
        </w:rPr>
        <w:t>2021</w:t>
      </w:r>
      <w:r>
        <w:rPr>
          <w:rFonts w:hint="eastAsia" w:ascii="黑体" w:hAnsi="黑体" w:eastAsia="黑体"/>
          <w:sz w:val="28"/>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14:textFill>
            <w14:solidFill>
              <w14:schemeClr w14:val="tx1"/>
            </w14:solidFill>
          </w14:textFill>
        </w:rPr>
        <w:t>号</w:t>
      </w:r>
    </w:p>
    <w:p>
      <w:pPr>
        <w:keepNext w:val="0"/>
        <w:keepLines w:val="0"/>
        <w:widowControl/>
        <w:suppressLineNumbers w:val="0"/>
        <w:pBdr>
          <w:left w:val="none" w:color="auto" w:sz="0" w:space="0"/>
          <w:bottom w:val="none" w:color="auto" w:sz="0" w:space="0"/>
          <w:right w:val="none" w:color="auto" w:sz="0" w:space="0"/>
        </w:pBdr>
        <w:wordWrap w:val="0"/>
        <w:jc w:val="left"/>
        <w:rPr>
          <w:rFonts w:ascii="微软雅黑" w:hAnsi="微软雅黑" w:eastAsia="微软雅黑" w:cs="宋体"/>
          <w:color w:val="333333"/>
          <w:kern w:val="0"/>
          <w:sz w:val="19"/>
          <w:szCs w:val="19"/>
        </w:rPr>
      </w:pPr>
      <w:r>
        <w:rPr>
          <w:rFonts w:hint="eastAsia" w:ascii="宋体" w:hAnsi="宋体" w:cs="宋体"/>
          <w:color w:val="000000" w:themeColor="text1"/>
          <w:sz w:val="28"/>
          <w:szCs w:val="28"/>
          <w14:textFill>
            <w14:solidFill>
              <w14:schemeClr w14:val="tx1"/>
            </w14:solidFill>
          </w14:textFill>
        </w:rPr>
        <w:t>经</w:t>
      </w:r>
      <w:r>
        <w:rPr>
          <w:rFonts w:hint="eastAsia" w:ascii="宋体" w:hAnsi="宋体" w:cs="宋体"/>
          <w:color w:val="000000" w:themeColor="text1"/>
          <w:sz w:val="28"/>
          <w:szCs w:val="28"/>
          <w:u w:val="single"/>
          <w14:textFill>
            <w14:solidFill>
              <w14:schemeClr w14:val="tx1"/>
            </w14:solidFill>
          </w14:textFill>
        </w:rPr>
        <w:t>达州市人民政府</w:t>
      </w:r>
      <w:r>
        <w:rPr>
          <w:rFonts w:hint="eastAsia" w:ascii="宋体" w:hAnsi="宋体" w:cs="宋体"/>
          <w:color w:val="000000" w:themeColor="text1"/>
          <w:sz w:val="28"/>
          <w:szCs w:val="28"/>
          <w14:textFill>
            <w14:solidFill>
              <w14:schemeClr w14:val="tx1"/>
            </w14:solidFill>
          </w14:textFill>
        </w:rPr>
        <w:t>批准</w:t>
      </w:r>
      <w:r>
        <w:rPr>
          <w:rFonts w:hint="eastAsia" w:ascii="宋体" w:hAnsi="宋体" w:cs="宋体"/>
          <w:color w:val="000000" w:themeColor="text1"/>
          <w:sz w:val="28"/>
          <w:szCs w:val="28"/>
          <w:u w:val="single"/>
          <w14:textFill>
            <w14:solidFill>
              <w14:schemeClr w14:val="tx1"/>
            </w14:solidFill>
          </w14:textFill>
        </w:rPr>
        <w:t>，达州市自然资源和规划局</w:t>
      </w:r>
      <w:r>
        <w:rPr>
          <w:rFonts w:hint="eastAsia" w:ascii="宋体" w:hAnsi="宋体" w:cs="宋体"/>
          <w:color w:val="000000" w:themeColor="text1"/>
          <w:sz w:val="28"/>
          <w:szCs w:val="28"/>
          <w14:textFill>
            <w14:solidFill>
              <w14:schemeClr w14:val="tx1"/>
            </w14:solidFill>
          </w14:textFill>
        </w:rPr>
        <w:t>决定以拍卖方式出让</w:t>
      </w:r>
      <w:r>
        <w:rPr>
          <w:rFonts w:hint="eastAsia" w:ascii="宋体" w:hAnsi="宋体" w:cs="宋体"/>
          <w:color w:val="000000" w:themeColor="text1"/>
          <w:sz w:val="28"/>
          <w:szCs w:val="28"/>
          <w:u w:val="single"/>
          <w:lang w:val="en-US" w:eastAsia="zh-CN"/>
          <w14:textFill>
            <w14:solidFill>
              <w14:schemeClr w14:val="tx1"/>
            </w14:solidFill>
          </w14:textFill>
        </w:rPr>
        <w:t>马踏洞片区中心服务区04-04a地块、马房坝—金山片区IIB1-1-c地块</w:t>
      </w:r>
      <w:r>
        <w:rPr>
          <w:rFonts w:hint="eastAsia" w:ascii="宋体" w:hAnsi="宋体" w:cs="宋体"/>
          <w:color w:val="000000" w:themeColor="text1"/>
          <w:sz w:val="28"/>
          <w:szCs w:val="28"/>
          <w14:textFill>
            <w14:solidFill>
              <w14:schemeClr w14:val="tx1"/>
            </w14:solidFill>
          </w14:textFill>
        </w:rPr>
        <w:t>国有建设用地使用权。</w:t>
      </w:r>
      <w:r>
        <w:rPr>
          <w:rFonts w:hint="eastAsia" w:ascii="宋体" w:hAnsi="宋体" w:cs="宋体"/>
          <w:color w:val="000000" w:themeColor="text1"/>
          <w:sz w:val="28"/>
          <w:szCs w:val="28"/>
          <w:u w:val="single"/>
          <w14:textFill>
            <w14:solidFill>
              <w14:schemeClr w14:val="tx1"/>
            </w14:solidFill>
          </w14:textFill>
        </w:rPr>
        <w:t>达州市公共资源交易服务中心</w:t>
      </w:r>
      <w:r>
        <w:rPr>
          <w:rFonts w:hint="eastAsia" w:ascii="宋体" w:hAnsi="宋体" w:cs="宋体"/>
          <w:color w:val="000000" w:themeColor="text1"/>
          <w:sz w:val="28"/>
          <w:szCs w:val="28"/>
          <w14:textFill>
            <w14:solidFill>
              <w14:schemeClr w14:val="tx1"/>
            </w14:solidFill>
          </w14:textFill>
        </w:rPr>
        <w:t>受出让人委托对</w:t>
      </w:r>
      <w:r>
        <w:rPr>
          <w:rFonts w:hint="eastAsia" w:ascii="宋体" w:hAnsi="宋体" w:cs="宋体"/>
          <w:color w:val="000000" w:themeColor="text1"/>
          <w:kern w:val="0"/>
          <w:sz w:val="28"/>
          <w:szCs w:val="28"/>
          <w14:textFill>
            <w14:solidFill>
              <w14:schemeClr w14:val="tx1"/>
            </w14:solidFill>
          </w14:textFill>
        </w:rPr>
        <w:t>该地块</w:t>
      </w:r>
      <w:r>
        <w:rPr>
          <w:rFonts w:hint="eastAsia" w:ascii="宋体" w:hAnsi="宋体" w:cs="宋体"/>
          <w:color w:val="000000" w:themeColor="text1"/>
          <w:sz w:val="28"/>
          <w:szCs w:val="28"/>
          <w14:textFill>
            <w14:solidFill>
              <w14:schemeClr w14:val="tx1"/>
            </w14:solidFill>
          </w14:textFill>
        </w:rPr>
        <w:t>组织拍卖。现将有关事项公告如下：</w:t>
      </w:r>
    </w:p>
    <w:p>
      <w:pPr>
        <w:numPr>
          <w:ilvl w:val="0"/>
          <w:numId w:val="2"/>
        </w:numPr>
        <w:snapToGrid w:val="0"/>
        <w:spacing w:line="600" w:lineRule="exac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拍卖出让地块的基本情况和规划指标要求：</w:t>
      </w:r>
    </w:p>
    <w:tbl>
      <w:tblPr>
        <w:tblStyle w:val="13"/>
        <w:tblW w:w="54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6"/>
        <w:gridCol w:w="588"/>
        <w:gridCol w:w="337"/>
        <w:gridCol w:w="487"/>
        <w:gridCol w:w="473"/>
        <w:gridCol w:w="420"/>
        <w:gridCol w:w="402"/>
        <w:gridCol w:w="470"/>
        <w:gridCol w:w="402"/>
        <w:gridCol w:w="1503"/>
        <w:gridCol w:w="2300"/>
        <w:gridCol w:w="551"/>
        <w:gridCol w:w="443"/>
        <w:gridCol w:w="507"/>
        <w:gridCol w:w="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59" w:type="pct"/>
            <w:vMerge w:val="restart"/>
            <w:tcBorders>
              <w:top w:val="single" w:color="000000" w:sz="4" w:space="0"/>
              <w:lef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序号</w:t>
            </w:r>
          </w:p>
        </w:tc>
        <w:tc>
          <w:tcPr>
            <w:tcW w:w="306"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地块</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编号</w:t>
            </w:r>
          </w:p>
        </w:tc>
        <w:tc>
          <w:tcPr>
            <w:tcW w:w="175"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土地</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位置</w:t>
            </w:r>
          </w:p>
        </w:tc>
        <w:tc>
          <w:tcPr>
            <w:tcW w:w="253"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土地出让面积</w:t>
            </w:r>
            <w:r>
              <w:rPr>
                <w:rFonts w:ascii="黑体" w:hAnsi="黑体" w:eastAsia="黑体" w:cs="宋体"/>
                <w:color w:val="000000" w:themeColor="text1"/>
                <w:sz w:val="13"/>
                <w:szCs w:val="13"/>
                <w14:textFill>
                  <w14:solidFill>
                    <w14:schemeClr w14:val="tx1"/>
                  </w14:solidFill>
                </w14:textFill>
              </w:rPr>
              <w:t>(</w:t>
            </w:r>
            <w:r>
              <w:rPr>
                <w:rFonts w:hint="eastAsia" w:ascii="黑体" w:hAnsi="黑体" w:eastAsia="黑体" w:cs="宋体"/>
                <w:color w:val="000000" w:themeColor="text1"/>
                <w:sz w:val="13"/>
                <w:szCs w:val="13"/>
                <w14:textFill>
                  <w14:solidFill>
                    <w14:schemeClr w14:val="tx1"/>
                  </w14:solidFill>
                </w14:textFill>
              </w:rPr>
              <w:t>㎡）</w:t>
            </w:r>
          </w:p>
        </w:tc>
        <w:tc>
          <w:tcPr>
            <w:tcW w:w="246"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土地</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用途</w:t>
            </w:r>
          </w:p>
        </w:tc>
        <w:tc>
          <w:tcPr>
            <w:tcW w:w="2863" w:type="pct"/>
            <w:gridSpan w:val="6"/>
            <w:tcBorders>
              <w:top w:val="single" w:color="000000" w:sz="4" w:space="0"/>
              <w:bottom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规划指标要求</w:t>
            </w:r>
          </w:p>
        </w:tc>
        <w:tc>
          <w:tcPr>
            <w:tcW w:w="286"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出让</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年限</w:t>
            </w:r>
          </w:p>
        </w:tc>
        <w:tc>
          <w:tcPr>
            <w:tcW w:w="230"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起拍价</w:t>
            </w:r>
          </w:p>
        </w:tc>
        <w:tc>
          <w:tcPr>
            <w:tcW w:w="263" w:type="pct"/>
            <w:vMerge w:val="restart"/>
            <w:tcBorders>
              <w:top w:val="single" w:color="000000" w:sz="4" w:space="0"/>
              <w:right w:val="single" w:color="000000" w:sz="4" w:space="0"/>
            </w:tcBorders>
            <w:vAlign w:val="center"/>
          </w:tcPr>
          <w:p>
            <w:pPr>
              <w:jc w:val="center"/>
              <w:rPr>
                <w:rFonts w:ascii="黑体" w:hAnsi="黑体" w:eastAsia="黑体"/>
                <w:color w:val="000000" w:themeColor="text1"/>
                <w:spacing w:val="-6"/>
                <w:sz w:val="13"/>
                <w:szCs w:val="13"/>
                <w14:textFill>
                  <w14:solidFill>
                    <w14:schemeClr w14:val="tx1"/>
                  </w14:solidFill>
                </w14:textFill>
              </w:rPr>
            </w:pPr>
            <w:r>
              <w:rPr>
                <w:rFonts w:hint="eastAsia" w:ascii="黑体" w:hAnsi="黑体" w:eastAsia="黑体" w:cs="宋体"/>
                <w:color w:val="000000" w:themeColor="text1"/>
                <w:spacing w:val="-6"/>
                <w:sz w:val="13"/>
                <w:szCs w:val="13"/>
                <w14:textFill>
                  <w14:solidFill>
                    <w14:schemeClr w14:val="tx1"/>
                  </w14:solidFill>
                </w14:textFill>
              </w:rPr>
              <w:t>增价</w:t>
            </w:r>
          </w:p>
          <w:p>
            <w:pPr>
              <w:jc w:val="center"/>
              <w:rPr>
                <w:rFonts w:ascii="黑体" w:hAnsi="黑体" w:eastAsia="黑体"/>
                <w:color w:val="000000" w:themeColor="text1"/>
                <w:spacing w:val="-32"/>
                <w:sz w:val="13"/>
                <w:szCs w:val="13"/>
                <w14:textFill>
                  <w14:solidFill>
                    <w14:schemeClr w14:val="tx1"/>
                  </w14:solidFill>
                </w14:textFill>
              </w:rPr>
            </w:pPr>
            <w:r>
              <w:rPr>
                <w:rFonts w:hint="eastAsia" w:ascii="黑体" w:hAnsi="黑体" w:eastAsia="黑体" w:cs="宋体"/>
                <w:color w:val="000000" w:themeColor="text1"/>
                <w:spacing w:val="-6"/>
                <w:sz w:val="13"/>
                <w:szCs w:val="13"/>
                <w14:textFill>
                  <w14:solidFill>
                    <w14:schemeClr w14:val="tx1"/>
                  </w14:solidFill>
                </w14:textFill>
              </w:rPr>
              <w:t>幅度</w:t>
            </w:r>
          </w:p>
        </w:tc>
        <w:tc>
          <w:tcPr>
            <w:tcW w:w="213" w:type="pct"/>
            <w:vMerge w:val="restart"/>
            <w:tcBorders>
              <w:top w:val="single" w:color="000000" w:sz="4" w:space="0"/>
              <w:right w:val="single" w:color="000000" w:sz="4" w:space="0"/>
            </w:tcBorders>
            <w:vAlign w:val="center"/>
          </w:tcPr>
          <w:p>
            <w:pPr>
              <w:jc w:val="center"/>
              <w:rPr>
                <w:rFonts w:ascii="黑体" w:hAnsi="黑体" w:eastAsia="黑体" w:cs="宋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竞买</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59" w:type="pct"/>
            <w:vMerge w:val="continue"/>
            <w:tcBorders>
              <w:top w:val="single" w:color="000000" w:sz="4" w:space="0"/>
              <w:lef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306"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175"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253"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246"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218" w:type="pct"/>
            <w:tcBorders>
              <w:bottom w:val="single" w:color="000000" w:sz="4" w:space="0"/>
              <w:right w:val="single" w:color="000000" w:sz="4" w:space="0"/>
            </w:tcBorders>
            <w:vAlign w:val="center"/>
          </w:tcPr>
          <w:p>
            <w:pPr>
              <w:snapToGrid w:val="0"/>
              <w:spacing w:line="289" w:lineRule="atLeast"/>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容积率</w:t>
            </w:r>
          </w:p>
        </w:tc>
        <w:tc>
          <w:tcPr>
            <w:tcW w:w="209"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建筑</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密度</w:t>
            </w:r>
          </w:p>
        </w:tc>
        <w:tc>
          <w:tcPr>
            <w:tcW w:w="245"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绿地率</w:t>
            </w:r>
          </w:p>
        </w:tc>
        <w:tc>
          <w:tcPr>
            <w:tcW w:w="209" w:type="pct"/>
            <w:tcBorders>
              <w:bottom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建筑</w:t>
            </w:r>
          </w:p>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限高</w:t>
            </w:r>
          </w:p>
        </w:tc>
        <w:tc>
          <w:tcPr>
            <w:tcW w:w="782" w:type="pct"/>
            <w:tcBorders>
              <w:bottom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olor w:val="000000" w:themeColor="text1"/>
                <w:sz w:val="13"/>
                <w:szCs w:val="13"/>
                <w14:textFill>
                  <w14:solidFill>
                    <w14:schemeClr w14:val="tx1"/>
                  </w14:solidFill>
                </w14:textFill>
              </w:rPr>
              <w:t>配套设施</w:t>
            </w:r>
          </w:p>
        </w:tc>
        <w:tc>
          <w:tcPr>
            <w:tcW w:w="1198"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14:textFill>
                  <w14:solidFill>
                    <w14:schemeClr w14:val="tx1"/>
                  </w14:solidFill>
                </w14:textFill>
              </w:rPr>
            </w:pPr>
            <w:r>
              <w:rPr>
                <w:rFonts w:hint="eastAsia" w:ascii="黑体" w:hAnsi="黑体" w:eastAsia="黑体" w:cs="宋体"/>
                <w:color w:val="000000" w:themeColor="text1"/>
                <w:sz w:val="13"/>
                <w:szCs w:val="13"/>
                <w14:textFill>
                  <w14:solidFill>
                    <w14:schemeClr w14:val="tx1"/>
                  </w14:solidFill>
                </w14:textFill>
              </w:rPr>
              <w:t>其他规划指标</w:t>
            </w:r>
          </w:p>
        </w:tc>
        <w:tc>
          <w:tcPr>
            <w:tcW w:w="286"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230"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c>
          <w:tcPr>
            <w:tcW w:w="263"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pacing w:val="-32"/>
                <w:sz w:val="13"/>
                <w:szCs w:val="13"/>
                <w14:textFill>
                  <w14:solidFill>
                    <w14:schemeClr w14:val="tx1"/>
                  </w14:solidFill>
                </w14:textFill>
              </w:rPr>
            </w:pPr>
          </w:p>
        </w:tc>
        <w:tc>
          <w:tcPr>
            <w:tcW w:w="213"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59" w:type="pct"/>
            <w:tcBorders>
              <w:left w:val="single" w:color="000000" w:sz="4" w:space="0"/>
            </w:tcBorders>
            <w:vAlign w:val="center"/>
          </w:tcPr>
          <w:p>
            <w:pPr>
              <w:jc w:val="center"/>
              <w:rPr>
                <w:rFonts w:ascii="黑体" w:hAnsi="黑体" w:eastAsia="黑体" w:cs="宋体"/>
                <w:color w:val="000000" w:themeColor="text1"/>
                <w:sz w:val="13"/>
                <w:szCs w:val="13"/>
                <w14:textFill>
                  <w14:solidFill>
                    <w14:schemeClr w14:val="tx1"/>
                  </w14:solidFill>
                </w14:textFill>
              </w:rPr>
            </w:pPr>
            <w:r>
              <w:rPr>
                <w:rFonts w:ascii="黑体" w:hAnsi="黑体" w:eastAsia="黑体" w:cs="宋体"/>
                <w:color w:val="000000" w:themeColor="text1"/>
                <w:sz w:val="13"/>
                <w:szCs w:val="13"/>
                <w14:textFill>
                  <w14:solidFill>
                    <w14:schemeClr w14:val="tx1"/>
                  </w14:solidFill>
                </w14:textFill>
              </w:rPr>
              <w:t>1</w:t>
            </w:r>
          </w:p>
        </w:tc>
        <w:tc>
          <w:tcPr>
            <w:tcW w:w="306"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 xml:space="preserve">马踏洞片区中心服务区 </w:t>
            </w:r>
          </w:p>
          <w:p>
            <w:pPr>
              <w:snapToGrid w:val="0"/>
              <w:spacing w:line="289" w:lineRule="atLeast"/>
              <w:jc w:val="center"/>
              <w:rPr>
                <w:rFonts w:hint="default" w:ascii="黑体" w:hAnsi="黑体" w:eastAsia="黑体" w:cs="宋体"/>
                <w:color w:val="000000" w:themeColor="text1"/>
                <w:sz w:val="13"/>
                <w:szCs w:val="13"/>
                <w:lang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04-04a 地块</w:t>
            </w:r>
          </w:p>
          <w:p>
            <w:pPr>
              <w:snapToGrid w:val="0"/>
              <w:spacing w:line="289" w:lineRule="atLeast"/>
              <w:jc w:val="center"/>
              <w:rPr>
                <w:rFonts w:hint="eastAsia" w:ascii="黑体" w:hAnsi="黑体" w:eastAsia="黑体" w:cs="宋体"/>
                <w:color w:val="000000" w:themeColor="text1"/>
                <w:sz w:val="13"/>
                <w:szCs w:val="13"/>
                <w:lang w:eastAsia="zh-CN"/>
                <w14:textFill>
                  <w14:solidFill>
                    <w14:schemeClr w14:val="tx1"/>
                  </w14:solidFill>
                </w14:textFill>
              </w:rPr>
            </w:pPr>
          </w:p>
        </w:tc>
        <w:tc>
          <w:tcPr>
            <w:tcW w:w="175"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 xml:space="preserve">凤凰大道西延线南侧 </w:t>
            </w:r>
          </w:p>
          <w:p>
            <w:pPr>
              <w:snapToGrid w:val="0"/>
              <w:spacing w:line="289" w:lineRule="atLeast"/>
              <w:jc w:val="center"/>
              <w:rPr>
                <w:rFonts w:hint="eastAsia" w:ascii="黑体" w:hAnsi="黑体" w:eastAsia="黑体" w:cs="宋体"/>
                <w:color w:val="000000" w:themeColor="text1"/>
                <w:sz w:val="13"/>
                <w:szCs w:val="13"/>
                <w:lang w:eastAsia="zh-CN"/>
                <w14:textFill>
                  <w14:solidFill>
                    <w14:schemeClr w14:val="tx1"/>
                  </w14:solidFill>
                </w14:textFill>
              </w:rPr>
            </w:pPr>
          </w:p>
        </w:tc>
        <w:tc>
          <w:tcPr>
            <w:tcW w:w="253"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127992</w:t>
            </w:r>
            <w:r>
              <w:rPr>
                <w:rFonts w:hint="eastAsia" w:ascii="黑体" w:hAnsi="黑体" w:eastAsia="黑体" w:cs="宋体"/>
                <w:color w:val="000000" w:themeColor="text1"/>
                <w:sz w:val="13"/>
                <w:szCs w:val="13"/>
                <w:lang w:eastAsia="zh-CN"/>
                <w14:textFill>
                  <w14:solidFill>
                    <w14:schemeClr w14:val="tx1"/>
                  </w14:solidFill>
                </w14:textFill>
              </w:rPr>
              <w:t>平方米</w:t>
            </w:r>
            <w:r>
              <w:rPr>
                <w:rFonts w:hint="eastAsia" w:ascii="黑体" w:hAnsi="黑体" w:eastAsia="黑体" w:cs="宋体"/>
                <w:color w:val="000000" w:themeColor="text1"/>
                <w:sz w:val="13"/>
                <w:szCs w:val="13"/>
                <w:lang w:val="en-US" w:eastAsia="zh-CN"/>
                <w14:textFill>
                  <w14:solidFill>
                    <w14:schemeClr w14:val="tx1"/>
                  </w14:solidFill>
                </w14:textFill>
              </w:rPr>
              <w:t>(191.99亩）</w:t>
            </w:r>
          </w:p>
        </w:tc>
        <w:tc>
          <w:tcPr>
            <w:tcW w:w="246"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 xml:space="preserve"> </w:t>
            </w:r>
          </w:p>
          <w:p>
            <w:pPr>
              <w:snapToGrid w:val="0"/>
              <w:spacing w:line="289" w:lineRule="atLeast"/>
              <w:jc w:val="both"/>
              <w:rPr>
                <w:rFonts w:hint="default" w:ascii="黑体" w:hAnsi="黑体" w:eastAsia="黑体" w:cs="宋体"/>
                <w:color w:val="000000" w:themeColor="text1"/>
                <w:sz w:val="13"/>
                <w:szCs w:val="13"/>
                <w:lang w:eastAsia="zh-CN"/>
                <w14:textFill>
                  <w14:solidFill>
                    <w14:schemeClr w14:val="tx1"/>
                  </w14:solidFill>
                </w14:textFill>
              </w:rPr>
            </w:pPr>
            <w:r>
              <w:rPr>
                <w:rFonts w:hint="eastAsia" w:ascii="黑体" w:hAnsi="黑体" w:eastAsia="黑体" w:cs="宋体"/>
                <w:color w:val="000000" w:themeColor="text1"/>
                <w:sz w:val="13"/>
                <w:szCs w:val="13"/>
                <w:lang w:val="en-US" w:eastAsia="zh-CN"/>
                <w14:textFill>
                  <w14:solidFill>
                    <w14:schemeClr w14:val="tx1"/>
                  </w14:solidFill>
                </w14:textFill>
              </w:rPr>
              <w:t>住宅用地（兼容商业用地）</w:t>
            </w:r>
            <w:r>
              <w:rPr>
                <w:rFonts w:hint="default" w:ascii="黑体" w:hAnsi="黑体" w:eastAsia="黑体" w:cs="宋体"/>
                <w:color w:val="000000" w:themeColor="text1"/>
                <w:sz w:val="13"/>
                <w:szCs w:val="13"/>
                <w:lang w:val="en-US" w:eastAsia="zh-CN"/>
                <w14:textFill>
                  <w14:solidFill>
                    <w14:schemeClr w14:val="tx1"/>
                  </w14:solidFill>
                </w14:textFill>
              </w:rPr>
              <w:t xml:space="preserve"> </w:t>
            </w:r>
          </w:p>
          <w:p>
            <w:pPr>
              <w:snapToGrid w:val="0"/>
              <w:spacing w:line="289" w:lineRule="atLeast"/>
              <w:jc w:val="center"/>
              <w:rPr>
                <w:rFonts w:hint="eastAsia" w:ascii="黑体" w:hAnsi="黑体" w:eastAsia="黑体" w:cs="宋体"/>
                <w:color w:val="000000" w:themeColor="text1"/>
                <w:sz w:val="13"/>
                <w:szCs w:val="13"/>
                <w:lang w:eastAsia="zh-CN"/>
                <w14:textFill>
                  <w14:solidFill>
                    <w14:schemeClr w14:val="tx1"/>
                  </w14:solidFill>
                </w14:textFill>
              </w:rPr>
            </w:pPr>
          </w:p>
        </w:tc>
        <w:tc>
          <w:tcPr>
            <w:tcW w:w="218"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F≤3.5</w:t>
            </w:r>
          </w:p>
          <w:p>
            <w:pPr>
              <w:snapToGrid w:val="0"/>
              <w:spacing w:line="289" w:lineRule="atLeast"/>
              <w:jc w:val="center"/>
              <w:rPr>
                <w:rFonts w:hint="eastAsia" w:ascii="黑体" w:hAnsi="黑体" w:eastAsia="黑体" w:cs="宋体"/>
                <w:color w:val="000000" w:themeColor="text1"/>
                <w:sz w:val="13"/>
                <w:szCs w:val="13"/>
                <w:lang w:eastAsia="zh-CN"/>
                <w14:textFill>
                  <w14:solidFill>
                    <w14:schemeClr w14:val="tx1"/>
                  </w14:solidFill>
                </w14:textFill>
              </w:rPr>
            </w:pPr>
          </w:p>
        </w:tc>
        <w:tc>
          <w:tcPr>
            <w:tcW w:w="209" w:type="pct"/>
            <w:vAlign w:val="center"/>
          </w:tcPr>
          <w:p>
            <w:pPr>
              <w:snapToGrid w:val="0"/>
              <w:spacing w:line="289" w:lineRule="atLeast"/>
              <w:jc w:val="center"/>
              <w:rPr>
                <w:rFonts w:hint="default" w:ascii="黑体" w:hAnsi="黑体" w:eastAsia="黑体" w:cs="宋体"/>
                <w:color w:val="000000" w:themeColor="text1"/>
                <w:sz w:val="13"/>
                <w:szCs w:val="13"/>
                <w:lang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 xml:space="preserve">B≤30% </w:t>
            </w:r>
          </w:p>
          <w:p>
            <w:pPr>
              <w:snapToGrid w:val="0"/>
              <w:spacing w:line="289" w:lineRule="atLeast"/>
              <w:jc w:val="center"/>
              <w:rPr>
                <w:rFonts w:hint="eastAsia" w:ascii="黑体" w:hAnsi="黑体" w:eastAsia="黑体" w:cs="宋体"/>
                <w:color w:val="000000" w:themeColor="text1"/>
                <w:sz w:val="13"/>
                <w:szCs w:val="13"/>
                <w:lang w:eastAsia="zh-CN"/>
                <w14:textFill>
                  <w14:solidFill>
                    <w14:schemeClr w14:val="tx1"/>
                  </w14:solidFill>
                </w14:textFill>
              </w:rPr>
            </w:pPr>
          </w:p>
        </w:tc>
        <w:tc>
          <w:tcPr>
            <w:tcW w:w="245" w:type="pct"/>
            <w:vAlign w:val="center"/>
          </w:tcPr>
          <w:p>
            <w:pPr>
              <w:snapToGrid w:val="0"/>
              <w:spacing w:line="289" w:lineRule="atLeast"/>
              <w:jc w:val="center"/>
              <w:rPr>
                <w:rFonts w:hint="default" w:ascii="黑体" w:hAnsi="黑体" w:eastAsia="黑体" w:cs="宋体"/>
                <w:color w:val="000000" w:themeColor="text1"/>
                <w:sz w:val="13"/>
                <w:szCs w:val="13"/>
                <w:lang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 xml:space="preserve">G≥30% </w:t>
            </w:r>
          </w:p>
          <w:p>
            <w:pPr>
              <w:snapToGrid w:val="0"/>
              <w:spacing w:line="289" w:lineRule="atLeast"/>
              <w:jc w:val="center"/>
              <w:rPr>
                <w:rFonts w:hint="eastAsia" w:ascii="黑体" w:hAnsi="黑体" w:eastAsia="黑体" w:cs="宋体"/>
                <w:color w:val="000000" w:themeColor="text1"/>
                <w:sz w:val="13"/>
                <w:szCs w:val="13"/>
                <w:lang w:eastAsia="zh-CN"/>
                <w14:textFill>
                  <w14:solidFill>
                    <w14:schemeClr w14:val="tx1"/>
                  </w14:solidFill>
                </w14:textFill>
              </w:rPr>
            </w:pPr>
          </w:p>
        </w:tc>
        <w:tc>
          <w:tcPr>
            <w:tcW w:w="209" w:type="pct"/>
            <w:vAlign w:val="center"/>
          </w:tcPr>
          <w:p>
            <w:pPr>
              <w:keepNext w:val="0"/>
              <w:keepLines w:val="0"/>
              <w:widowControl/>
              <w:suppressLineNumbers w:val="0"/>
              <w:jc w:val="left"/>
            </w:pPr>
            <w:r>
              <w:rPr>
                <w:rFonts w:hint="default" w:ascii="黑体" w:hAnsi="黑体" w:eastAsia="黑体" w:cs="宋体"/>
                <w:color w:val="000000" w:themeColor="text1"/>
                <w:sz w:val="13"/>
                <w:szCs w:val="13"/>
                <w:lang w:val="en-US" w:eastAsia="zh-CN"/>
                <w14:textFill>
                  <w14:solidFill>
                    <w14:schemeClr w14:val="tx1"/>
                  </w14:solidFill>
                </w14:textFill>
              </w:rPr>
              <w:t>HL≤100 米</w:t>
            </w:r>
            <w:r>
              <w:rPr>
                <w:rFonts w:ascii="仿宋_GB2312" w:hAnsi="宋体" w:eastAsia="仿宋_GB2312" w:cs="仿宋_GB2312"/>
                <w:color w:val="000000"/>
                <w:kern w:val="0"/>
                <w:sz w:val="22"/>
                <w:szCs w:val="22"/>
                <w:lang w:val="en-US" w:eastAsia="zh-CN" w:bidi="ar"/>
              </w:rPr>
              <w:t xml:space="preserve"> </w:t>
            </w:r>
          </w:p>
          <w:p>
            <w:pPr>
              <w:snapToGrid w:val="0"/>
              <w:spacing w:line="289" w:lineRule="atLeast"/>
              <w:jc w:val="center"/>
              <w:rPr>
                <w:rFonts w:hint="eastAsia" w:ascii="黑体" w:hAnsi="黑体" w:eastAsia="黑体" w:cs="宋体"/>
                <w:color w:val="000000" w:themeColor="text1"/>
                <w:sz w:val="13"/>
                <w:szCs w:val="13"/>
                <w14:textFill>
                  <w14:solidFill>
                    <w14:schemeClr w14:val="tx1"/>
                  </w14:solidFill>
                </w14:textFill>
              </w:rPr>
            </w:pPr>
          </w:p>
        </w:tc>
        <w:tc>
          <w:tcPr>
            <w:tcW w:w="782" w:type="pct"/>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按照总计容住宅建筑面积 3‰的比例无偿配建一个或多个社区</w:t>
            </w:r>
            <w:r>
              <w:rPr>
                <w:rFonts w:hint="eastAsia" w:ascii="黑体" w:hAnsi="黑体" w:eastAsia="黑体" w:cs="宋体"/>
                <w:color w:val="000000" w:themeColor="text1"/>
                <w:sz w:val="13"/>
                <w:szCs w:val="13"/>
                <w:lang w:val="en-US" w:eastAsia="zh-CN"/>
                <w14:textFill>
                  <w14:solidFill>
                    <w14:schemeClr w14:val="tx1"/>
                  </w14:solidFill>
                </w14:textFill>
              </w:rPr>
              <w:t>综</w:t>
            </w:r>
            <w:r>
              <w:rPr>
                <w:rFonts w:hint="default" w:ascii="黑体" w:hAnsi="黑体" w:eastAsia="黑体" w:cs="宋体"/>
                <w:color w:val="000000" w:themeColor="text1"/>
                <w:sz w:val="13"/>
                <w:szCs w:val="13"/>
                <w:lang w:val="en-US" w:eastAsia="zh-CN"/>
                <w14:textFill>
                  <w14:solidFill>
                    <w14:schemeClr w14:val="tx1"/>
                  </w14:solidFill>
                </w14:textFill>
              </w:rPr>
              <w:t>合服务设施，社区综合服务设施的建筑面积不计入项目容积率</w:t>
            </w:r>
            <w:r>
              <w:rPr>
                <w:rFonts w:hint="eastAsia" w:ascii="黑体" w:hAnsi="黑体" w:eastAsia="黑体" w:cs="宋体"/>
                <w:color w:val="000000" w:themeColor="text1"/>
                <w:sz w:val="13"/>
                <w:szCs w:val="13"/>
                <w:lang w:val="en-US" w:eastAsia="zh-CN"/>
                <w14:textFill>
                  <w14:solidFill>
                    <w14:schemeClr w14:val="tx1"/>
                  </w14:solidFill>
                </w14:textFill>
              </w:rPr>
              <w:t>，</w:t>
            </w:r>
            <w:r>
              <w:rPr>
                <w:rFonts w:hint="default" w:ascii="黑体" w:hAnsi="黑体" w:eastAsia="黑体" w:cs="宋体"/>
                <w:color w:val="000000" w:themeColor="text1"/>
                <w:sz w:val="13"/>
                <w:szCs w:val="13"/>
                <w:lang w:val="en-US" w:eastAsia="zh-CN"/>
                <w14:textFill>
                  <w14:solidFill>
                    <w14:schemeClr w14:val="tx1"/>
                  </w14:solidFill>
                </w14:textFill>
              </w:rPr>
              <w:t>其不动产权和使用权归地方政府。</w:t>
            </w:r>
          </w:p>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p>
        </w:tc>
        <w:tc>
          <w:tcPr>
            <w:tcW w:w="1198"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eastAsia="zh-CN"/>
                <w14:textFill>
                  <w14:solidFill>
                    <w14:schemeClr w14:val="tx1"/>
                  </w14:solidFill>
                </w14:textFill>
              </w:rPr>
            </w:pPr>
            <w:r>
              <w:rPr>
                <w:rFonts w:hint="eastAsia" w:ascii="黑体" w:hAnsi="黑体" w:eastAsia="黑体" w:cs="宋体"/>
                <w:color w:val="000000" w:themeColor="text1"/>
                <w:sz w:val="13"/>
                <w:szCs w:val="13"/>
                <w:lang w:val="en-US" w:eastAsia="zh-CN"/>
                <w14:textFill>
                  <w14:solidFill>
                    <w14:schemeClr w14:val="tx1"/>
                  </w14:solidFill>
                </w14:textFill>
              </w:rPr>
              <w:t>详见《</w:t>
            </w:r>
            <w:r>
              <w:rPr>
                <w:rFonts w:hint="default" w:ascii="黑体" w:hAnsi="黑体" w:eastAsia="黑体" w:cs="宋体"/>
                <w:color w:val="000000" w:themeColor="text1"/>
                <w:sz w:val="13"/>
                <w:szCs w:val="13"/>
                <w:lang w:val="en-US" w:eastAsia="zh-CN"/>
                <w14:textFill>
                  <w14:solidFill>
                    <w14:schemeClr w14:val="tx1"/>
                  </w14:solidFill>
                </w14:textFill>
              </w:rPr>
              <w:t xml:space="preserve">马踏洞片区中心服务区 </w:t>
            </w:r>
          </w:p>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04-04a 地块</w:t>
            </w:r>
            <w:r>
              <w:rPr>
                <w:rFonts w:hint="eastAsia" w:ascii="黑体" w:hAnsi="黑体" w:eastAsia="黑体" w:cs="宋体"/>
                <w:color w:val="000000" w:themeColor="text1"/>
                <w:sz w:val="13"/>
                <w:szCs w:val="13"/>
                <w:lang w:val="en-US" w:eastAsia="zh-CN"/>
                <w14:textFill>
                  <w14:solidFill>
                    <w14:schemeClr w14:val="tx1"/>
                  </w14:solidFill>
                </w14:textFill>
              </w:rPr>
              <w:t>规划条件》</w:t>
            </w:r>
            <w:r>
              <w:rPr>
                <w:rFonts w:hint="default" w:ascii="黑体" w:hAnsi="黑体" w:eastAsia="黑体" w:cs="宋体"/>
                <w:color w:val="000000" w:themeColor="text1"/>
                <w:sz w:val="13"/>
                <w:szCs w:val="13"/>
                <w:lang w:val="en-US" w:eastAsia="zh-CN"/>
                <w14:textFill>
                  <w14:solidFill>
                    <w14:schemeClr w14:val="tx1"/>
                  </w14:solidFill>
                </w14:textFill>
              </w:rPr>
              <w:t xml:space="preserve">。 </w:t>
            </w:r>
          </w:p>
          <w:p>
            <w:pPr>
              <w:snapToGrid w:val="0"/>
              <w:spacing w:line="289" w:lineRule="atLeast"/>
              <w:jc w:val="center"/>
              <w:rPr>
                <w:rFonts w:hint="eastAsia" w:ascii="黑体" w:hAnsi="黑体" w:eastAsia="黑体" w:cs="宋体"/>
                <w:color w:val="000000" w:themeColor="text1"/>
                <w:sz w:val="13"/>
                <w:szCs w:val="13"/>
                <w:lang w:val="en-US" w:eastAsia="zh-CN"/>
                <w14:textFill>
                  <w14:solidFill>
                    <w14:schemeClr w14:val="tx1"/>
                  </w14:solidFill>
                </w14:textFill>
              </w:rPr>
            </w:pPr>
          </w:p>
        </w:tc>
        <w:tc>
          <w:tcPr>
            <w:tcW w:w="286"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eastAsia" w:ascii="黑体" w:hAnsi="黑体" w:eastAsia="黑体" w:cs="宋体"/>
                <w:color w:val="000000" w:themeColor="text1"/>
                <w:sz w:val="13"/>
                <w:szCs w:val="13"/>
                <w:lang w:val="en-US" w:eastAsia="zh-CN"/>
                <w14:textFill>
                  <w14:solidFill>
                    <w14:schemeClr w14:val="tx1"/>
                  </w14:solidFill>
                </w14:textFill>
              </w:rPr>
              <w:t>住宅用地70年，商业用地40年</w:t>
            </w:r>
          </w:p>
        </w:tc>
        <w:tc>
          <w:tcPr>
            <w:tcW w:w="230"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 xml:space="preserve">478 万元/亩 </w:t>
            </w:r>
          </w:p>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p>
        </w:tc>
        <w:tc>
          <w:tcPr>
            <w:tcW w:w="263"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 xml:space="preserve">5 万元/亩或 5 万元/亩 </w:t>
            </w:r>
          </w:p>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的整数倍</w:t>
            </w:r>
          </w:p>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p>
        </w:tc>
        <w:tc>
          <w:tcPr>
            <w:tcW w:w="213"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eastAsia" w:ascii="黑体" w:hAnsi="黑体" w:eastAsia="黑体" w:cs="宋体"/>
                <w:color w:val="000000" w:themeColor="text1"/>
                <w:sz w:val="13"/>
                <w:szCs w:val="13"/>
                <w:lang w:val="en-US" w:eastAsia="zh-CN"/>
                <w14:textFill>
                  <w14:solidFill>
                    <w14:schemeClr w14:val="tx1"/>
                  </w14:solidFill>
                </w14:textFill>
              </w:rPr>
              <w:t>18400万元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59" w:type="pct"/>
            <w:tcBorders>
              <w:left w:val="single" w:color="000000" w:sz="4" w:space="0"/>
            </w:tcBorders>
            <w:vAlign w:val="center"/>
          </w:tcPr>
          <w:p>
            <w:pPr>
              <w:jc w:val="center"/>
              <w:rPr>
                <w:rFonts w:hint="eastAsia" w:ascii="黑体" w:hAnsi="黑体" w:eastAsia="黑体" w:cs="宋体"/>
                <w:color w:val="000000" w:themeColor="text1"/>
                <w:sz w:val="13"/>
                <w:szCs w:val="13"/>
                <w:lang w:val="en-US" w:eastAsia="zh-CN"/>
                <w14:textFill>
                  <w14:solidFill>
                    <w14:schemeClr w14:val="tx1"/>
                  </w14:solidFill>
                </w14:textFill>
              </w:rPr>
            </w:pPr>
            <w:r>
              <w:rPr>
                <w:rFonts w:hint="eastAsia" w:ascii="黑体" w:hAnsi="黑体" w:eastAsia="黑体" w:cs="宋体"/>
                <w:color w:val="000000" w:themeColor="text1"/>
                <w:sz w:val="13"/>
                <w:szCs w:val="13"/>
                <w:lang w:val="en-US" w:eastAsia="zh-CN"/>
                <w14:textFill>
                  <w14:solidFill>
                    <w14:schemeClr w14:val="tx1"/>
                  </w14:solidFill>
                </w14:textFill>
              </w:rPr>
              <w:t>2</w:t>
            </w:r>
          </w:p>
        </w:tc>
        <w:tc>
          <w:tcPr>
            <w:tcW w:w="306" w:type="pct"/>
            <w:tcBorders>
              <w:right w:val="single" w:color="000000" w:sz="4" w:space="0"/>
            </w:tcBorders>
            <w:vAlign w:val="center"/>
          </w:tcPr>
          <w:p>
            <w:pPr>
              <w:snapToGrid w:val="0"/>
              <w:spacing w:line="289" w:lineRule="atLeast"/>
              <w:jc w:val="center"/>
              <w:rPr>
                <w:rFonts w:hint="eastAsia" w:ascii="黑体" w:hAnsi="黑体" w:eastAsia="黑体" w:cs="宋体"/>
                <w:color w:val="000000" w:themeColor="text1"/>
                <w:sz w:val="13"/>
                <w:szCs w:val="13"/>
                <w:lang w:val="en-US" w:eastAsia="zh-CN"/>
                <w14:textFill>
                  <w14:solidFill>
                    <w14:schemeClr w14:val="tx1"/>
                  </w14:solidFill>
                </w14:textFill>
              </w:rPr>
            </w:pPr>
            <w:r>
              <w:rPr>
                <w:rFonts w:hint="eastAsia" w:ascii="黑体" w:hAnsi="黑体" w:eastAsia="黑体" w:cs="宋体"/>
                <w:color w:val="000000" w:themeColor="text1"/>
                <w:sz w:val="13"/>
                <w:szCs w:val="13"/>
                <w:lang w:val="en-US" w:eastAsia="zh-CN"/>
                <w14:textFill>
                  <w14:solidFill>
                    <w14:schemeClr w14:val="tx1"/>
                  </w14:solidFill>
                </w14:textFill>
              </w:rPr>
              <w:t>马房坝—金山片区IIB1-1-c地块</w:t>
            </w:r>
          </w:p>
        </w:tc>
        <w:tc>
          <w:tcPr>
            <w:tcW w:w="175"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 xml:space="preserve">塔石路东侧（临运动公园二期） </w:t>
            </w:r>
          </w:p>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 xml:space="preserve"> </w:t>
            </w:r>
          </w:p>
          <w:p>
            <w:pPr>
              <w:snapToGrid w:val="0"/>
              <w:spacing w:line="289" w:lineRule="atLeast"/>
              <w:jc w:val="center"/>
              <w:rPr>
                <w:rFonts w:hint="eastAsia" w:ascii="黑体" w:hAnsi="黑体" w:eastAsia="黑体" w:cs="宋体"/>
                <w:color w:val="000000" w:themeColor="text1"/>
                <w:sz w:val="13"/>
                <w:szCs w:val="13"/>
                <w:lang w:val="en-US" w:eastAsia="zh-CN"/>
                <w14:textFill>
                  <w14:solidFill>
                    <w14:schemeClr w14:val="tx1"/>
                  </w14:solidFill>
                </w14:textFill>
              </w:rPr>
            </w:pPr>
          </w:p>
        </w:tc>
        <w:tc>
          <w:tcPr>
            <w:tcW w:w="253"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3862</w:t>
            </w:r>
            <w:r>
              <w:rPr>
                <w:rFonts w:hint="eastAsia" w:ascii="黑体" w:hAnsi="黑体" w:eastAsia="黑体" w:cs="宋体"/>
                <w:color w:val="000000" w:themeColor="text1"/>
                <w:sz w:val="13"/>
                <w:szCs w:val="13"/>
                <w:lang w:val="en-US" w:eastAsia="zh-CN"/>
                <w14:textFill>
                  <w14:solidFill>
                    <w14:schemeClr w14:val="tx1"/>
                  </w14:solidFill>
                </w14:textFill>
              </w:rPr>
              <w:t>平方米(</w:t>
            </w:r>
            <w:r>
              <w:rPr>
                <w:rFonts w:hint="default" w:ascii="黑体" w:hAnsi="黑体" w:eastAsia="黑体" w:cs="宋体"/>
                <w:color w:val="000000" w:themeColor="text1"/>
                <w:sz w:val="13"/>
                <w:szCs w:val="13"/>
                <w:lang w:val="en-US" w:eastAsia="zh-CN"/>
                <w14:textFill>
                  <w14:solidFill>
                    <w14:schemeClr w14:val="tx1"/>
                  </w14:solidFill>
                </w14:textFill>
              </w:rPr>
              <w:t>5.79</w:t>
            </w:r>
            <w:r>
              <w:rPr>
                <w:rFonts w:hint="eastAsia" w:ascii="黑体" w:hAnsi="黑体" w:eastAsia="黑体" w:cs="宋体"/>
                <w:color w:val="000000" w:themeColor="text1"/>
                <w:sz w:val="13"/>
                <w:szCs w:val="13"/>
                <w:lang w:val="en-US" w:eastAsia="zh-CN"/>
                <w14:textFill>
                  <w14:solidFill>
                    <w14:schemeClr w14:val="tx1"/>
                  </w14:solidFill>
                </w14:textFill>
              </w:rPr>
              <w:t>亩）</w:t>
            </w:r>
          </w:p>
        </w:tc>
        <w:tc>
          <w:tcPr>
            <w:tcW w:w="246"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eastAsia" w:ascii="黑体" w:hAnsi="黑体" w:eastAsia="黑体" w:cs="宋体"/>
                <w:color w:val="000000" w:themeColor="text1"/>
                <w:sz w:val="13"/>
                <w:szCs w:val="13"/>
                <w:lang w:val="en-US" w:eastAsia="zh-CN"/>
                <w14:textFill>
                  <w14:solidFill>
                    <w14:schemeClr w14:val="tx1"/>
                  </w14:solidFill>
                </w14:textFill>
              </w:rPr>
              <w:t>商业用地</w:t>
            </w:r>
            <w:r>
              <w:rPr>
                <w:rFonts w:hint="default" w:ascii="黑体" w:hAnsi="黑体" w:eastAsia="黑体" w:cs="宋体"/>
                <w:color w:val="000000" w:themeColor="text1"/>
                <w:sz w:val="13"/>
                <w:szCs w:val="13"/>
                <w:lang w:val="en-US" w:eastAsia="zh-CN"/>
                <w14:textFill>
                  <w14:solidFill>
                    <w14:schemeClr w14:val="tx1"/>
                  </w14:solidFill>
                </w14:textFill>
              </w:rPr>
              <w:t xml:space="preserve"> </w:t>
            </w:r>
            <w:r>
              <w:rPr>
                <w:rFonts w:hint="eastAsia" w:ascii="黑体" w:hAnsi="黑体" w:eastAsia="黑体" w:cs="宋体"/>
                <w:color w:val="000000" w:themeColor="text1"/>
                <w:sz w:val="13"/>
                <w:szCs w:val="13"/>
                <w:lang w:val="en-US" w:eastAsia="zh-CN"/>
                <w14:textFill>
                  <w14:solidFill>
                    <w14:schemeClr w14:val="tx1"/>
                  </w14:solidFill>
                </w14:textFill>
              </w:rPr>
              <w:t>（加油站用地）</w:t>
            </w:r>
          </w:p>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 xml:space="preserve"> </w:t>
            </w:r>
          </w:p>
          <w:p>
            <w:pPr>
              <w:snapToGrid w:val="0"/>
              <w:spacing w:line="289" w:lineRule="atLeast"/>
              <w:jc w:val="center"/>
              <w:rPr>
                <w:rFonts w:hint="eastAsia" w:ascii="黑体" w:hAnsi="黑体" w:eastAsia="黑体" w:cs="宋体"/>
                <w:color w:val="000000" w:themeColor="text1"/>
                <w:sz w:val="13"/>
                <w:szCs w:val="13"/>
                <w:lang w:val="en-US" w:eastAsia="zh-CN"/>
                <w14:textFill>
                  <w14:solidFill>
                    <w14:schemeClr w14:val="tx1"/>
                  </w14:solidFill>
                </w14:textFill>
              </w:rPr>
            </w:pPr>
          </w:p>
        </w:tc>
        <w:tc>
          <w:tcPr>
            <w:tcW w:w="218"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 xml:space="preserve">F≤0.5 </w:t>
            </w:r>
          </w:p>
          <w:p>
            <w:pPr>
              <w:snapToGrid w:val="0"/>
              <w:spacing w:line="289" w:lineRule="atLeast"/>
              <w:jc w:val="center"/>
              <w:rPr>
                <w:rFonts w:hint="eastAsia" w:ascii="黑体" w:hAnsi="黑体" w:eastAsia="黑体" w:cs="宋体"/>
                <w:color w:val="000000" w:themeColor="text1"/>
                <w:sz w:val="13"/>
                <w:szCs w:val="13"/>
                <w:lang w:val="en-US" w:eastAsia="zh-CN"/>
                <w14:textFill>
                  <w14:solidFill>
                    <w14:schemeClr w14:val="tx1"/>
                  </w14:solidFill>
                </w14:textFill>
              </w:rPr>
            </w:pPr>
          </w:p>
        </w:tc>
        <w:tc>
          <w:tcPr>
            <w:tcW w:w="209" w:type="pct"/>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以最终审定方案为准</w:t>
            </w:r>
          </w:p>
          <w:p>
            <w:pPr>
              <w:snapToGrid w:val="0"/>
              <w:spacing w:line="289" w:lineRule="atLeast"/>
              <w:jc w:val="center"/>
              <w:rPr>
                <w:rFonts w:hint="eastAsia" w:ascii="黑体" w:hAnsi="黑体" w:eastAsia="黑体" w:cs="宋体"/>
                <w:color w:val="000000" w:themeColor="text1"/>
                <w:sz w:val="13"/>
                <w:szCs w:val="13"/>
                <w:lang w:val="en-US" w:eastAsia="zh-CN"/>
                <w14:textFill>
                  <w14:solidFill>
                    <w14:schemeClr w14:val="tx1"/>
                  </w14:solidFill>
                </w14:textFill>
              </w:rPr>
            </w:pPr>
          </w:p>
        </w:tc>
        <w:tc>
          <w:tcPr>
            <w:tcW w:w="245" w:type="pct"/>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以最终审定方案为准</w:t>
            </w:r>
          </w:p>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 xml:space="preserve"> </w:t>
            </w:r>
          </w:p>
          <w:p>
            <w:pPr>
              <w:snapToGrid w:val="0"/>
              <w:spacing w:line="289" w:lineRule="atLeast"/>
              <w:jc w:val="center"/>
              <w:rPr>
                <w:rFonts w:hint="eastAsia" w:ascii="黑体" w:hAnsi="黑体" w:eastAsia="黑体" w:cs="宋体"/>
                <w:color w:val="000000" w:themeColor="text1"/>
                <w:sz w:val="13"/>
                <w:szCs w:val="13"/>
                <w:lang w:val="en-US" w:eastAsia="zh-CN"/>
                <w14:textFill>
                  <w14:solidFill>
                    <w14:schemeClr w14:val="tx1"/>
                  </w14:solidFill>
                </w14:textFill>
              </w:rPr>
            </w:pPr>
          </w:p>
        </w:tc>
        <w:tc>
          <w:tcPr>
            <w:tcW w:w="209" w:type="pct"/>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以最终审定方案为准</w:t>
            </w:r>
          </w:p>
          <w:p>
            <w:pPr>
              <w:snapToGrid w:val="0"/>
              <w:spacing w:line="289" w:lineRule="atLeast"/>
              <w:jc w:val="center"/>
              <w:rPr>
                <w:rFonts w:hint="eastAsia" w:ascii="黑体" w:hAnsi="黑体" w:eastAsia="黑体" w:cs="宋体"/>
                <w:color w:val="000000" w:themeColor="text1"/>
                <w:sz w:val="13"/>
                <w:szCs w:val="13"/>
                <w:lang w:val="en-US" w:eastAsia="zh-CN"/>
                <w14:textFill>
                  <w14:solidFill>
                    <w14:schemeClr w14:val="tx1"/>
                  </w14:solidFill>
                </w14:textFill>
              </w:rPr>
            </w:pPr>
          </w:p>
        </w:tc>
        <w:tc>
          <w:tcPr>
            <w:tcW w:w="782" w:type="pct"/>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eastAsia" w:ascii="黑体" w:hAnsi="黑体" w:eastAsia="黑体" w:cs="宋体"/>
                <w:color w:val="000000" w:themeColor="text1"/>
                <w:sz w:val="13"/>
                <w:szCs w:val="13"/>
                <w:lang w:val="en-US" w:eastAsia="zh-CN"/>
                <w14:textFill>
                  <w14:solidFill>
                    <w14:schemeClr w14:val="tx1"/>
                  </w14:solidFill>
                </w14:textFill>
              </w:rPr>
              <w:t>无</w:t>
            </w:r>
          </w:p>
        </w:tc>
        <w:tc>
          <w:tcPr>
            <w:tcW w:w="1198"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eastAsia" w:ascii="黑体" w:hAnsi="黑体" w:eastAsia="黑体" w:cs="宋体"/>
                <w:color w:val="000000" w:themeColor="text1"/>
                <w:sz w:val="13"/>
                <w:szCs w:val="13"/>
                <w:lang w:val="en-US" w:eastAsia="zh-CN"/>
                <w14:textFill>
                  <w14:solidFill>
                    <w14:schemeClr w14:val="tx1"/>
                  </w14:solidFill>
                </w14:textFill>
              </w:rPr>
              <w:t>详见《马房坝—金山片区IIB1-1-c地块规划条件》</w:t>
            </w:r>
          </w:p>
        </w:tc>
        <w:tc>
          <w:tcPr>
            <w:tcW w:w="286"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 xml:space="preserve">商业 40 年 </w:t>
            </w:r>
          </w:p>
          <w:p>
            <w:pPr>
              <w:snapToGrid w:val="0"/>
              <w:spacing w:line="289" w:lineRule="atLeast"/>
              <w:jc w:val="center"/>
              <w:rPr>
                <w:rFonts w:hint="eastAsia" w:ascii="黑体" w:hAnsi="黑体" w:eastAsia="黑体" w:cs="宋体"/>
                <w:color w:val="000000" w:themeColor="text1"/>
                <w:sz w:val="13"/>
                <w:szCs w:val="13"/>
                <w:lang w:val="en-US" w:eastAsia="zh-CN"/>
                <w14:textFill>
                  <w14:solidFill>
                    <w14:schemeClr w14:val="tx1"/>
                  </w14:solidFill>
                </w14:textFill>
              </w:rPr>
            </w:pPr>
          </w:p>
        </w:tc>
        <w:tc>
          <w:tcPr>
            <w:tcW w:w="230"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 xml:space="preserve">325 万元/亩 </w:t>
            </w:r>
          </w:p>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p>
        </w:tc>
        <w:tc>
          <w:tcPr>
            <w:tcW w:w="263"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 xml:space="preserve">5 万元/亩或 5 万元/亩 </w:t>
            </w:r>
          </w:p>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的整数倍</w:t>
            </w:r>
          </w:p>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p>
        </w:tc>
        <w:tc>
          <w:tcPr>
            <w:tcW w:w="213" w:type="pct"/>
            <w:tcBorders>
              <w:right w:val="single" w:color="000000" w:sz="4" w:space="0"/>
            </w:tcBorders>
            <w:vAlign w:val="center"/>
          </w:tcPr>
          <w:p>
            <w:pPr>
              <w:snapToGrid w:val="0"/>
              <w:spacing w:line="289" w:lineRule="atLeast"/>
              <w:jc w:val="center"/>
              <w:rPr>
                <w:rFonts w:hint="default" w:ascii="黑体" w:hAnsi="黑体" w:eastAsia="黑体" w:cs="宋体"/>
                <w:color w:val="000000" w:themeColor="text1"/>
                <w:sz w:val="13"/>
                <w:szCs w:val="13"/>
                <w:lang w:val="en-US" w:eastAsia="zh-CN"/>
                <w14:textFill>
                  <w14:solidFill>
                    <w14:schemeClr w14:val="tx1"/>
                  </w14:solidFill>
                </w14:textFill>
              </w:rPr>
            </w:pPr>
            <w:r>
              <w:rPr>
                <w:rFonts w:hint="default" w:ascii="黑体" w:hAnsi="黑体" w:eastAsia="黑体" w:cs="宋体"/>
                <w:color w:val="000000" w:themeColor="text1"/>
                <w:sz w:val="13"/>
                <w:szCs w:val="13"/>
                <w:lang w:val="en-US" w:eastAsia="zh-CN"/>
                <w14:textFill>
                  <w14:solidFill>
                    <w14:schemeClr w14:val="tx1"/>
                  </w14:solidFill>
                </w14:textFill>
              </w:rPr>
              <w:t xml:space="preserve">600 </w:t>
            </w:r>
          </w:p>
          <w:p>
            <w:pPr>
              <w:snapToGrid w:val="0"/>
              <w:spacing w:line="289" w:lineRule="atLeast"/>
              <w:jc w:val="center"/>
              <w:rPr>
                <w:rFonts w:hint="eastAsia" w:ascii="黑体" w:hAnsi="黑体" w:eastAsia="黑体" w:cs="宋体"/>
                <w:color w:val="000000" w:themeColor="text1"/>
                <w:sz w:val="13"/>
                <w:szCs w:val="13"/>
                <w:lang w:val="en-US" w:eastAsia="zh-CN"/>
                <w14:textFill>
                  <w14:solidFill>
                    <w14:schemeClr w14:val="tx1"/>
                  </w14:solidFill>
                </w14:textFill>
              </w:rPr>
            </w:pPr>
            <w:r>
              <w:rPr>
                <w:rFonts w:hint="eastAsia" w:ascii="黑体" w:hAnsi="黑体" w:eastAsia="黑体" w:cs="宋体"/>
                <w:color w:val="000000" w:themeColor="text1"/>
                <w:sz w:val="13"/>
                <w:szCs w:val="13"/>
                <w:lang w:val="en-US" w:eastAsia="zh-CN"/>
                <w14:textFill>
                  <w14:solidFill>
                    <w14:schemeClr w14:val="tx1"/>
                  </w14:solidFill>
                </w14:textFill>
              </w:rPr>
              <w:t>万元</w:t>
            </w:r>
          </w:p>
        </w:tc>
      </w:tr>
    </w:tbl>
    <w:p>
      <w:pPr>
        <w:snapToGrid w:val="0"/>
        <w:spacing w:line="600" w:lineRule="exact"/>
        <w:rPr>
          <w:rFonts w:ascii="宋体" w:hAnsi="宋体" w:cs="宋体"/>
          <w:color w:val="000000" w:themeColor="text1"/>
          <w:sz w:val="28"/>
          <w:szCs w:val="28"/>
          <w14:textFill>
            <w14:solidFill>
              <w14:schemeClr w14:val="tx1"/>
            </w14:solidFill>
          </w14:textFill>
        </w:rPr>
      </w:pPr>
    </w:p>
    <w:p>
      <w:pPr>
        <w:snapToGrid w:val="0"/>
        <w:spacing w:line="600" w:lineRule="exact"/>
        <w:ind w:firstLine="700" w:firstLineChars="250"/>
        <w:rPr>
          <w:rFonts w:asci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二、中华人民共和国境内外的法人、自然人和其他组织均可申请参加竞买，竞买申请人可以单独申请</w:t>
      </w:r>
      <w:r>
        <w:rPr>
          <w:rFonts w:ascii="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也可以联合申请，但法律法规或出让文件有特殊规定的除外。</w:t>
      </w:r>
    </w:p>
    <w:p>
      <w:pPr>
        <w:snapToGrid w:val="0"/>
        <w:spacing w:line="578" w:lineRule="exact"/>
        <w:ind w:firstLine="560" w:firstLineChars="200"/>
        <w:rPr>
          <w:rFonts w:cs="宋体" w:asciiTheme="minorEastAsia" w:hAnsiTheme="minorEastAsia" w:eastAsiaTheme="minorEastAsia"/>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三、申请参加本公告土地竞买的，竞买保证金须按竞买宗地对应金额</w:t>
      </w:r>
      <w:r>
        <w:rPr>
          <w:rFonts w:hint="eastAsia" w:cs="宋体" w:asciiTheme="minorEastAsia" w:hAnsiTheme="minorEastAsia" w:eastAsiaTheme="minorEastAsia"/>
          <w:color w:val="000000" w:themeColor="text1"/>
          <w:sz w:val="28"/>
          <w:szCs w:val="28"/>
          <w14:textFill>
            <w14:solidFill>
              <w14:schemeClr w14:val="tx1"/>
            </w14:solidFill>
          </w14:textFill>
        </w:rPr>
        <w:t>足额缴纳。</w:t>
      </w:r>
    </w:p>
    <w:p>
      <w:pPr>
        <w:snapToGrid w:val="0"/>
        <w:spacing w:line="578" w:lineRule="exact"/>
        <w:ind w:firstLine="560" w:firstLineChars="200"/>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四、本次国有建设用地使用权拍卖出让</w:t>
      </w:r>
      <w:r>
        <w:rPr>
          <w:rFonts w:hint="eastAsia" w:ascii="楷体" w:hAnsi="楷体" w:eastAsia="楷体" w:cs="宋体"/>
          <w:b/>
          <w:color w:val="000000" w:themeColor="text1"/>
          <w:sz w:val="28"/>
          <w:szCs w:val="28"/>
          <w:u w:val="single"/>
          <w14:textFill>
            <w14:solidFill>
              <w14:schemeClr w14:val="tx1"/>
            </w14:solidFill>
          </w14:textFill>
        </w:rPr>
        <w:t>政府设有底价，采用增价拍卖方式竞价，按照价高者得原则确定竞得人（不低于政府底价）</w:t>
      </w:r>
      <w:r>
        <w:rPr>
          <w:rFonts w:hint="eastAsia" w:ascii="楷体" w:hAnsi="楷体" w:eastAsia="楷体" w:cs="宋体"/>
          <w:color w:val="000000" w:themeColor="text1"/>
          <w:sz w:val="28"/>
          <w:szCs w:val="28"/>
          <w14:textFill>
            <w14:solidFill>
              <w14:schemeClr w14:val="tx1"/>
            </w14:solidFill>
          </w14:textFill>
        </w:rPr>
        <w:t>。</w:t>
      </w:r>
    </w:p>
    <w:p>
      <w:pPr>
        <w:snapToGrid w:val="0"/>
        <w:spacing w:line="578" w:lineRule="exact"/>
        <w:ind w:firstLine="555"/>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五、本次国有建设用地使用权拍卖出让实行网上报名，竞买申请人须在</w:t>
      </w: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7"/>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）查阅网上操作指南，完成用户注册、网上报名等</w:t>
      </w:r>
      <w:r>
        <w:rPr>
          <w:rFonts w:hint="eastAsia" w:cs="宋体" w:asciiTheme="minorEastAsia" w:hAnsiTheme="minorEastAsia" w:eastAsiaTheme="minorEastAsia"/>
          <w:color w:val="000000" w:themeColor="text1"/>
          <w:sz w:val="28"/>
          <w:szCs w:val="28"/>
          <w14:textFill>
            <w14:solidFill>
              <w14:schemeClr w14:val="tx1"/>
            </w14:solidFill>
          </w14:textFill>
        </w:rPr>
        <w:t>。</w:t>
      </w:r>
    </w:p>
    <w:p>
      <w:pPr>
        <w:snapToGrid w:val="0"/>
        <w:spacing w:line="578" w:lineRule="exact"/>
        <w:ind w:firstLine="555"/>
        <w:rPr>
          <w:rStyle w:val="17"/>
          <w:rFonts w:asciiTheme="minorEastAsia" w:hAnsiTheme="minorEastAsia" w:eastAsiaTheme="minorEastAsia"/>
          <w:b/>
          <w:color w:val="FF0000"/>
          <w:sz w:val="28"/>
          <w:szCs w:val="28"/>
        </w:rPr>
      </w:pP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已完成用户注册的竞买申请人须在</w:t>
      </w:r>
      <w:r>
        <w:rPr>
          <w:rStyle w:val="17"/>
          <w:rFonts w:ascii="仿宋" w:hAnsi="仿宋" w:eastAsia="仿宋" w:cs="宋体"/>
          <w:color w:val="FF0000"/>
          <w:sz w:val="28"/>
          <w:szCs w:val="28"/>
        </w:rPr>
        <w:t>202</w:t>
      </w:r>
      <w:r>
        <w:rPr>
          <w:rStyle w:val="17"/>
          <w:rFonts w:hint="eastAsia" w:ascii="仿宋" w:hAnsi="仿宋" w:eastAsia="仿宋" w:cs="宋体"/>
          <w:color w:val="FF0000"/>
          <w:sz w:val="28"/>
          <w:szCs w:val="28"/>
        </w:rPr>
        <w:t>1年</w:t>
      </w:r>
      <w:r>
        <w:rPr>
          <w:rStyle w:val="17"/>
          <w:rFonts w:hint="eastAsia" w:ascii="仿宋" w:hAnsi="仿宋" w:eastAsia="仿宋" w:cs="宋体"/>
          <w:color w:val="FF0000"/>
          <w:sz w:val="28"/>
          <w:szCs w:val="28"/>
          <w:lang w:val="en-US" w:eastAsia="zh-CN"/>
        </w:rPr>
        <w:t>4</w:t>
      </w:r>
      <w:r>
        <w:rPr>
          <w:rStyle w:val="17"/>
          <w:rFonts w:hint="eastAsia" w:ascii="仿宋" w:hAnsi="仿宋" w:eastAsia="仿宋" w:cs="宋体"/>
          <w:color w:val="FF0000"/>
          <w:sz w:val="28"/>
          <w:szCs w:val="28"/>
        </w:rPr>
        <w:t>月</w:t>
      </w:r>
      <w:r>
        <w:rPr>
          <w:rStyle w:val="17"/>
          <w:rFonts w:hint="eastAsia" w:ascii="仿宋" w:hAnsi="仿宋" w:eastAsia="仿宋" w:cs="宋体"/>
          <w:color w:val="FF0000"/>
          <w:sz w:val="28"/>
          <w:szCs w:val="28"/>
          <w:lang w:val="en-US" w:eastAsia="zh-CN"/>
        </w:rPr>
        <w:t>6</w:t>
      </w:r>
      <w:r>
        <w:rPr>
          <w:rStyle w:val="17"/>
          <w:rFonts w:hint="eastAsia" w:ascii="仿宋" w:hAnsi="仿宋" w:eastAsia="仿宋" w:cs="宋体"/>
          <w:color w:val="FF0000"/>
          <w:sz w:val="28"/>
          <w:szCs w:val="28"/>
        </w:rPr>
        <w:t>日</w:t>
      </w:r>
      <w:r>
        <w:rPr>
          <w:rStyle w:val="17"/>
          <w:rFonts w:ascii="仿宋" w:hAnsi="仿宋" w:eastAsia="仿宋" w:cs="宋体"/>
          <w:color w:val="FF0000"/>
          <w:sz w:val="28"/>
          <w:szCs w:val="28"/>
        </w:rPr>
        <w:t>17:00</w:t>
      </w: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之前经达州市公共资源交易服务网（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7"/>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）通过系统提交竞买申请。通过指定账户缴纳竞买保证金，到账截止时间为</w:t>
      </w:r>
      <w:r>
        <w:rPr>
          <w:rStyle w:val="17"/>
          <w:rFonts w:ascii="仿宋" w:hAnsi="仿宋" w:eastAsia="仿宋" w:cs="宋体"/>
          <w:color w:val="FF0000"/>
          <w:sz w:val="28"/>
          <w:szCs w:val="28"/>
        </w:rPr>
        <w:t>202</w:t>
      </w:r>
      <w:r>
        <w:rPr>
          <w:rStyle w:val="17"/>
          <w:rFonts w:hint="eastAsia" w:ascii="仿宋" w:hAnsi="仿宋" w:eastAsia="仿宋" w:cs="宋体"/>
          <w:color w:val="FF0000"/>
          <w:sz w:val="28"/>
          <w:szCs w:val="28"/>
        </w:rPr>
        <w:t>1年</w:t>
      </w:r>
      <w:r>
        <w:rPr>
          <w:rStyle w:val="17"/>
          <w:rFonts w:hint="eastAsia" w:ascii="仿宋" w:hAnsi="仿宋" w:eastAsia="仿宋" w:cs="宋体"/>
          <w:color w:val="FF0000"/>
          <w:sz w:val="28"/>
          <w:szCs w:val="28"/>
          <w:lang w:val="en-US" w:eastAsia="zh-CN"/>
        </w:rPr>
        <w:t>4</w:t>
      </w:r>
      <w:r>
        <w:rPr>
          <w:rStyle w:val="17"/>
          <w:rFonts w:hint="eastAsia" w:ascii="仿宋" w:hAnsi="仿宋" w:eastAsia="仿宋" w:cs="宋体"/>
          <w:color w:val="FF0000"/>
          <w:sz w:val="28"/>
          <w:szCs w:val="28"/>
        </w:rPr>
        <w:t>月</w:t>
      </w:r>
      <w:r>
        <w:rPr>
          <w:rStyle w:val="17"/>
          <w:rFonts w:hint="eastAsia" w:ascii="仿宋" w:hAnsi="仿宋" w:eastAsia="仿宋" w:cs="宋体"/>
          <w:color w:val="FF0000"/>
          <w:sz w:val="28"/>
          <w:szCs w:val="28"/>
          <w:lang w:val="en-US" w:eastAsia="zh-CN"/>
        </w:rPr>
        <w:t>6</w:t>
      </w:r>
      <w:r>
        <w:rPr>
          <w:rStyle w:val="17"/>
          <w:rFonts w:hint="eastAsia" w:ascii="仿宋" w:hAnsi="仿宋" w:eastAsia="仿宋" w:cs="宋体"/>
          <w:color w:val="FF0000"/>
          <w:sz w:val="28"/>
          <w:szCs w:val="28"/>
        </w:rPr>
        <w:t>日</w:t>
      </w:r>
      <w:r>
        <w:rPr>
          <w:rStyle w:val="17"/>
          <w:rFonts w:ascii="仿宋" w:hAnsi="仿宋" w:eastAsia="仿宋" w:cs="宋体"/>
          <w:color w:val="FF0000"/>
          <w:sz w:val="28"/>
          <w:szCs w:val="28"/>
        </w:rPr>
        <w:t>17:00</w:t>
      </w:r>
      <w:r>
        <w:rPr>
          <w:rStyle w:val="17"/>
          <w:rFonts w:hint="eastAsia" w:cs="宋体" w:asciiTheme="minorEastAsia" w:hAnsiTheme="minorEastAsia" w:eastAsiaTheme="minorEastAsia"/>
          <w:b/>
          <w:color w:val="FF0000"/>
          <w:sz w:val="28"/>
          <w:szCs w:val="28"/>
        </w:rPr>
        <w:t>时</w:t>
      </w:r>
      <w:r>
        <w:rPr>
          <w:rStyle w:val="17"/>
          <w:rFonts w:hint="eastAsia" w:cs="宋体" w:asciiTheme="minorEastAsia" w:hAnsiTheme="minorEastAsia" w:eastAsiaTheme="minorEastAsia"/>
          <w:color w:val="FF0000"/>
          <w:sz w:val="28"/>
          <w:szCs w:val="28"/>
          <w:u w:val="none"/>
        </w:rPr>
        <w:t>。</w:t>
      </w:r>
    </w:p>
    <w:p>
      <w:pPr>
        <w:snapToGrid w:val="0"/>
        <w:spacing w:line="578" w:lineRule="exact"/>
        <w:ind w:firstLine="555"/>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已提交申请的竞买申请人须在</w:t>
      </w:r>
      <w:r>
        <w:rPr>
          <w:rFonts w:hint="eastAsia" w:ascii="楷体" w:hAnsi="楷体" w:eastAsia="楷体" w:cs="宋体"/>
          <w:b/>
          <w:color w:val="000000" w:themeColor="text1"/>
          <w:sz w:val="28"/>
          <w:szCs w:val="28"/>
          <w14:textFill>
            <w14:solidFill>
              <w14:schemeClr w14:val="tx1"/>
            </w14:solidFill>
          </w14:textFill>
        </w:rPr>
        <w:t>资格审查当日（</w:t>
      </w:r>
      <w:r>
        <w:rPr>
          <w:rFonts w:hint="eastAsia" w:ascii="楷体" w:hAnsi="楷体" w:eastAsia="楷体" w:cs="宋体"/>
          <w:b/>
          <w:color w:val="FF0000"/>
          <w:sz w:val="28"/>
          <w:szCs w:val="28"/>
        </w:rPr>
        <w:t xml:space="preserve"> 2021</w:t>
      </w:r>
      <w:r>
        <w:rPr>
          <w:rFonts w:hint="eastAsia" w:ascii="楷体" w:hAnsi="楷体" w:eastAsia="楷体" w:cs="宋体"/>
          <w:b/>
          <w:color w:val="FF0000"/>
          <w:sz w:val="28"/>
          <w:szCs w:val="28"/>
          <w:u w:val="single"/>
        </w:rPr>
        <w:t>年</w:t>
      </w:r>
      <w:r>
        <w:rPr>
          <w:rFonts w:hint="eastAsia" w:ascii="楷体" w:hAnsi="楷体" w:eastAsia="楷体" w:cs="宋体"/>
          <w:b/>
          <w:color w:val="FF0000"/>
          <w:sz w:val="28"/>
          <w:szCs w:val="28"/>
          <w:u w:val="single"/>
          <w:lang w:val="en-US" w:eastAsia="zh-CN"/>
        </w:rPr>
        <w:t>4</w:t>
      </w:r>
      <w:r>
        <w:rPr>
          <w:rFonts w:hint="eastAsia" w:ascii="楷体" w:hAnsi="楷体" w:eastAsia="楷体" w:cs="宋体"/>
          <w:b/>
          <w:color w:val="FF0000"/>
          <w:sz w:val="28"/>
          <w:szCs w:val="28"/>
          <w:u w:val="single"/>
        </w:rPr>
        <w:t>月</w:t>
      </w:r>
      <w:r>
        <w:rPr>
          <w:rFonts w:hint="eastAsia" w:ascii="楷体" w:hAnsi="楷体" w:eastAsia="楷体" w:cs="宋体"/>
          <w:b/>
          <w:color w:val="FF0000"/>
          <w:sz w:val="28"/>
          <w:szCs w:val="28"/>
          <w:u w:val="single"/>
          <w:lang w:val="en-US" w:eastAsia="zh-CN"/>
        </w:rPr>
        <w:t>7</w:t>
      </w:r>
      <w:r>
        <w:rPr>
          <w:rFonts w:hint="eastAsia" w:ascii="楷体" w:hAnsi="楷体" w:eastAsia="楷体" w:cs="宋体"/>
          <w:b/>
          <w:color w:val="FF0000"/>
          <w:sz w:val="28"/>
          <w:szCs w:val="28"/>
          <w:u w:val="single"/>
        </w:rPr>
        <w:t>日</w:t>
      </w:r>
      <w:r>
        <w:rPr>
          <w:rFonts w:hint="eastAsia" w:ascii="楷体" w:hAnsi="楷体" w:eastAsia="楷体" w:cs="宋体"/>
          <w:b/>
          <w:color w:val="FF0000"/>
          <w:sz w:val="28"/>
          <w:szCs w:val="28"/>
        </w:rPr>
        <w:t>）</w:t>
      </w:r>
      <w:r>
        <w:rPr>
          <w:rFonts w:ascii="仿宋" w:hAnsi="仿宋" w:eastAsia="仿宋" w:cs="宋体"/>
          <w:b/>
          <w:color w:val="FF0000"/>
          <w:sz w:val="28"/>
          <w:szCs w:val="28"/>
          <w:u w:val="single"/>
        </w:rPr>
        <w:t>8:30</w:t>
      </w:r>
      <w:r>
        <w:rPr>
          <w:rFonts w:hint="eastAsia" w:cs="宋体" w:asciiTheme="minorEastAsia" w:hAnsiTheme="minorEastAsia" w:eastAsiaTheme="minorEastAsia"/>
          <w:color w:val="000000" w:themeColor="text1"/>
          <w:sz w:val="28"/>
          <w:szCs w:val="28"/>
          <w14:textFill>
            <w14:solidFill>
              <w14:schemeClr w14:val="tx1"/>
            </w14:solidFill>
          </w14:textFill>
        </w:rPr>
        <w:t>之前将竞买申请文件原件现场提交至达州市公共资源交易服务中心</w:t>
      </w:r>
      <w:r>
        <w:rPr>
          <w:rFonts w:hint="eastAsia" w:ascii="仿宋" w:hAnsi="仿宋" w:eastAsia="仿宋" w:cs="宋体"/>
          <w:color w:val="000000" w:themeColor="text1"/>
          <w:sz w:val="28"/>
          <w:szCs w:val="28"/>
          <w:u w:val="single"/>
          <w14:textFill>
            <w14:solidFill>
              <w14:schemeClr w14:val="tx1"/>
            </w14:solidFill>
          </w14:textFill>
        </w:rPr>
        <w:t>4B-17</w:t>
      </w:r>
      <w:r>
        <w:rPr>
          <w:rFonts w:hint="eastAsia" w:cs="宋体" w:asciiTheme="minorEastAsia" w:hAnsiTheme="minorEastAsia" w:eastAsiaTheme="minorEastAsia"/>
          <w:color w:val="000000" w:themeColor="text1"/>
          <w:sz w:val="28"/>
          <w:szCs w:val="28"/>
          <w14:textFill>
            <w14:solidFill>
              <w14:schemeClr w14:val="tx1"/>
            </w14:solidFill>
          </w14:textFill>
        </w:rPr>
        <w:t>室，未按时提交原件的视为自行放弃竞买资格。</w:t>
      </w:r>
    </w:p>
    <w:p>
      <w:pPr>
        <w:snapToGrid w:val="0"/>
        <w:spacing w:line="578" w:lineRule="exact"/>
        <w:ind w:firstLine="555"/>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通过竞买资格审查的竞买申请人须在</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1年</w:t>
      </w:r>
      <w:r>
        <w:rPr>
          <w:rFonts w:hint="eastAsia" w:cs="宋体" w:asciiTheme="minorEastAsia" w:hAnsiTheme="minorEastAsia" w:eastAsiaTheme="minorEastAsia"/>
          <w:b/>
          <w:color w:val="FF0000"/>
          <w:sz w:val="28"/>
          <w:szCs w:val="28"/>
          <w:u w:val="single"/>
          <w:lang w:val="en-US" w:eastAsia="zh-CN"/>
        </w:rPr>
        <w:t>4</w:t>
      </w:r>
      <w:r>
        <w:rPr>
          <w:rFonts w:hint="eastAsia" w:cs="宋体" w:asciiTheme="minorEastAsia" w:hAnsiTheme="minorEastAsia" w:eastAsiaTheme="minorEastAsia"/>
          <w:b/>
          <w:color w:val="FF0000"/>
          <w:sz w:val="28"/>
          <w:szCs w:val="28"/>
          <w:u w:val="single"/>
        </w:rPr>
        <w:t>月</w:t>
      </w:r>
      <w:r>
        <w:rPr>
          <w:rFonts w:hint="eastAsia" w:cs="宋体" w:asciiTheme="minorEastAsia" w:hAnsiTheme="minorEastAsia" w:eastAsiaTheme="minorEastAsia"/>
          <w:b/>
          <w:color w:val="FF0000"/>
          <w:sz w:val="28"/>
          <w:szCs w:val="28"/>
          <w:u w:val="single"/>
          <w:lang w:val="en-US" w:eastAsia="zh-CN"/>
        </w:rPr>
        <w:t>7</w:t>
      </w:r>
      <w:r>
        <w:rPr>
          <w:rFonts w:hint="eastAsia" w:cs="宋体" w:asciiTheme="minorEastAsia" w:hAnsiTheme="minorEastAsia" w:eastAsiaTheme="minorEastAsia"/>
          <w:b/>
          <w:color w:val="FF0000"/>
          <w:sz w:val="28"/>
          <w:szCs w:val="28"/>
          <w:u w:val="single"/>
        </w:rPr>
        <w:t>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cs="宋体" w:asciiTheme="minorEastAsia" w:hAnsiTheme="minorEastAsia" w:eastAsiaTheme="minorEastAsia"/>
          <w:color w:val="000000" w:themeColor="text1"/>
          <w:sz w:val="28"/>
          <w:szCs w:val="28"/>
          <w14:textFill>
            <w14:solidFill>
              <w14:schemeClr w14:val="tx1"/>
            </w14:solidFill>
          </w14:textFill>
        </w:rPr>
        <w:t>前自行通过达州市公共资源交易服务</w:t>
      </w: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7"/>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Style w:val="17"/>
          <w:rFonts w:hint="eastAsia" w:cs="宋体" w:asciiTheme="minorEastAsia" w:hAnsiTheme="minorEastAsia" w:eastAsiaTheme="minorEastAsia"/>
          <w:color w:val="000000" w:themeColor="text1"/>
          <w:sz w:val="28"/>
          <w:szCs w:val="28"/>
          <w:u w:val="none"/>
          <w14:textFill>
            <w14:solidFill>
              <w14:schemeClr w14:val="tx1"/>
            </w14:solidFill>
          </w14:textFill>
        </w:rPr>
        <w:t>）</w:t>
      </w:r>
      <w:r>
        <w:rPr>
          <w:rFonts w:hint="eastAsia" w:cs="宋体" w:asciiTheme="minorEastAsia" w:hAnsiTheme="minorEastAsia" w:eastAsiaTheme="minorEastAsia"/>
          <w:color w:val="000000" w:themeColor="text1"/>
          <w:sz w:val="28"/>
          <w:szCs w:val="28"/>
          <w14:textFill>
            <w14:solidFill>
              <w14:schemeClr w14:val="tx1"/>
            </w14:solidFill>
          </w14:textFill>
        </w:rPr>
        <w:t>打印竞买资格确认书并带到拍卖现场</w:t>
      </w:r>
      <w:r>
        <w:rPr>
          <w:rFonts w:cs="宋体" w:asciiTheme="minorEastAsia" w:hAnsiTheme="minorEastAsia" w:eastAsiaTheme="minorEastAsia"/>
          <w:color w:val="000000" w:themeColor="text1"/>
          <w:sz w:val="28"/>
          <w:szCs w:val="28"/>
          <w14:textFill>
            <w14:solidFill>
              <w14:schemeClr w14:val="tx1"/>
            </w14:solidFill>
          </w14:textFill>
        </w:rPr>
        <w:t>(</w:t>
      </w:r>
      <w:r>
        <w:rPr>
          <w:rFonts w:hint="eastAsia" w:cs="宋体" w:asciiTheme="minorEastAsia" w:hAnsiTheme="minorEastAsia" w:eastAsiaTheme="minorEastAsia"/>
          <w:color w:val="000000" w:themeColor="text1"/>
          <w:sz w:val="28"/>
          <w:szCs w:val="28"/>
          <w14:textFill>
            <w14:solidFill>
              <w14:schemeClr w14:val="tx1"/>
            </w14:solidFill>
          </w14:textFill>
        </w:rPr>
        <w:t>打印时间可能因资格审查而延迟</w:t>
      </w:r>
      <w:r>
        <w:rPr>
          <w:rFonts w:cs="宋体" w:asciiTheme="minorEastAsia" w:hAnsiTheme="minorEastAsia" w:eastAsiaTheme="minorEastAsia"/>
          <w:color w:val="000000" w:themeColor="text1"/>
          <w:sz w:val="28"/>
          <w:szCs w:val="28"/>
          <w14:textFill>
            <w14:solidFill>
              <w14:schemeClr w14:val="tx1"/>
            </w14:solidFill>
          </w14:textFill>
        </w:rPr>
        <w:t>)</w:t>
      </w:r>
      <w:r>
        <w:rPr>
          <w:rFonts w:hint="eastAsia" w:cs="宋体" w:asciiTheme="minorEastAsia" w:hAnsiTheme="minorEastAsia" w:eastAsiaTheme="minorEastAsia"/>
          <w:color w:val="000000" w:themeColor="text1"/>
          <w:sz w:val="28"/>
          <w:szCs w:val="28"/>
          <w14:textFill>
            <w14:solidFill>
              <w14:schemeClr w14:val="tx1"/>
            </w14:solidFill>
          </w14:textFill>
        </w:rPr>
        <w:t>。</w:t>
      </w:r>
    </w:p>
    <w:p>
      <w:pPr>
        <w:snapToGrid w:val="0"/>
        <w:spacing w:line="578" w:lineRule="exact"/>
        <w:ind w:firstLine="555"/>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六、</w:t>
      </w:r>
      <w:r>
        <w:rPr>
          <w:rFonts w:hint="eastAsia" w:asciiTheme="minorEastAsia" w:hAnsiTheme="minorEastAsia" w:eastAsiaTheme="minorEastAsia"/>
          <w:color w:val="000000" w:themeColor="text1"/>
          <w:sz w:val="28"/>
          <w:szCs w:val="28"/>
          <w14:textFill>
            <w14:solidFill>
              <w14:schemeClr w14:val="tx1"/>
            </w14:solidFill>
          </w14:textFill>
        </w:rPr>
        <w:t>本次国有建设用地使用权拍卖会定</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 xml:space="preserve">1年 </w:t>
      </w:r>
      <w:r>
        <w:rPr>
          <w:rFonts w:hint="eastAsia" w:cs="宋体" w:asciiTheme="minorEastAsia" w:hAnsiTheme="minorEastAsia" w:eastAsiaTheme="minorEastAsia"/>
          <w:b/>
          <w:color w:val="FF0000"/>
          <w:sz w:val="28"/>
          <w:szCs w:val="28"/>
          <w:u w:val="single"/>
          <w:lang w:val="en-US" w:eastAsia="zh-CN"/>
        </w:rPr>
        <w:t>4</w:t>
      </w:r>
      <w:r>
        <w:rPr>
          <w:rFonts w:hint="eastAsia" w:cs="宋体" w:asciiTheme="minorEastAsia" w:hAnsiTheme="minorEastAsia" w:eastAsiaTheme="minorEastAsia"/>
          <w:b/>
          <w:color w:val="FF0000"/>
          <w:sz w:val="28"/>
          <w:szCs w:val="28"/>
          <w:u w:val="single"/>
        </w:rPr>
        <w:t>月</w:t>
      </w:r>
      <w:r>
        <w:rPr>
          <w:rFonts w:hint="eastAsia" w:cs="宋体" w:asciiTheme="minorEastAsia" w:hAnsiTheme="minorEastAsia" w:eastAsiaTheme="minorEastAsia"/>
          <w:b/>
          <w:color w:val="FF0000"/>
          <w:sz w:val="28"/>
          <w:szCs w:val="28"/>
          <w:u w:val="single"/>
          <w:lang w:val="en-US" w:eastAsia="zh-CN"/>
        </w:rPr>
        <w:t>7</w:t>
      </w:r>
      <w:r>
        <w:rPr>
          <w:rFonts w:hint="eastAsia" w:cs="宋体" w:asciiTheme="minorEastAsia" w:hAnsiTheme="minorEastAsia" w:eastAsiaTheme="minorEastAsia"/>
          <w:b/>
          <w:color w:val="FF0000"/>
          <w:sz w:val="28"/>
          <w:szCs w:val="28"/>
          <w:u w:val="single"/>
        </w:rPr>
        <w:t>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asciiTheme="minorEastAsia" w:hAnsiTheme="minorEastAsia" w:eastAsiaTheme="minorEastAsia"/>
          <w:color w:val="000000" w:themeColor="text1"/>
          <w:sz w:val="28"/>
          <w:szCs w:val="28"/>
          <w14:textFill>
            <w14:solidFill>
              <w14:schemeClr w14:val="tx1"/>
            </w14:solidFill>
          </w14:textFill>
        </w:rPr>
        <w:t>在</w:t>
      </w:r>
      <w:r>
        <w:rPr>
          <w:rFonts w:hint="eastAsia" w:asciiTheme="minorEastAsia" w:hAnsiTheme="minorEastAsia" w:eastAsiaTheme="minorEastAsia"/>
          <w:color w:val="FF0000"/>
          <w:sz w:val="28"/>
          <w:szCs w:val="28"/>
          <w:u w:val="single"/>
        </w:rPr>
        <w:t>开标</w:t>
      </w:r>
      <w:r>
        <w:rPr>
          <w:rFonts w:hint="eastAsia" w:asciiTheme="minorEastAsia" w:hAnsiTheme="minorEastAsia" w:eastAsiaTheme="minorEastAsia"/>
          <w:color w:val="FF0000"/>
          <w:sz w:val="28"/>
          <w:szCs w:val="28"/>
          <w:u w:val="single"/>
          <w:lang w:val="en-US" w:eastAsia="zh-CN"/>
        </w:rPr>
        <w:t>五</w:t>
      </w:r>
      <w:r>
        <w:rPr>
          <w:rFonts w:hint="eastAsia" w:asciiTheme="minorEastAsia" w:hAnsiTheme="minorEastAsia" w:eastAsiaTheme="minorEastAsia"/>
          <w:color w:val="FF0000"/>
          <w:sz w:val="28"/>
          <w:szCs w:val="28"/>
          <w:u w:val="single"/>
        </w:rPr>
        <w:t>厅</w:t>
      </w:r>
      <w:r>
        <w:rPr>
          <w:rFonts w:hint="eastAsia" w:asciiTheme="minorEastAsia" w:hAnsiTheme="minorEastAsia" w:eastAsiaTheme="minorEastAsia"/>
          <w:color w:val="000000" w:themeColor="text1"/>
          <w:sz w:val="28"/>
          <w:szCs w:val="28"/>
          <w14:textFill>
            <w14:solidFill>
              <w14:schemeClr w14:val="tx1"/>
            </w14:solidFill>
          </w14:textFill>
        </w:rPr>
        <w:t>举行</w:t>
      </w:r>
      <w:r>
        <w:rPr>
          <w:rFonts w:cs="宋体" w:asciiTheme="minorEastAsia" w:hAnsiTheme="minorEastAsia" w:eastAsiaTheme="minorEastAsia"/>
          <w:color w:val="000000" w:themeColor="text1"/>
          <w:sz w:val="28"/>
          <w:szCs w:val="28"/>
          <w14:textFill>
            <w14:solidFill>
              <w14:schemeClr w14:val="tx1"/>
            </w14:solidFill>
          </w14:textFill>
        </w:rPr>
        <w:t>(</w:t>
      </w:r>
      <w:r>
        <w:rPr>
          <w:rFonts w:hint="eastAsia" w:cs="宋体" w:asciiTheme="minorEastAsia" w:hAnsiTheme="minorEastAsia" w:eastAsiaTheme="minorEastAsia"/>
          <w:color w:val="000000" w:themeColor="text1"/>
          <w:sz w:val="28"/>
          <w:szCs w:val="28"/>
          <w14:textFill>
            <w14:solidFill>
              <w14:schemeClr w14:val="tx1"/>
            </w14:solidFill>
          </w14:textFill>
        </w:rPr>
        <w:t>拍卖会时间可能因资格审查而延迟</w:t>
      </w:r>
      <w:r>
        <w:rPr>
          <w:rFonts w:cs="宋体" w:asciiTheme="minorEastAsia" w:hAnsiTheme="minorEastAsia" w:eastAsiaTheme="minorEastAsia"/>
          <w:color w:val="000000" w:themeColor="text1"/>
          <w:sz w:val="28"/>
          <w:szCs w:val="28"/>
          <w14:textFill>
            <w14:solidFill>
              <w14:schemeClr w14:val="tx1"/>
            </w14:solidFill>
          </w14:textFill>
        </w:rPr>
        <w:t>)</w:t>
      </w:r>
      <w:r>
        <w:rPr>
          <w:rFonts w:hint="eastAsia" w:cs="宋体" w:asciiTheme="minorEastAsia" w:hAnsiTheme="minorEastAsia" w:eastAsiaTheme="minorEastAsia"/>
          <w:color w:val="000000" w:themeColor="text1"/>
          <w:sz w:val="28"/>
          <w:szCs w:val="28"/>
          <w14:textFill>
            <w14:solidFill>
              <w14:schemeClr w14:val="tx1"/>
            </w14:solidFill>
          </w14:textFill>
        </w:rPr>
        <w:t>。</w:t>
      </w:r>
    </w:p>
    <w:p>
      <w:pPr>
        <w:pStyle w:val="11"/>
        <w:spacing w:before="0" w:beforeAutospacing="0" w:after="0" w:afterAutospacing="0" w:line="578" w:lineRule="exact"/>
        <w:ind w:firstLine="529" w:firstLineChars="189"/>
        <w:jc w:val="both"/>
        <w:rPr>
          <w:rFonts w:cs="Times New Roman" w:asciiTheme="minorEastAsia" w:hAnsiTheme="minorEastAsia" w:eastAsiaTheme="minorEastAsia"/>
          <w:color w:val="000000" w:themeColor="text1"/>
          <w:sz w:val="28"/>
          <w:szCs w:val="28"/>
          <w14:textFill>
            <w14:solidFill>
              <w14:schemeClr w14:val="tx1"/>
            </w14:solidFill>
          </w14:textFill>
        </w:rPr>
      </w:pPr>
      <w:r>
        <w:rPr>
          <w:rFonts w:hint="eastAsia" w:cs="Times New Roman" w:asciiTheme="minorEastAsia" w:hAnsiTheme="minorEastAsia" w:eastAsiaTheme="minorEastAsia"/>
          <w:color w:val="000000" w:themeColor="text1"/>
          <w:sz w:val="28"/>
          <w:szCs w:val="28"/>
          <w14:textFill>
            <w14:solidFill>
              <w14:schemeClr w14:val="tx1"/>
            </w14:solidFill>
          </w14:textFill>
        </w:rPr>
        <w:t>七、凡参与竞买的申请人须对本出让公告、出让文件、宗地详情全面了解、完全接受、不持异议，须有一次或一次以上的报价，报价规则详见拍卖出让须知。本次拍卖出让不接受邮寄竞买申请。</w:t>
      </w:r>
    </w:p>
    <w:p>
      <w:pPr>
        <w:snapToGrid w:val="0"/>
        <w:spacing w:line="578" w:lineRule="exact"/>
        <w:ind w:firstLine="567"/>
        <w:rPr>
          <w:rFonts w:cs="宋体"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八、本公告未尽事宜详见拍卖出让文件（拍卖出让文件可在</w:t>
      </w:r>
      <w:r>
        <w:rPr>
          <w:rFonts w:hint="eastAsia" w:cs="宋体" w:asciiTheme="minorEastAsia" w:hAnsiTheme="minorEastAsia" w:eastAsiaTheme="minorEastAsia"/>
          <w:color w:val="000000" w:themeColor="text1"/>
          <w:w w:val="90"/>
          <w:sz w:val="28"/>
          <w:szCs w:val="28"/>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7"/>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Fonts w:hint="eastAsia" w:cs="宋体" w:asciiTheme="minorEastAsia" w:hAnsiTheme="minorEastAsia" w:eastAsiaTheme="minorEastAsia"/>
          <w:color w:val="000000" w:themeColor="text1"/>
          <w:w w:val="90"/>
          <w:sz w:val="28"/>
          <w:szCs w:val="28"/>
          <w14:textFill>
            <w14:solidFill>
              <w14:schemeClr w14:val="tx1"/>
            </w14:solidFill>
          </w14:textFill>
        </w:rPr>
        <w:t>）下载）</w:t>
      </w:r>
      <w:r>
        <w:rPr>
          <w:rFonts w:hint="eastAsia" w:asciiTheme="minorEastAsia" w:hAnsiTheme="minorEastAsia" w:eastAsiaTheme="minorEastAsia"/>
          <w:color w:val="000000" w:themeColor="text1"/>
          <w:sz w:val="28"/>
          <w:szCs w:val="28"/>
          <w14:textFill>
            <w14:solidFill>
              <w14:schemeClr w14:val="tx1"/>
            </w14:solidFill>
          </w14:textFill>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8" w:lineRule="exact"/>
        <w:ind w:firstLine="555"/>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九、竞买保证金缴纳指定账户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建设银行开户行：</w:t>
      </w:r>
      <w:r>
        <w:rPr>
          <w:rFonts w:hint="eastAsia" w:ascii="仿宋" w:hAnsi="仿宋" w:eastAsia="仿宋" w:cs="Times New Roman"/>
          <w:color w:val="000000" w:themeColor="text1"/>
          <w:kern w:val="2"/>
          <w:sz w:val="28"/>
          <w:szCs w:val="28"/>
          <w:u w:val="single"/>
          <w14:textFill>
            <w14:solidFill>
              <w14:schemeClr w14:val="tx1"/>
            </w14:solidFill>
          </w14:textFill>
        </w:rPr>
        <w:t>中国建设银行股份有限公司达州荷叶支行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户名：</w:t>
      </w:r>
      <w:r>
        <w:rPr>
          <w:rFonts w:hint="eastAsia" w:ascii="仿宋" w:hAnsi="仿宋" w:eastAsia="仿宋" w:cs="Times New Roman"/>
          <w:color w:val="000000" w:themeColor="text1"/>
          <w:kern w:val="2"/>
          <w:sz w:val="28"/>
          <w:szCs w:val="28"/>
          <w:u w:val="single"/>
          <w14:textFill>
            <w14:solidFill>
              <w14:schemeClr w14:val="tx1"/>
            </w14:solidFill>
          </w14:textFill>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账号：</w:t>
      </w:r>
      <w:r>
        <w:rPr>
          <w:rFonts w:hint="eastAsia" w:ascii="仿宋" w:hAnsi="仿宋" w:eastAsia="仿宋" w:cs="Times New Roman"/>
          <w:color w:val="000000" w:themeColor="text1"/>
          <w:kern w:val="2"/>
          <w:sz w:val="28"/>
          <w:szCs w:val="28"/>
          <w:u w:val="single"/>
          <w14:textFill>
            <w14:solidFill>
              <w14:schemeClr w14:val="tx1"/>
            </w14:solidFill>
          </w14:textFill>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农业银行开户行：</w:t>
      </w:r>
      <w:r>
        <w:rPr>
          <w:rFonts w:hint="eastAsia" w:ascii="仿宋" w:hAnsi="仿宋" w:eastAsia="仿宋" w:cs="Times New Roman"/>
          <w:color w:val="000000" w:themeColor="text1"/>
          <w:kern w:val="2"/>
          <w:sz w:val="28"/>
          <w:szCs w:val="28"/>
          <w:u w:val="single"/>
          <w14:textFill>
            <w14:solidFill>
              <w14:schemeClr w14:val="tx1"/>
            </w14:solidFill>
          </w14:textFill>
        </w:rPr>
        <w:t>中国农业银行达州通川支行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户名：</w:t>
      </w:r>
      <w:r>
        <w:rPr>
          <w:rFonts w:hint="eastAsia" w:ascii="仿宋" w:hAnsi="仿宋" w:eastAsia="仿宋" w:cs="Times New Roman"/>
          <w:color w:val="000000" w:themeColor="text1"/>
          <w:kern w:val="2"/>
          <w:sz w:val="28"/>
          <w:szCs w:val="28"/>
          <w:u w:val="single"/>
          <w14:textFill>
            <w14:solidFill>
              <w14:schemeClr w14:val="tx1"/>
            </w14:solidFill>
          </w14:textFill>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账号：</w:t>
      </w:r>
      <w:r>
        <w:rPr>
          <w:rFonts w:hint="eastAsia" w:ascii="仿宋" w:hAnsi="仿宋" w:eastAsia="仿宋" w:cs="Times New Roman"/>
          <w:color w:val="000000" w:themeColor="text1"/>
          <w:kern w:val="2"/>
          <w:sz w:val="28"/>
          <w:szCs w:val="28"/>
          <w:u w:val="single"/>
          <w14:textFill>
            <w14:solidFill>
              <w14:schemeClr w14:val="tx1"/>
            </w14:solidFill>
          </w14:textFill>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工商银行开户行：</w:t>
      </w:r>
      <w:r>
        <w:rPr>
          <w:rFonts w:hint="eastAsia" w:ascii="仿宋" w:hAnsi="仿宋" w:eastAsia="仿宋" w:cs="Times New Roman"/>
          <w:color w:val="000000" w:themeColor="text1"/>
          <w:kern w:val="2"/>
          <w:sz w:val="28"/>
          <w:szCs w:val="28"/>
          <w:u w:val="single"/>
          <w14:textFill>
            <w14:solidFill>
              <w14:schemeClr w14:val="tx1"/>
            </w14:solidFill>
          </w14:textFill>
        </w:rPr>
        <w:t>中国工商银行达州市分行海棠湾支行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户名：</w:t>
      </w:r>
      <w:r>
        <w:rPr>
          <w:rFonts w:hint="eastAsia" w:ascii="仿宋" w:hAnsi="仿宋" w:eastAsia="仿宋" w:cs="Times New Roman"/>
          <w:color w:val="000000" w:themeColor="text1"/>
          <w:kern w:val="2"/>
          <w:sz w:val="28"/>
          <w:szCs w:val="28"/>
          <w:u w:val="single"/>
          <w14:textFill>
            <w14:solidFill>
              <w14:schemeClr w14:val="tx1"/>
            </w14:solidFill>
          </w14:textFill>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账号：</w:t>
      </w:r>
      <w:r>
        <w:rPr>
          <w:rFonts w:hint="eastAsia" w:ascii="仿宋" w:hAnsi="仿宋" w:eastAsia="仿宋" w:cs="Times New Roman"/>
          <w:color w:val="000000" w:themeColor="text1"/>
          <w:kern w:val="2"/>
          <w:sz w:val="28"/>
          <w:szCs w:val="28"/>
          <w:u w:val="single"/>
          <w14:textFill>
            <w14:solidFill>
              <w14:schemeClr w14:val="tx1"/>
            </w14:solidFill>
          </w14:textFill>
        </w:rPr>
        <w:t>系统自动生成</w:t>
      </w:r>
    </w:p>
    <w:p>
      <w:pPr>
        <w:snapToGrid w:val="0"/>
        <w:spacing w:line="578" w:lineRule="exact"/>
        <w:ind w:firstLine="555"/>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十</w:t>
      </w:r>
      <w:r>
        <w:rPr>
          <w:rFonts w:asciiTheme="minorEastAsia" w:hAnsiTheme="minorEastAsia" w:eastAsiaTheme="minorEastAsia"/>
          <w:color w:val="000000" w:themeColor="text1"/>
          <w:sz w:val="28"/>
          <w:szCs w:val="28"/>
          <w14:textFill>
            <w14:solidFill>
              <w14:schemeClr w14:val="tx1"/>
            </w14:solidFill>
          </w14:textFill>
        </w:rPr>
        <w:t>、联系方式</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出让人：达州市自然资源和规划局</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联系地址：达州市通川区白塔路243号</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联系电话：  0818-2377534</w:t>
      </w:r>
    </w:p>
    <w:p>
      <w:pPr>
        <w:snapToGrid w:val="0"/>
        <w:spacing w:line="578" w:lineRule="exact"/>
        <w:ind w:left="556" w:leftChars="26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拍卖人：达州市公共资源交易服务中心</w:t>
      </w:r>
    </w:p>
    <w:p>
      <w:pPr>
        <w:snapToGrid w:val="0"/>
        <w:spacing w:line="578" w:lineRule="exact"/>
        <w:ind w:firstLine="555"/>
        <w:rPr>
          <w:rFonts w:ascii="仿宋" w:hAnsi="仿宋" w:eastAsia="仿宋" w:cs="宋体"/>
          <w:b/>
          <w:color w:val="000000" w:themeColor="text1"/>
          <w:sz w:val="28"/>
          <w:szCs w:val="28"/>
          <w:u w:val="single"/>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联系地址：</w:t>
      </w:r>
      <w:r>
        <w:rPr>
          <w:rFonts w:hint="eastAsia" w:ascii="仿宋" w:hAnsi="仿宋" w:eastAsia="仿宋" w:cs="宋体"/>
          <w:b/>
          <w:color w:val="000000" w:themeColor="text1"/>
          <w:sz w:val="28"/>
          <w:szCs w:val="28"/>
          <w:u w:val="single"/>
          <w14:textFill>
            <w14:solidFill>
              <w14:schemeClr w14:val="tx1"/>
            </w14:solidFill>
          </w14:textFill>
        </w:rPr>
        <w:t>四川省</w:t>
      </w:r>
      <w:r>
        <w:rPr>
          <w:rFonts w:ascii="仿宋" w:hAnsi="仿宋" w:eastAsia="仿宋" w:cs="宋体"/>
          <w:b/>
          <w:color w:val="000000" w:themeColor="text1"/>
          <w:sz w:val="28"/>
          <w:szCs w:val="28"/>
          <w:u w:val="single"/>
          <w14:textFill>
            <w14:solidFill>
              <w14:schemeClr w14:val="tx1"/>
            </w14:solidFill>
          </w14:textFill>
        </w:rPr>
        <w:t>达州市马踏洞新区龙马大道与鱼泉路交叉口处新政务服务大楼</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联系电话: 0818-333</w:t>
      </w:r>
      <w:r>
        <w:rPr>
          <w:rFonts w:hint="eastAsia" w:ascii="仿宋" w:hAnsi="仿宋" w:eastAsia="仿宋"/>
          <w:color w:val="000000" w:themeColor="text1"/>
          <w:sz w:val="28"/>
          <w:szCs w:val="28"/>
          <w14:textFill>
            <w14:solidFill>
              <w14:schemeClr w14:val="tx1"/>
            </w14:solidFill>
          </w14:textFill>
        </w:rPr>
        <w:t>3699</w:t>
      </w:r>
    </w:p>
    <w:p>
      <w:pPr>
        <w:snapToGrid w:val="0"/>
        <w:spacing w:line="578" w:lineRule="exact"/>
        <w:ind w:right="1040"/>
        <w:jc w:val="right"/>
        <w:rPr>
          <w:rFonts w:ascii="仿宋" w:hAnsi="仿宋" w:eastAsia="仿宋" w:cs="宋体"/>
          <w:color w:val="000000" w:themeColor="text1"/>
          <w:sz w:val="28"/>
          <w:szCs w:val="28"/>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t>达州市自然资源和规划局</w:t>
      </w:r>
    </w:p>
    <w:p>
      <w:pPr>
        <w:snapToGrid w:val="0"/>
        <w:spacing w:line="578" w:lineRule="exact"/>
        <w:ind w:right="620"/>
        <w:jc w:val="right"/>
        <w:rPr>
          <w:rFonts w:ascii="仿宋" w:hAnsi="仿宋" w:eastAsia="仿宋" w:cs="宋体"/>
          <w:color w:val="000000" w:themeColor="text1"/>
          <w:sz w:val="28"/>
          <w:szCs w:val="28"/>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t>达州市公共资源交易服务中心</w:t>
      </w:r>
    </w:p>
    <w:p>
      <w:pPr>
        <w:snapToGrid w:val="0"/>
        <w:spacing w:line="578" w:lineRule="exact"/>
        <w:ind w:right="1100"/>
        <w:jc w:val="right"/>
        <w:rPr>
          <w:rFonts w:ascii="仿宋" w:hAnsi="仿宋" w:eastAsia="仿宋" w:cs="宋体"/>
          <w:b/>
          <w:color w:val="FF0000"/>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cols w:space="425" w:num="1"/>
          <w:docGrid w:type="lines" w:linePitch="312" w:charSpace="0"/>
        </w:sectPr>
      </w:pPr>
      <w:r>
        <w:rPr>
          <w:rFonts w:ascii="仿宋" w:hAnsi="仿宋" w:eastAsia="仿宋" w:cs="宋体"/>
          <w:b/>
          <w:color w:val="FF0000"/>
          <w:sz w:val="28"/>
          <w:szCs w:val="28"/>
        </w:rPr>
        <w:t>202</w:t>
      </w:r>
      <w:r>
        <w:rPr>
          <w:rFonts w:hint="eastAsia" w:ascii="仿宋" w:hAnsi="仿宋" w:eastAsia="仿宋" w:cs="宋体"/>
          <w:b/>
          <w:color w:val="FF0000"/>
          <w:sz w:val="28"/>
          <w:szCs w:val="28"/>
        </w:rPr>
        <w:t>1年</w:t>
      </w:r>
      <w:r>
        <w:rPr>
          <w:rFonts w:hint="eastAsia" w:ascii="仿宋" w:hAnsi="仿宋" w:eastAsia="仿宋" w:cs="宋体"/>
          <w:b/>
          <w:color w:val="FF0000"/>
          <w:sz w:val="28"/>
          <w:szCs w:val="28"/>
          <w:lang w:val="en-US" w:eastAsia="zh-CN"/>
        </w:rPr>
        <w:t>3</w:t>
      </w:r>
      <w:r>
        <w:rPr>
          <w:rFonts w:hint="eastAsia" w:ascii="仿宋" w:hAnsi="仿宋" w:eastAsia="仿宋" w:cs="宋体"/>
          <w:b/>
          <w:color w:val="FF0000"/>
          <w:sz w:val="28"/>
          <w:szCs w:val="28"/>
        </w:rPr>
        <w:t>月</w:t>
      </w:r>
      <w:r>
        <w:rPr>
          <w:rFonts w:hint="eastAsia" w:ascii="仿宋" w:hAnsi="仿宋" w:eastAsia="仿宋" w:cs="宋体"/>
          <w:b/>
          <w:color w:val="FF0000"/>
          <w:sz w:val="28"/>
          <w:szCs w:val="28"/>
          <w:lang w:val="en-US" w:eastAsia="zh-CN"/>
        </w:rPr>
        <w:t>18</w:t>
      </w:r>
      <w:r>
        <w:rPr>
          <w:rFonts w:hint="eastAsia" w:ascii="仿宋" w:hAnsi="仿宋" w:eastAsia="仿宋" w:cs="宋体"/>
          <w:b/>
          <w:color w:val="FF0000"/>
          <w:sz w:val="28"/>
          <w:szCs w:val="28"/>
        </w:rPr>
        <w:t>日</w:t>
      </w:r>
    </w:p>
    <w:p>
      <w:pPr>
        <w:pStyle w:val="12"/>
        <w:spacing w:before="0" w:after="0" w:line="600" w:lineRule="exact"/>
        <w:rPr>
          <w:rFonts w:ascii="方正小标宋简体" w:hAnsi="宋体" w:eastAsia="方正小标宋简体"/>
          <w:b w:val="0"/>
          <w:color w:val="000000" w:themeColor="text1"/>
          <w:sz w:val="44"/>
          <w:szCs w:val="44"/>
          <w14:textFill>
            <w14:solidFill>
              <w14:schemeClr w14:val="tx1"/>
            </w14:solidFill>
          </w14:textFill>
        </w:rPr>
      </w:pPr>
      <w:bookmarkStart w:id="2" w:name="_Toc3391971"/>
      <w:bookmarkStart w:id="3" w:name="_Toc3391742"/>
      <w:r>
        <w:rPr>
          <w:rFonts w:hint="eastAsia" w:ascii="方正小标宋简体" w:hAnsi="宋体" w:eastAsia="方正小标宋简体"/>
          <w:b w:val="0"/>
          <w:color w:val="000000" w:themeColor="text1"/>
          <w:sz w:val="44"/>
          <w:szCs w:val="44"/>
          <w14:textFill>
            <w14:solidFill>
              <w14:schemeClr w14:val="tx1"/>
            </w14:solidFill>
          </w14:textFill>
        </w:rPr>
        <w:t>国有建设用地使用权拍卖出让须知</w:t>
      </w:r>
      <w:bookmarkEnd w:id="2"/>
      <w:bookmarkEnd w:id="3"/>
    </w:p>
    <w:p>
      <w:pPr>
        <w:spacing w:line="600" w:lineRule="exact"/>
        <w:rPr>
          <w:rFonts w:ascii="宋体"/>
          <w:color w:val="000000" w:themeColor="text1"/>
          <w:sz w:val="28"/>
          <w:szCs w:val="28"/>
          <w14:textFill>
            <w14:solidFill>
              <w14:schemeClr w14:val="tx1"/>
            </w14:solidFill>
          </w14:textFill>
        </w:rPr>
      </w:pPr>
    </w:p>
    <w:p>
      <w:pPr>
        <w:wordWrap w:val="0"/>
        <w:spacing w:line="600" w:lineRule="exact"/>
        <w:ind w:firstLine="560" w:firstLineChars="200"/>
        <w:rPr>
          <w:rFonts w:asci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hint="eastAsia" w:ascii="楷体_GB2312" w:hAnsi="宋体" w:eastAsia="楷体_GB2312"/>
          <w:b/>
          <w:color w:val="000000" w:themeColor="text1"/>
          <w:sz w:val="28"/>
          <w:szCs w:val="28"/>
          <w:u w:val="single"/>
          <w14:textFill>
            <w14:solidFill>
              <w14:schemeClr w14:val="tx1"/>
            </w14:solidFill>
          </w14:textFill>
        </w:rPr>
        <w:t>达州市人民政府</w:t>
      </w:r>
      <w:r>
        <w:rPr>
          <w:rFonts w:hint="eastAsia" w:ascii="宋体" w:hAnsi="宋体"/>
          <w:color w:val="000000" w:themeColor="text1"/>
          <w:sz w:val="28"/>
          <w:szCs w:val="28"/>
          <w14:textFill>
            <w14:solidFill>
              <w14:schemeClr w14:val="tx1"/>
            </w14:solidFill>
          </w14:textFill>
        </w:rPr>
        <w:t>批准</w:t>
      </w:r>
      <w:r>
        <w:rPr>
          <w:rFonts w:ascii="宋体"/>
          <w:color w:val="000000" w:themeColor="text1"/>
          <w:sz w:val="28"/>
          <w:szCs w:val="28"/>
          <w14:textFill>
            <w14:solidFill>
              <w14:schemeClr w14:val="tx1"/>
            </w14:solidFill>
          </w14:textFill>
        </w:rPr>
        <w:t>,</w:t>
      </w:r>
      <w:r>
        <w:rPr>
          <w:rFonts w:hint="eastAsia" w:ascii="楷体_GB2312" w:hAnsi="宋体" w:eastAsia="楷体_GB2312"/>
          <w:b/>
          <w:color w:val="000000" w:themeColor="text1"/>
          <w:sz w:val="28"/>
          <w:szCs w:val="28"/>
          <w:u w:val="single"/>
          <w14:textFill>
            <w14:solidFill>
              <w14:schemeClr w14:val="tx1"/>
            </w14:solidFill>
          </w14:textFill>
        </w:rPr>
        <w:t xml:space="preserve"> 达州市自然资源和规划局</w:t>
      </w:r>
      <w:r>
        <w:rPr>
          <w:rFonts w:hint="eastAsia" w:ascii="宋体" w:hAnsi="宋体"/>
          <w:color w:val="000000" w:themeColor="text1"/>
          <w:sz w:val="28"/>
          <w:szCs w:val="28"/>
          <w14:textFill>
            <w14:solidFill>
              <w14:schemeClr w14:val="tx1"/>
            </w14:solidFill>
          </w14:textFill>
        </w:rPr>
        <w:t>决定拍卖出让</w:t>
      </w:r>
      <w:r>
        <w:rPr>
          <w:rFonts w:hint="eastAsia" w:ascii="宋体" w:hAnsi="宋体"/>
          <w:color w:val="000000" w:themeColor="text1"/>
          <w:sz w:val="28"/>
          <w:szCs w:val="28"/>
          <w:u w:val="single"/>
          <w14:textFill>
            <w14:solidFill>
              <w14:schemeClr w14:val="tx1"/>
            </w14:solidFill>
          </w14:textFill>
        </w:rPr>
        <w:t>马踏洞片区中心服务区</w:t>
      </w:r>
      <w:r>
        <w:rPr>
          <w:rFonts w:hint="eastAsia" w:ascii="宋体" w:hAnsi="宋体"/>
          <w:color w:val="000000" w:themeColor="text1"/>
          <w:sz w:val="28"/>
          <w:szCs w:val="28"/>
          <w:u w:val="single"/>
          <w:lang w:val="en-US" w:eastAsia="zh-CN"/>
          <w14:textFill>
            <w14:solidFill>
              <w14:schemeClr w14:val="tx1"/>
            </w14:solidFill>
          </w14:textFill>
        </w:rPr>
        <w:t>04-04a</w:t>
      </w:r>
      <w:r>
        <w:rPr>
          <w:rFonts w:hint="eastAsia" w:ascii="宋体" w:hAnsi="宋体"/>
          <w:color w:val="000000" w:themeColor="text1"/>
          <w:sz w:val="28"/>
          <w:szCs w:val="28"/>
          <w:u w:val="single"/>
          <w14:textFill>
            <w14:solidFill>
              <w14:schemeClr w14:val="tx1"/>
            </w14:solidFill>
          </w14:textFill>
        </w:rPr>
        <w:t>地块</w:t>
      </w:r>
      <w:r>
        <w:rPr>
          <w:rFonts w:hint="eastAsia" w:ascii="宋体" w:hAnsi="宋体"/>
          <w:color w:val="000000" w:themeColor="text1"/>
          <w:sz w:val="28"/>
          <w:szCs w:val="28"/>
          <w14:textFill>
            <w14:solidFill>
              <w14:schemeClr w14:val="tx1"/>
            </w14:solidFill>
          </w14:textFill>
        </w:rPr>
        <w:t>国有建设用地使用权。</w:t>
      </w:r>
    </w:p>
    <w:p>
      <w:pPr>
        <w:spacing w:line="600" w:lineRule="exact"/>
        <w:ind w:firstLine="560" w:firstLineChars="200"/>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一、本次国有建设用地使用权拍卖出让的出让人为</w:t>
      </w:r>
      <w:r>
        <w:rPr>
          <w:rFonts w:hint="eastAsia" w:ascii="楷体_GB2312" w:hAnsi="宋体" w:eastAsia="楷体_GB2312"/>
          <w:b/>
          <w:color w:val="000000" w:themeColor="text1"/>
          <w:sz w:val="28"/>
          <w:szCs w:val="28"/>
          <w:u w:val="single"/>
          <w14:textFill>
            <w14:solidFill>
              <w14:schemeClr w14:val="tx1"/>
            </w14:solidFill>
          </w14:textFill>
        </w:rPr>
        <w:t>达州市自然资源和规划局</w:t>
      </w:r>
      <w:r>
        <w:rPr>
          <w:rFonts w:hint="eastAsia" w:ascii="楷体" w:hAnsi="楷体" w:eastAsia="楷体"/>
          <w:b/>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由达州市公共资源交易服务中心</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简称：拍卖人</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具体组织实施。</w:t>
      </w:r>
    </w:p>
    <w:p>
      <w:pPr>
        <w:spacing w:line="600" w:lineRule="exact"/>
        <w:ind w:firstLine="560" w:firstLineChars="200"/>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二、本次国有建设用地使用权拍卖出让遵循公开、公平、公正和诚实信用原则。</w:t>
      </w:r>
    </w:p>
    <w:p>
      <w:pPr>
        <w:spacing w:line="600" w:lineRule="exact"/>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三、出让地块的基本情况及相关要求</w:t>
      </w:r>
    </w:p>
    <w:p>
      <w:pPr>
        <w:spacing w:line="600" w:lineRule="exact"/>
        <w:ind w:firstLine="560" w:firstLineChars="200"/>
        <w:jc w:val="left"/>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（一）地块位置：</w:t>
      </w:r>
      <w:r>
        <w:rPr>
          <w:rFonts w:hint="eastAsia" w:ascii="宋体" w:hAnsi="宋体"/>
          <w:color w:val="000000" w:themeColor="text1"/>
          <w:sz w:val="28"/>
          <w:szCs w:val="28"/>
          <w:lang w:val="en-US" w:eastAsia="zh-CN"/>
          <w14:textFill>
            <w14:solidFill>
              <w14:schemeClr w14:val="tx1"/>
            </w14:solidFill>
          </w14:textFill>
        </w:rPr>
        <w:t xml:space="preserve">凤凰大道西延线南侧 </w:t>
      </w:r>
      <w:r>
        <w:rPr>
          <w:rFonts w:hint="eastAsia" w:ascii="宋体" w:hAnsi="宋体"/>
          <w:color w:val="000000" w:themeColor="text1"/>
          <w:sz w:val="28"/>
          <w:szCs w:val="28"/>
          <w14:textFill>
            <w14:solidFill>
              <w14:schemeClr w14:val="tx1"/>
            </w14:solidFill>
          </w14:textFill>
        </w:rPr>
        <w:t>；</w:t>
      </w:r>
    </w:p>
    <w:p>
      <w:pPr>
        <w:spacing w:line="600" w:lineRule="exact"/>
        <w:ind w:firstLine="560" w:firstLineChars="200"/>
        <w:jc w:val="left"/>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（二）地块范围： 详见《马踏洞片区中心服务区</w:t>
      </w:r>
      <w:r>
        <w:rPr>
          <w:rFonts w:hint="eastAsia" w:ascii="宋体" w:hAnsi="宋体"/>
          <w:color w:val="000000" w:themeColor="text1"/>
          <w:sz w:val="28"/>
          <w:szCs w:val="28"/>
          <w:lang w:val="en-US" w:eastAsia="zh-CN"/>
          <w14:textFill>
            <w14:solidFill>
              <w14:schemeClr w14:val="tx1"/>
            </w14:solidFill>
          </w14:textFill>
        </w:rPr>
        <w:t>04-04a</w:t>
      </w:r>
      <w:r>
        <w:rPr>
          <w:rFonts w:hint="eastAsia" w:ascii="宋体" w:hAnsi="宋体"/>
          <w:color w:val="000000" w:themeColor="text1"/>
          <w:sz w:val="28"/>
          <w:szCs w:val="28"/>
          <w14:textFill>
            <w14:solidFill>
              <w14:schemeClr w14:val="tx1"/>
            </w14:solidFill>
          </w14:textFill>
        </w:rPr>
        <w:t>地块</w:t>
      </w:r>
      <w:r>
        <w:rPr>
          <w:rFonts w:hint="eastAsia" w:ascii="宋体" w:hAnsi="宋体"/>
          <w:color w:val="000000" w:themeColor="text1"/>
          <w:sz w:val="28"/>
          <w:szCs w:val="28"/>
          <w:lang w:val="en-US" w:eastAsia="zh-CN"/>
          <w14:textFill>
            <w14:solidFill>
              <w14:schemeClr w14:val="tx1"/>
            </w14:solidFill>
          </w14:textFill>
        </w:rPr>
        <w:t>勘界图</w:t>
      </w:r>
      <w:r>
        <w:rPr>
          <w:rFonts w:hint="eastAsia" w:ascii="宋体" w:hAnsi="宋体"/>
          <w:color w:val="000000" w:themeColor="text1"/>
          <w:sz w:val="28"/>
          <w:szCs w:val="28"/>
          <w14:textFill>
            <w14:solidFill>
              <w14:schemeClr w14:val="tx1"/>
            </w14:solidFill>
          </w14:textFill>
        </w:rPr>
        <w:t>》；</w:t>
      </w:r>
    </w:p>
    <w:p>
      <w:pPr>
        <w:spacing w:line="600" w:lineRule="exact"/>
        <w:ind w:firstLine="560" w:firstLineChars="200"/>
        <w:jc w:val="left"/>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（三）出让面积：</w:t>
      </w:r>
      <w:r>
        <w:rPr>
          <w:rFonts w:hint="eastAsia" w:ascii="宋体" w:hAnsi="宋体"/>
          <w:color w:val="000000" w:themeColor="text1"/>
          <w:sz w:val="28"/>
          <w:szCs w:val="28"/>
          <w:lang w:val="en-US" w:eastAsia="zh-CN"/>
          <w14:textFill>
            <w14:solidFill>
              <w14:schemeClr w14:val="tx1"/>
            </w14:solidFill>
          </w14:textFill>
        </w:rPr>
        <w:t>127992</w:t>
      </w:r>
      <w:r>
        <w:rPr>
          <w:rFonts w:hint="eastAsia" w:ascii="宋体" w:hAnsi="宋体"/>
          <w:color w:val="000000" w:themeColor="text1"/>
          <w:sz w:val="28"/>
          <w:szCs w:val="28"/>
          <w14:textFill>
            <w14:solidFill>
              <w14:schemeClr w14:val="tx1"/>
            </w14:solidFill>
          </w14:textFill>
        </w:rPr>
        <w:t>平方米</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191.99亩</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w:t>
      </w:r>
    </w:p>
    <w:p>
      <w:pPr>
        <w:spacing w:line="600" w:lineRule="exact"/>
        <w:ind w:firstLine="560" w:firstLineChars="200"/>
        <w:jc w:val="left"/>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（四）土地用途：</w:t>
      </w:r>
      <w:r>
        <w:rPr>
          <w:rFonts w:hint="eastAsia" w:ascii="宋体" w:hAnsi="宋体"/>
          <w:color w:val="000000" w:themeColor="text1"/>
          <w:sz w:val="28"/>
          <w:szCs w:val="28"/>
          <w:lang w:val="en-US" w:eastAsia="zh-CN"/>
          <w14:textFill>
            <w14:solidFill>
              <w14:schemeClr w14:val="tx1"/>
            </w14:solidFill>
          </w14:textFill>
        </w:rPr>
        <w:t>住宅用地（兼容商业用地）</w:t>
      </w:r>
      <w:r>
        <w:rPr>
          <w:rFonts w:hint="default"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 xml:space="preserve"> ；</w:t>
      </w:r>
    </w:p>
    <w:p>
      <w:pPr>
        <w:spacing w:line="600" w:lineRule="exact"/>
        <w:ind w:firstLine="560" w:firstLineChars="200"/>
        <w:jc w:val="left"/>
        <w:rPr>
          <w:rFonts w:hint="eastAsia" w:ascii="宋体" w:hAnsi="宋体" w:cs="Times New Roman"/>
          <w:color w:val="000000" w:themeColor="text1"/>
          <w:sz w:val="28"/>
          <w:szCs w:val="28"/>
          <w14:textFill>
            <w14:solidFill>
              <w14:schemeClr w14:val="tx1"/>
            </w14:solidFill>
          </w14:textFill>
        </w:rPr>
      </w:pPr>
      <w:r>
        <w:rPr>
          <w:rFonts w:hint="eastAsia" w:ascii="宋体" w:hAnsi="宋体" w:cs="Times New Roman"/>
          <w:color w:val="000000" w:themeColor="text1"/>
          <w:sz w:val="28"/>
          <w:szCs w:val="28"/>
          <w14:textFill>
            <w14:solidFill>
              <w14:schemeClr w14:val="tx1"/>
            </w14:solidFill>
          </w14:textFill>
        </w:rPr>
        <w:t>（五）出让年限：商业40年，住宅70年；</w:t>
      </w:r>
    </w:p>
    <w:p>
      <w:pPr>
        <w:spacing w:line="600" w:lineRule="exact"/>
        <w:ind w:firstLine="560" w:firstLineChars="200"/>
        <w:jc w:val="left"/>
        <w:rPr>
          <w:rFonts w:hint="eastAsia" w:ascii="宋体" w:hAnsi="宋体" w:cs="Times New Roman"/>
          <w:color w:val="000000" w:themeColor="text1"/>
          <w:sz w:val="28"/>
          <w:szCs w:val="28"/>
          <w14:textFill>
            <w14:solidFill>
              <w14:schemeClr w14:val="tx1"/>
            </w14:solidFill>
          </w14:textFill>
        </w:rPr>
      </w:pPr>
      <w:r>
        <w:rPr>
          <w:rFonts w:hint="eastAsia" w:ascii="宋体" w:hAnsi="宋体" w:cs="Times New Roman"/>
          <w:color w:val="000000" w:themeColor="text1"/>
          <w:sz w:val="28"/>
          <w:szCs w:val="28"/>
          <w14:textFill>
            <w14:solidFill>
              <w14:schemeClr w14:val="tx1"/>
            </w14:solidFill>
          </w14:textFill>
        </w:rPr>
        <w:t>（六）规划条件：</w:t>
      </w:r>
      <w:r>
        <w:rPr>
          <w:rFonts w:hint="eastAsia" w:ascii="宋体" w:hAnsi="宋体"/>
          <w:color w:val="000000" w:themeColor="text1"/>
          <w:sz w:val="28"/>
          <w:szCs w:val="28"/>
          <w14:textFill>
            <w14:solidFill>
              <w14:schemeClr w14:val="tx1"/>
            </w14:solidFill>
          </w14:textFill>
        </w:rPr>
        <w:t>详见</w:t>
      </w:r>
      <w:r>
        <w:rPr>
          <w:rFonts w:hint="eastAsia" w:ascii="宋体" w:hAnsi="宋体"/>
          <w:color w:val="000000" w:themeColor="text1"/>
          <w:sz w:val="28"/>
          <w:szCs w:val="28"/>
          <w:lang w:val="en-US"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马踏洞片区中心服务区</w:t>
      </w:r>
      <w:r>
        <w:rPr>
          <w:rFonts w:hint="eastAsia" w:ascii="宋体" w:hAnsi="宋体"/>
          <w:color w:val="000000" w:themeColor="text1"/>
          <w:sz w:val="28"/>
          <w:szCs w:val="28"/>
          <w:lang w:val="en-US" w:eastAsia="zh-CN"/>
          <w14:textFill>
            <w14:solidFill>
              <w14:schemeClr w14:val="tx1"/>
            </w14:solidFill>
          </w14:textFill>
        </w:rPr>
        <w:t>04-04a</w:t>
      </w:r>
      <w:r>
        <w:rPr>
          <w:rFonts w:hint="eastAsia" w:ascii="宋体" w:hAnsi="宋体"/>
          <w:color w:val="000000" w:themeColor="text1"/>
          <w:sz w:val="28"/>
          <w:szCs w:val="28"/>
          <w14:textFill>
            <w14:solidFill>
              <w14:schemeClr w14:val="tx1"/>
            </w14:solidFill>
          </w14:textFill>
        </w:rPr>
        <w:t>地块</w:t>
      </w:r>
      <w:r>
        <w:rPr>
          <w:rFonts w:hint="eastAsia" w:ascii="宋体" w:hAnsi="宋体"/>
          <w:color w:val="000000" w:themeColor="text1"/>
          <w:sz w:val="28"/>
          <w:szCs w:val="28"/>
          <w:lang w:val="en-US" w:eastAsia="zh-CN"/>
          <w14:textFill>
            <w14:solidFill>
              <w14:schemeClr w14:val="tx1"/>
            </w14:solidFill>
          </w14:textFill>
        </w:rPr>
        <w:t>规划条件》</w:t>
      </w:r>
      <w:r>
        <w:rPr>
          <w:rFonts w:hint="default" w:ascii="宋体" w:hAnsi="宋体" w:cs="Times New Roman"/>
          <w:color w:val="000000" w:themeColor="text1"/>
          <w:sz w:val="28"/>
          <w:szCs w:val="28"/>
          <w:lang w:val="en-US" w:eastAsia="zh-CN"/>
          <w14:textFill>
            <w14:solidFill>
              <w14:schemeClr w14:val="tx1"/>
            </w14:solidFill>
          </w14:textFill>
        </w:rPr>
        <w:t xml:space="preserve">。 </w:t>
      </w:r>
    </w:p>
    <w:p>
      <w:pPr>
        <w:spacing w:line="600" w:lineRule="exact"/>
        <w:ind w:firstLine="560" w:firstLineChars="200"/>
        <w:jc w:val="left"/>
        <w:rPr>
          <w:rFonts w:hint="eastAsia" w:ascii="宋体" w:hAnsi="宋体" w:cs="Times New Roman"/>
          <w:color w:val="000000" w:themeColor="text1"/>
          <w:sz w:val="28"/>
          <w:szCs w:val="28"/>
          <w14:textFill>
            <w14:solidFill>
              <w14:schemeClr w14:val="tx1"/>
            </w14:solidFill>
          </w14:textFill>
        </w:rPr>
      </w:pPr>
      <w:r>
        <w:rPr>
          <w:rFonts w:hint="eastAsia" w:ascii="宋体" w:hAnsi="宋体" w:cs="Times New Roman"/>
          <w:color w:val="000000" w:themeColor="text1"/>
          <w:sz w:val="28"/>
          <w:szCs w:val="28"/>
          <w14:textFill>
            <w14:solidFill>
              <w14:schemeClr w14:val="tx1"/>
            </w14:solidFill>
          </w14:textFill>
        </w:rPr>
        <w:t>（七）配套服务设施：</w:t>
      </w:r>
    </w:p>
    <w:p>
      <w:pPr>
        <w:spacing w:line="578" w:lineRule="exact"/>
        <w:ind w:firstLine="560" w:firstLineChars="200"/>
        <w:rPr>
          <w:rFonts w:ascii="Times New Roman" w:hAnsi="Times New Roman" w:eastAsia="仿宋_GB2312" w:cs="Times New Roman"/>
          <w:color w:val="000000"/>
          <w:sz w:val="32"/>
          <w:szCs w:val="32"/>
        </w:rPr>
      </w:pPr>
      <w:r>
        <w:rPr>
          <w:rFonts w:hint="eastAsia" w:ascii="宋体" w:hAnsi="宋体"/>
          <w:color w:val="000000" w:themeColor="text1"/>
          <w:sz w:val="28"/>
          <w:szCs w:val="28"/>
          <w:lang w:val="en-US" w:eastAsia="zh-CN"/>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 xml:space="preserve"> </w:t>
      </w:r>
      <w:r>
        <w:rPr>
          <w:rFonts w:ascii="Times New Roman" w:hAnsi="Times New Roman" w:eastAsia="仿宋_GB2312" w:cs="Times New Roman"/>
          <w:color w:val="000000"/>
          <w:sz w:val="32"/>
          <w:szCs w:val="32"/>
        </w:rPr>
        <w:t>根据《达州市人民政府办公室关于印发达州市中心城区新建住宅小区配套建设社区综合服务设施实施办法的通知》（达市府办〔2018〕57号）精神，按照总</w:t>
      </w:r>
      <w:r>
        <w:rPr>
          <w:rFonts w:ascii="Times New Roman" w:hAnsi="Times New Roman" w:eastAsia="仿宋_GB2312" w:cs="Times New Roman"/>
          <w:bCs/>
          <w:color w:val="000000"/>
          <w:sz w:val="32"/>
          <w:szCs w:val="32"/>
        </w:rPr>
        <w:t>计容住宅建筑面积3‰的比例无偿配建一个或多个社区综合服务设施</w:t>
      </w:r>
      <w:r>
        <w:rPr>
          <w:rFonts w:hint="eastAsia" w:eastAsia="仿宋_GB2312" w:cs="Times New Roman"/>
          <w:bCs/>
          <w:color w:val="000000"/>
          <w:sz w:val="32"/>
          <w:szCs w:val="32"/>
          <w:lang w:eastAsia="zh-CN"/>
        </w:rPr>
        <w:t>，</w:t>
      </w:r>
      <w:r>
        <w:rPr>
          <w:rFonts w:ascii="Times New Roman" w:hAnsi="Times New Roman" w:eastAsia="仿宋_GB2312" w:cs="Times New Roman"/>
          <w:color w:val="000000"/>
          <w:sz w:val="32"/>
          <w:szCs w:val="32"/>
        </w:rPr>
        <w:t>社区综合服务设施的建筑面积不计入项目容积率，其不动产权和使用权归地方政府。</w:t>
      </w:r>
    </w:p>
    <w:p>
      <w:pPr>
        <w:spacing w:line="578" w:lineRule="exact"/>
        <w:ind w:firstLine="640" w:firstLineChars="200"/>
        <w:jc w:val="left"/>
        <w:rPr>
          <w:rFonts w:hint="eastAsia" w:ascii="仿宋" w:hAnsi="仿宋" w:eastAsia="仿宋" w:cs="仿宋"/>
          <w:color w:val="000000"/>
          <w:sz w:val="32"/>
          <w:szCs w:val="32"/>
          <w:lang w:val="en-US" w:eastAsia="zh-CN"/>
        </w:rPr>
      </w:pPr>
      <w:r>
        <w:rPr>
          <w:rFonts w:hint="eastAsia" w:ascii="仿宋" w:hAnsi="仿宋" w:eastAsia="仿宋" w:cs="仿宋"/>
          <w:color w:val="000000" w:themeColor="text1"/>
          <w:sz w:val="32"/>
          <w:szCs w:val="32"/>
          <w:lang w:val="en-US" w:eastAsia="zh-CN"/>
          <w14:textFill>
            <w14:solidFill>
              <w14:schemeClr w14:val="tx1"/>
            </w14:solidFill>
          </w14:textFill>
        </w:rPr>
        <w:t>2.项目排水实行雨污分流，生活污水应接入市政污水管网排放。地块内建筑间距、退用地界线距离、停车泊位等应满足《城市居住区规划设计标准》（GB50180-2018）、《达州市城市规划管理技术规定》（2019 版）及其补充规定、《达州市城市道路两侧绿带控制规划》、《达州市马踏洞中心服务区控制性详细规划》（2018 年版）等相关规定。</w:t>
      </w:r>
    </w:p>
    <w:p>
      <w:pPr>
        <w:spacing w:line="600" w:lineRule="exact"/>
        <w:ind w:firstLine="560" w:firstLineChars="200"/>
        <w:rPr>
          <w:rFonts w:ascii="宋体"/>
          <w:b/>
          <w:color w:val="FF0000"/>
          <w:sz w:val="28"/>
          <w:szCs w:val="28"/>
          <w:u w:val="single"/>
        </w:rPr>
      </w:pPr>
      <w:r>
        <w:rPr>
          <w:rFonts w:hint="eastAsia" w:ascii="宋体" w:hAnsi="宋体"/>
          <w:color w:val="auto"/>
          <w:sz w:val="28"/>
          <w:szCs w:val="28"/>
        </w:rPr>
        <w:t>（八）本宗地实行现状出让：</w:t>
      </w:r>
      <w:r>
        <w:rPr>
          <w:rFonts w:hint="eastAsia" w:ascii="楷体_GB2312" w:hAnsi="黑体" w:eastAsia="楷体_GB2312" w:cs="宋体"/>
          <w:b/>
          <w:color w:val="FF0000"/>
          <w:sz w:val="28"/>
          <w:szCs w:val="28"/>
          <w:u w:val="single"/>
        </w:rPr>
        <w:t>宗地场地平整、弃土及其他附着物的清理由竞得人自行解决并承担费用</w:t>
      </w:r>
      <w:r>
        <w:rPr>
          <w:rFonts w:hint="eastAsia" w:ascii="楷体_GB2312" w:hAnsi="黑体" w:eastAsia="楷体_GB2312" w:cs="宋体"/>
          <w:b/>
          <w:color w:val="FF0000"/>
          <w:sz w:val="28"/>
          <w:szCs w:val="28"/>
          <w:u w:val="single"/>
          <w:lang w:eastAsia="zh-CN"/>
        </w:rPr>
        <w:t>，</w:t>
      </w:r>
      <w:r>
        <w:rPr>
          <w:rFonts w:hint="eastAsia" w:ascii="楷体_GB2312" w:hAnsi="黑体" w:eastAsia="楷体_GB2312" w:cs="宋体"/>
          <w:b/>
          <w:color w:val="FF0000"/>
          <w:sz w:val="28"/>
          <w:szCs w:val="28"/>
          <w:u w:val="single"/>
          <w:lang w:val="en-US" w:eastAsia="zh-CN"/>
        </w:rPr>
        <w:t>地面构建筑物的拆除由竞得人实施并承担费用；</w:t>
      </w:r>
      <w:r>
        <w:rPr>
          <w:rFonts w:hint="eastAsia" w:ascii="楷体_GB2312" w:hAnsi="黑体" w:eastAsia="楷体_GB2312" w:cs="宋体"/>
          <w:b/>
          <w:color w:val="FF0000"/>
          <w:sz w:val="28"/>
          <w:szCs w:val="28"/>
          <w:u w:val="single"/>
        </w:rPr>
        <w:t>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600" w:lineRule="exact"/>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（九）动工及竣工期</w:t>
      </w:r>
      <w:r>
        <w:rPr>
          <w:rFonts w:hint="eastAsia" w:ascii="宋体" w:hAnsi="宋体" w:cs="Times New Roman"/>
          <w:color w:val="auto"/>
          <w:sz w:val="28"/>
          <w:szCs w:val="28"/>
          <w:lang w:val="en-US" w:eastAsia="zh-CN"/>
        </w:rPr>
        <w:t>限：受让人须自交地之日起 1 年内开工，自开工之日起 3 年内建成；受让人不能按</w:t>
      </w:r>
      <w:r>
        <w:rPr>
          <w:rFonts w:hint="default" w:ascii="宋体" w:hAnsi="宋体" w:cs="Times New Roman"/>
          <w:color w:val="auto"/>
          <w:sz w:val="28"/>
          <w:szCs w:val="28"/>
          <w:lang w:val="en-US" w:eastAsia="zh-CN"/>
        </w:rPr>
        <w:t>期开工，应提前 30 日向出让人提出延建申请，经出让人同意延建的，其项目竣工时间相应顺延，但延建期限不得超过一年</w:t>
      </w:r>
      <w:r>
        <w:rPr>
          <w:rFonts w:hint="eastAsia" w:ascii="宋体" w:hAnsi="宋体" w:cs="Times New Roman"/>
          <w:color w:val="auto"/>
          <w:sz w:val="28"/>
          <w:szCs w:val="28"/>
        </w:rPr>
        <w:t>。</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（十）土地竞得人须严格按照马踏洞片区中心服务区 04-04a 地块规划条件及要求进行开发建设；须严格按照地质灾害防治的相关要求，落实地质灾害防治措施；须严格按照生态环境保护的相关要求，开展环境影响评价，落实生态环境保护措施。</w:t>
      </w:r>
    </w:p>
    <w:p>
      <w:pPr>
        <w:spacing w:line="600" w:lineRule="exact"/>
        <w:ind w:firstLine="640" w:firstLineChars="200"/>
        <w:rPr>
          <w:rFonts w:hint="eastAsia" w:eastAsia="仿宋_GB2312"/>
          <w:color w:val="000000" w:themeColor="text1"/>
          <w:sz w:val="32"/>
          <w:szCs w:val="32"/>
          <w:lang w:val="en-US" w:eastAsia="zh-CN"/>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四、竞买资格及要求</w:t>
      </w:r>
    </w:p>
    <w:p>
      <w:pPr>
        <w:spacing w:line="600" w:lineRule="exact"/>
        <w:ind w:firstLine="640" w:firstLineChars="200"/>
        <w:rPr>
          <w:rFonts w:hint="eastAsia" w:eastAsia="仿宋_GB2312"/>
          <w:color w:val="000000" w:themeColor="text1"/>
          <w:sz w:val="32"/>
          <w:szCs w:val="32"/>
          <w:lang w:val="en-US" w:eastAsia="zh-CN"/>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 xml:space="preserve"> (一)竞买资格</w:t>
      </w:r>
    </w:p>
    <w:p>
      <w:pPr>
        <w:spacing w:line="600" w:lineRule="exact"/>
        <w:ind w:firstLine="640" w:firstLineChars="200"/>
        <w:rPr>
          <w:rFonts w:hint="eastAsia" w:eastAsia="仿宋_GB2312"/>
          <w:color w:val="000000" w:themeColor="text1"/>
          <w:sz w:val="32"/>
          <w:szCs w:val="32"/>
          <w:lang w:val="en-US" w:eastAsia="zh-CN"/>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1.中华人民共和国境内外的法人、自然人和其他组织（除法律法规另有规定的外）均可申请参加，申请人可以单独申请，也可以联合申请。</w:t>
      </w:r>
    </w:p>
    <w:p>
      <w:pPr>
        <w:spacing w:line="600" w:lineRule="exact"/>
        <w:ind w:firstLine="640" w:firstLineChars="200"/>
        <w:rPr>
          <w:rFonts w:hint="eastAsia" w:eastAsia="仿宋_GB2312"/>
          <w:color w:val="000000" w:themeColor="text1"/>
          <w:sz w:val="32"/>
          <w:szCs w:val="32"/>
          <w:lang w:val="en-US" w:eastAsia="zh-CN"/>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2.在达州市内有下列情形之一的，不得申请参与本次拍卖活动。</w:t>
      </w:r>
    </w:p>
    <w:p>
      <w:pPr>
        <w:spacing w:line="600" w:lineRule="exact"/>
        <w:ind w:firstLine="640" w:firstLineChars="200"/>
        <w:rPr>
          <w:rFonts w:hint="eastAsia" w:eastAsia="仿宋_GB2312"/>
          <w:color w:val="000000" w:themeColor="text1"/>
          <w:sz w:val="32"/>
          <w:szCs w:val="32"/>
          <w:lang w:val="en-US" w:eastAsia="zh-CN"/>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①逾期不签成交确认书、土地出让合同的；</w:t>
      </w:r>
    </w:p>
    <w:p>
      <w:pPr>
        <w:spacing w:line="600" w:lineRule="exact"/>
        <w:ind w:firstLine="640" w:firstLineChars="200"/>
        <w:rPr>
          <w:rFonts w:hint="eastAsia" w:eastAsia="仿宋_GB2312"/>
          <w:color w:val="000000" w:themeColor="text1"/>
          <w:sz w:val="32"/>
          <w:szCs w:val="32"/>
          <w:lang w:val="en-US" w:eastAsia="zh-CN"/>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②欠缴土地出让价款的；</w:t>
      </w:r>
    </w:p>
    <w:p>
      <w:pPr>
        <w:spacing w:line="600" w:lineRule="exact"/>
        <w:ind w:firstLine="640" w:firstLineChars="200"/>
        <w:rPr>
          <w:rFonts w:ascii="仿宋" w:hAnsi="仿宋" w:eastAsia="仿宋" w:cs="宋体"/>
          <w:color w:val="000000" w:themeColor="text1"/>
          <w:sz w:val="28"/>
          <w:szCs w:val="28"/>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③因企业原因闲置土地一年以上，且尚未完成查处整改的单位和个</w:t>
      </w:r>
      <w:r>
        <w:rPr>
          <w:rFonts w:hint="eastAsia" w:ascii="仿宋" w:hAnsi="仿宋" w:eastAsia="仿宋" w:cs="宋体"/>
          <w:color w:val="000000" w:themeColor="text1"/>
          <w:sz w:val="28"/>
          <w:szCs w:val="28"/>
          <w14:textFill>
            <w14:solidFill>
              <w14:schemeClr w14:val="tx1"/>
            </w14:solidFill>
          </w14:textFill>
        </w:rPr>
        <w:t>人；</w:t>
      </w:r>
    </w:p>
    <w:p>
      <w:pPr>
        <w:spacing w:line="600" w:lineRule="exact"/>
        <w:ind w:firstLine="640" w:firstLineChars="200"/>
        <w:rPr>
          <w:rFonts w:hint="eastAsia" w:eastAsia="仿宋_GB2312"/>
          <w:color w:val="000000" w:themeColor="text1"/>
          <w:sz w:val="32"/>
          <w:szCs w:val="32"/>
          <w:lang w:val="en-US" w:eastAsia="zh-CN"/>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④违反土地及城乡规划法律法规受到处罚，且尚未结案的单位和个人。</w:t>
      </w:r>
    </w:p>
    <w:p>
      <w:pPr>
        <w:spacing w:line="600" w:lineRule="exact"/>
        <w:ind w:firstLine="640" w:firstLineChars="200"/>
        <w:rPr>
          <w:rFonts w:hint="eastAsia" w:eastAsia="仿宋_GB2312"/>
          <w:color w:val="000000" w:themeColor="text1"/>
          <w:sz w:val="32"/>
          <w:szCs w:val="32"/>
          <w:lang w:val="en-US" w:eastAsia="zh-CN"/>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（二）要求</w:t>
      </w:r>
    </w:p>
    <w:p>
      <w:pPr>
        <w:spacing w:line="600" w:lineRule="exact"/>
        <w:ind w:firstLine="640" w:firstLineChars="200"/>
        <w:rPr>
          <w:rFonts w:ascii="仿宋" w:hAnsi="仿宋" w:eastAsia="仿宋" w:cs="宋体"/>
          <w:color w:val="000000" w:themeColor="text1"/>
          <w:sz w:val="28"/>
          <w:szCs w:val="28"/>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1.竞买申请人按照地块拍卖出让公告的日期及方式索取拍卖文件。申请人应认真审阅、全面准确地理解拍卖文件内容，对本次拍卖出让地块的文件有疑问的，可向出让人、拍卖人咨询（咨询电话：出让人电话</w:t>
      </w:r>
      <w:r>
        <w:rPr>
          <w:rFonts w:ascii="仿宋" w:hAnsi="仿宋" w:eastAsia="仿宋" w:cs="仿宋_GB2312"/>
          <w:b/>
          <w:color w:val="000000" w:themeColor="text1"/>
          <w:sz w:val="28"/>
          <w:szCs w:val="28"/>
          <w:u w:val="single"/>
          <w14:textFill>
            <w14:solidFill>
              <w14:schemeClr w14:val="tx1"/>
            </w14:solidFill>
          </w14:textFill>
        </w:rPr>
        <w:t xml:space="preserve">0818-2377534  </w:t>
      </w:r>
      <w:r>
        <w:rPr>
          <w:rFonts w:hint="eastAsia" w:ascii="仿宋" w:hAnsi="仿宋" w:eastAsia="仿宋" w:cs="仿宋_GB2312"/>
          <w:color w:val="000000" w:themeColor="text1"/>
          <w:sz w:val="28"/>
          <w:szCs w:val="28"/>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拍卖人电话0818-3333699）。</w:t>
      </w:r>
    </w:p>
    <w:p>
      <w:pPr>
        <w:pStyle w:val="11"/>
        <w:spacing w:before="0" w:beforeAutospacing="0" w:after="0" w:afterAutospacing="0" w:line="600" w:lineRule="exact"/>
        <w:ind w:firstLine="604" w:firstLineChars="189"/>
        <w:jc w:val="both"/>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2.竞买申请人除须按规定交纳竞买保证金外，还须提供该竞买保证金不属于银行贷款、股东借款、转贷和募集资金的承诺书及商业金融机构的资信证明。</w:t>
      </w:r>
    </w:p>
    <w:p>
      <w:pPr>
        <w:pStyle w:val="11"/>
        <w:spacing w:before="0" w:beforeAutospacing="0" w:after="0" w:afterAutospacing="0" w:line="600" w:lineRule="exact"/>
        <w:ind w:firstLine="604" w:firstLineChars="189"/>
        <w:jc w:val="both"/>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3.土地所在辖区外的竞买申请人须承诺，若竞得土地使用权后，须在土地所在辖区成立一家新公司对竞得土地进行开发建设。</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五、申请和资格审查</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（一）拍卖文件取得</w:t>
      </w:r>
    </w:p>
    <w:p>
      <w:pPr>
        <w:pStyle w:val="25"/>
        <w:widowControl w:val="0"/>
        <w:spacing w:line="600" w:lineRule="exact"/>
        <w:ind w:left="0"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竞买申请人可于</w:t>
      </w:r>
      <w:r>
        <w:rPr>
          <w:rFonts w:ascii="仿宋" w:hAnsi="仿宋" w:eastAsia="仿宋" w:cs="宋体"/>
          <w:b/>
          <w:color w:val="000000" w:themeColor="text1"/>
          <w:sz w:val="28"/>
          <w:szCs w:val="28"/>
          <w:u w:val="single"/>
          <w14:textFill>
            <w14:solidFill>
              <w14:schemeClr w14:val="tx1"/>
            </w14:solidFill>
          </w14:textFill>
        </w:rPr>
        <w:t>2</w:t>
      </w:r>
      <w:r>
        <w:rPr>
          <w:rFonts w:ascii="仿宋" w:hAnsi="仿宋" w:eastAsia="仿宋" w:cs="宋体"/>
          <w:b/>
          <w:color w:val="FF0000"/>
          <w:sz w:val="28"/>
          <w:szCs w:val="28"/>
          <w:u w:val="single"/>
        </w:rPr>
        <w:t>02</w:t>
      </w:r>
      <w:r>
        <w:rPr>
          <w:rFonts w:hint="eastAsia" w:ascii="仿宋" w:hAnsi="仿宋" w:eastAsia="仿宋" w:cs="宋体"/>
          <w:b/>
          <w:color w:val="FF0000"/>
          <w:sz w:val="28"/>
          <w:szCs w:val="28"/>
          <w:u w:val="single"/>
        </w:rPr>
        <w:t>1年</w:t>
      </w:r>
      <w:r>
        <w:rPr>
          <w:rFonts w:hint="eastAsia" w:ascii="仿宋" w:hAnsi="仿宋" w:eastAsia="仿宋" w:cs="宋体"/>
          <w:b/>
          <w:color w:val="FF0000"/>
          <w:sz w:val="28"/>
          <w:szCs w:val="28"/>
          <w:u w:val="single"/>
          <w:lang w:val="en-US" w:eastAsia="zh-CN"/>
        </w:rPr>
        <w:t>3</w:t>
      </w:r>
      <w:r>
        <w:rPr>
          <w:rFonts w:hint="eastAsia" w:ascii="仿宋" w:hAnsi="仿宋" w:eastAsia="仿宋" w:cs="宋体"/>
          <w:b/>
          <w:color w:val="FF0000"/>
          <w:sz w:val="28"/>
          <w:szCs w:val="28"/>
          <w:u w:val="single"/>
        </w:rPr>
        <w:t>月</w:t>
      </w:r>
      <w:r>
        <w:rPr>
          <w:rFonts w:hint="eastAsia" w:ascii="仿宋" w:hAnsi="仿宋" w:eastAsia="仿宋" w:cs="宋体"/>
          <w:b/>
          <w:color w:val="FF0000"/>
          <w:sz w:val="28"/>
          <w:szCs w:val="28"/>
          <w:u w:val="single"/>
          <w:lang w:val="en-US" w:eastAsia="zh-CN"/>
        </w:rPr>
        <w:t>18</w:t>
      </w:r>
      <w:r>
        <w:rPr>
          <w:rFonts w:hint="eastAsia" w:ascii="仿宋" w:hAnsi="仿宋" w:eastAsia="仿宋" w:cs="宋体"/>
          <w:b/>
          <w:color w:val="FF0000"/>
          <w:sz w:val="28"/>
          <w:szCs w:val="28"/>
          <w:u w:val="single"/>
        </w:rPr>
        <w:t>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w:t>
      </w:r>
      <w:r>
        <w:rPr>
          <w:rFonts w:hint="eastAsia" w:ascii="仿宋" w:hAnsi="仿宋" w:eastAsia="仿宋" w:cs="宋体"/>
          <w:b/>
          <w:color w:val="FF0000"/>
          <w:sz w:val="28"/>
          <w:szCs w:val="28"/>
          <w:u w:val="single"/>
          <w:lang w:val="en-US" w:eastAsia="zh-CN"/>
        </w:rPr>
        <w:t>4</w:t>
      </w:r>
      <w:r>
        <w:rPr>
          <w:rFonts w:hint="eastAsia" w:ascii="仿宋" w:hAnsi="仿宋" w:eastAsia="仿宋" w:cs="宋体"/>
          <w:b/>
          <w:color w:val="FF0000"/>
          <w:sz w:val="28"/>
          <w:szCs w:val="28"/>
          <w:u w:val="single"/>
        </w:rPr>
        <w:t>月</w:t>
      </w:r>
      <w:r>
        <w:rPr>
          <w:rFonts w:hint="eastAsia" w:ascii="仿宋" w:hAnsi="仿宋" w:eastAsia="仿宋" w:cs="宋体"/>
          <w:b/>
          <w:color w:val="FF0000"/>
          <w:sz w:val="28"/>
          <w:szCs w:val="28"/>
          <w:u w:val="single"/>
          <w:lang w:val="en-US" w:eastAsia="zh-CN"/>
        </w:rPr>
        <w:t>6</w:t>
      </w:r>
      <w:r>
        <w:rPr>
          <w:rFonts w:hint="eastAsia" w:ascii="仿宋" w:hAnsi="仿宋" w:eastAsia="仿宋" w:cs="宋体"/>
          <w:b/>
          <w:color w:val="FF0000"/>
          <w:sz w:val="28"/>
          <w:szCs w:val="28"/>
          <w:u w:val="single"/>
        </w:rPr>
        <w:t>日</w:t>
      </w:r>
      <w:r>
        <w:rPr>
          <w:rFonts w:ascii="仿宋" w:hAnsi="仿宋" w:eastAsia="仿宋" w:cs="宋体"/>
          <w:b/>
          <w:color w:val="FF0000"/>
          <w:sz w:val="28"/>
          <w:szCs w:val="28"/>
          <w:u w:val="single"/>
        </w:rPr>
        <w:t xml:space="preserve"> 17:00</w:t>
      </w:r>
      <w:r>
        <w:rPr>
          <w:rFonts w:hint="eastAsia" w:ascii="仿宋" w:hAnsi="仿宋" w:eastAsia="仿宋" w:cs="仿宋_GB2312"/>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通过达州市公共资源交易服务网（</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fldChar w:fldCharType="begin"/>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instrText xml:space="preserve"> HYPERLINK "http://www.dzggzy.cn/" </w:instrTex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fldChar w:fldCharType="separate"/>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http://www.dzggzy.cn</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fldChar w:fldCharType="end"/>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）获取拍卖出让文件。</w:t>
      </w:r>
    </w:p>
    <w:p>
      <w:pPr>
        <w:pStyle w:val="25"/>
        <w:widowControl w:val="0"/>
        <w:spacing w:line="600" w:lineRule="exact"/>
        <w:ind w:left="0"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（二）提交申请文件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竞买申请人应于</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w:t>
      </w:r>
      <w:r>
        <w:rPr>
          <w:rFonts w:hint="eastAsia" w:ascii="仿宋" w:hAnsi="仿宋" w:eastAsia="仿宋" w:cs="宋体"/>
          <w:b/>
          <w:color w:val="FF0000"/>
          <w:sz w:val="28"/>
          <w:szCs w:val="28"/>
          <w:u w:val="single"/>
          <w:lang w:val="en-US" w:eastAsia="zh-CN"/>
        </w:rPr>
        <w:t>3</w:t>
      </w:r>
      <w:r>
        <w:rPr>
          <w:rFonts w:hint="eastAsia" w:ascii="仿宋" w:hAnsi="仿宋" w:eastAsia="仿宋" w:cs="宋体"/>
          <w:b/>
          <w:color w:val="FF0000"/>
          <w:sz w:val="28"/>
          <w:szCs w:val="28"/>
          <w:u w:val="single"/>
        </w:rPr>
        <w:t>月</w:t>
      </w:r>
      <w:r>
        <w:rPr>
          <w:rFonts w:hint="eastAsia" w:ascii="仿宋" w:hAnsi="仿宋" w:eastAsia="仿宋" w:cs="宋体"/>
          <w:b/>
          <w:color w:val="FF0000"/>
          <w:sz w:val="28"/>
          <w:szCs w:val="28"/>
          <w:u w:val="single"/>
          <w:lang w:val="en-US" w:eastAsia="zh-CN"/>
        </w:rPr>
        <w:t>18</w:t>
      </w:r>
      <w:r>
        <w:rPr>
          <w:rFonts w:hint="eastAsia" w:ascii="仿宋" w:hAnsi="仿宋" w:eastAsia="仿宋" w:cs="宋体"/>
          <w:b/>
          <w:color w:val="FF0000"/>
          <w:sz w:val="28"/>
          <w:szCs w:val="28"/>
          <w:u w:val="single"/>
        </w:rPr>
        <w:t>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w:t>
      </w:r>
      <w:r>
        <w:rPr>
          <w:rFonts w:hint="eastAsia" w:ascii="仿宋" w:hAnsi="仿宋" w:eastAsia="仿宋" w:cs="宋体"/>
          <w:b/>
          <w:color w:val="FF0000"/>
          <w:sz w:val="28"/>
          <w:szCs w:val="28"/>
          <w:u w:val="single"/>
          <w:lang w:val="en-US" w:eastAsia="zh-CN"/>
        </w:rPr>
        <w:t>4</w:t>
      </w:r>
      <w:r>
        <w:rPr>
          <w:rFonts w:hint="eastAsia" w:ascii="仿宋" w:hAnsi="仿宋" w:eastAsia="仿宋" w:cs="宋体"/>
          <w:b/>
          <w:color w:val="FF0000"/>
          <w:sz w:val="28"/>
          <w:szCs w:val="28"/>
          <w:u w:val="single"/>
        </w:rPr>
        <w:t>月</w:t>
      </w:r>
      <w:r>
        <w:rPr>
          <w:rFonts w:hint="eastAsia" w:ascii="仿宋" w:hAnsi="仿宋" w:eastAsia="仿宋" w:cs="宋体"/>
          <w:b/>
          <w:color w:val="FF0000"/>
          <w:sz w:val="28"/>
          <w:szCs w:val="28"/>
          <w:u w:val="single"/>
          <w:lang w:val="en-US" w:eastAsia="zh-CN"/>
        </w:rPr>
        <w:t>6</w:t>
      </w:r>
      <w:r>
        <w:rPr>
          <w:rFonts w:hint="eastAsia" w:ascii="仿宋" w:hAnsi="仿宋" w:eastAsia="仿宋" w:cs="宋体"/>
          <w:b/>
          <w:color w:val="FF0000"/>
          <w:sz w:val="28"/>
          <w:szCs w:val="28"/>
          <w:u w:val="single"/>
        </w:rPr>
        <w:t>日</w:t>
      </w:r>
      <w:r>
        <w:rPr>
          <w:rFonts w:ascii="仿宋" w:hAnsi="仿宋" w:eastAsia="仿宋" w:cs="宋体"/>
          <w:b/>
          <w:color w:val="FF0000"/>
          <w:sz w:val="28"/>
          <w:szCs w:val="28"/>
          <w:u w:val="single"/>
        </w:rPr>
        <w:t xml:space="preserve"> 17:00</w:t>
      </w:r>
      <w:r>
        <w:rPr>
          <w:rFonts w:hint="eastAsia" w:ascii="仿宋" w:hAnsi="仿宋" w:eastAsia="仿宋" w:cs="宋体"/>
          <w:color w:val="000000" w:themeColor="text1"/>
          <w:sz w:val="28"/>
          <w:szCs w:val="28"/>
          <w14:textFill>
            <w14:solidFill>
              <w14:schemeClr w14:val="tx1"/>
            </w14:solidFill>
          </w14:textFill>
        </w:rPr>
        <w:t>止</w:t>
      </w:r>
      <w:r>
        <w:rPr>
          <w:rFonts w:hint="eastAsia" w:ascii="仿宋" w:hAnsi="仿宋" w:eastAsia="仿宋" w:cs="仿宋_GB2312"/>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达州市公共资源交易服务网（</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fldChar w:fldCharType="begin"/>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instrText xml:space="preserve"> HYPERLINK "http://www.dzggzy.cn/" </w:instrTex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fldChar w:fldCharType="separate"/>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http://www.dzggzy.cn</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fldChar w:fldCharType="end"/>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）通过系统上传申请文件扫描件并提交申请。申请文件包括：</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 xml:space="preserve">    1.法人申请的，应提交下列文件：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（1）竞买申请书；</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（2）保证金承诺书</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（3）商业金融机构的资信证明；</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（4）法人单位有效证明文件；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（5）法定代表人的有效身份证明文件；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（6）申请人委托他人代为办理的，应提交授权委托书及委托代理人的有效身份证明文件；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（7）开户许可证或基本存款账户信息；</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（8）竞买保证金交纳凭证；</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（9）拍卖文件规定需要提交的其它文件。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2.自然人申请的，应提交下列文件：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（1）竞买申请书；</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（2）保证金承诺书</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（3）商业金融机构的资信证明；</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（4）申请人有效身份证明文件；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（5）申请人委托他人代为办理的，应提交授权委托书及委托代理人的身份证明文件；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（6）竞买保证金交纳凭证；</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（7）拍卖文件规定需要提交的其它文件。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3.其他组织申请的，应提交下列文件：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（1）竞买申请书；</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（2）保证金承诺书</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（3）商业金融机构的资信证明；</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（4）表明该组织合法存在的文件或有效证明；</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（5）表明该组织负责人身份的有效证明文件；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（6）申请人委托他人办理的，应提交授权委托书及委托代理人的身份证明文件；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（7）开户许可证或基本存款账户信息；</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（8）竞买保证金交纳凭证；</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（9）拍卖文件规定需要提交的其它文件。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4.境外申请人申请的，应提交下列文件：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（1）竞买申请书；</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（2）保证金承诺书</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（3）商业金融机构的资信证明；</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（4）境外法人、自然人、其他组织的有效身份证明文件；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（5）申请人委托他人办理的，应提交授权委托书及委托代理人的有效身份证明文件；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（6）开户许可证或基本存款账户信息；</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（7）竞买保证金交纳凭证；</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（8）拍卖文件规定需要提交的其它文件。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上述文件中，申请书必须用中文书写，其他文件可以使用其他语言,但必须附中文译本，所有文件的解释以中文译本为准。</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5.联合申请的，应提交下列文件：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（1）联合申请各方共同签署的申请书；</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（2）联合申请各方共同签署的保证金承诺书</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（3）联合体各方商业金融机构的资信证明；</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（4）联合各方的有效身份证明文件；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（6）申请人委托他人办理的，应提交授权委托书及委托代理人的有效身份证明文件；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（7）开户许可证或基本存款账户信息；</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（8）竞买保证金交纳凭证；</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（9）拍卖文件规定需要提交的其它文件。</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（三）资格审查</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已提交申请的竞买申请人须在</w:t>
      </w:r>
      <w:r>
        <w:rPr>
          <w:rFonts w:hint="eastAsia" w:ascii="仿宋" w:hAnsi="仿宋" w:eastAsia="仿宋" w:cs="宋体"/>
          <w:b/>
          <w:color w:val="000000" w:themeColor="text1"/>
          <w:sz w:val="28"/>
          <w:szCs w:val="28"/>
          <w14:textFill>
            <w14:solidFill>
              <w14:schemeClr w14:val="tx1"/>
            </w14:solidFill>
          </w14:textFill>
        </w:rPr>
        <w:t>资</w:t>
      </w:r>
      <w:r>
        <w:rPr>
          <w:rFonts w:hint="eastAsia" w:ascii="仿宋" w:hAnsi="仿宋" w:eastAsia="仿宋" w:cs="宋体"/>
          <w:b/>
          <w:color w:val="FF0000"/>
          <w:sz w:val="28"/>
          <w:szCs w:val="28"/>
        </w:rPr>
        <w:t>格审查当日（</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w:t>
      </w:r>
      <w:r>
        <w:rPr>
          <w:rFonts w:hint="eastAsia" w:ascii="仿宋" w:hAnsi="仿宋" w:eastAsia="仿宋" w:cs="宋体"/>
          <w:b/>
          <w:color w:val="FF0000"/>
          <w:sz w:val="28"/>
          <w:szCs w:val="28"/>
          <w:u w:val="single"/>
          <w:lang w:val="en-US" w:eastAsia="zh-CN"/>
        </w:rPr>
        <w:t>4</w:t>
      </w:r>
      <w:r>
        <w:rPr>
          <w:rFonts w:hint="eastAsia" w:ascii="仿宋" w:hAnsi="仿宋" w:eastAsia="仿宋" w:cs="宋体"/>
          <w:b/>
          <w:color w:val="FF0000"/>
          <w:sz w:val="28"/>
          <w:szCs w:val="28"/>
          <w:u w:val="single"/>
        </w:rPr>
        <w:t>月</w:t>
      </w:r>
      <w:r>
        <w:rPr>
          <w:rFonts w:hint="eastAsia" w:ascii="仿宋" w:hAnsi="仿宋" w:eastAsia="仿宋" w:cs="宋体"/>
          <w:b/>
          <w:color w:val="FF0000"/>
          <w:sz w:val="28"/>
          <w:szCs w:val="28"/>
          <w:u w:val="single"/>
          <w:lang w:val="en-US" w:eastAsia="zh-CN"/>
        </w:rPr>
        <w:t>7</w:t>
      </w:r>
      <w:r>
        <w:rPr>
          <w:rFonts w:hint="eastAsia" w:ascii="仿宋" w:hAnsi="仿宋" w:eastAsia="仿宋" w:cs="宋体"/>
          <w:b/>
          <w:color w:val="FF0000"/>
          <w:sz w:val="28"/>
          <w:szCs w:val="28"/>
          <w:u w:val="single"/>
        </w:rPr>
        <w:t>日）</w:t>
      </w:r>
      <w:r>
        <w:rPr>
          <w:rFonts w:ascii="仿宋" w:hAnsi="仿宋" w:eastAsia="仿宋" w:cs="宋体"/>
          <w:b/>
          <w:color w:val="FF0000"/>
          <w:sz w:val="28"/>
          <w:szCs w:val="28"/>
          <w:u w:val="single"/>
        </w:rPr>
        <w:t xml:space="preserve"> </w:t>
      </w:r>
      <w:r>
        <w:rPr>
          <w:rFonts w:ascii="仿宋" w:hAnsi="仿宋" w:eastAsia="仿宋" w:cs="宋体"/>
          <w:b/>
          <w:color w:val="000000" w:themeColor="text1"/>
          <w:sz w:val="28"/>
          <w:szCs w:val="28"/>
          <w:u w:val="single"/>
          <w14:textFill>
            <w14:solidFill>
              <w14:schemeClr w14:val="tx1"/>
            </w14:solidFill>
          </w14:textFill>
        </w:rPr>
        <w:t>8:30</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之前将竞买申请文件原件提交至4B-17，未按时提交原件的视为自行放弃竞买资格。</w:t>
      </w:r>
    </w:p>
    <w:p>
      <w:pPr>
        <w:pStyle w:val="25"/>
        <w:widowControl w:val="0"/>
        <w:spacing w:line="600" w:lineRule="exact"/>
        <w:ind w:left="0"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达州市公共资源交易服务中心负责组织相关方进行资格审查。按规定时间提交申请和缴纳竞买保证金且通过资格审查的，方能取得竞买资格。经审查，有下列情形之一的，其申请无效：</w:t>
      </w:r>
    </w:p>
    <w:p>
      <w:pPr>
        <w:pStyle w:val="25"/>
        <w:widowControl w:val="0"/>
        <w:spacing w:line="600" w:lineRule="exact"/>
        <w:ind w:left="0"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1.申请人不具备竞买资格的；</w:t>
      </w:r>
    </w:p>
    <w:p>
      <w:pPr>
        <w:pStyle w:val="25"/>
        <w:widowControl w:val="0"/>
        <w:spacing w:line="600" w:lineRule="exact"/>
        <w:ind w:left="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 xml:space="preserve">    2.未按规定交纳竞买保证金的；</w:t>
      </w:r>
    </w:p>
    <w:p>
      <w:pPr>
        <w:pStyle w:val="25"/>
        <w:widowControl w:val="0"/>
        <w:spacing w:line="600" w:lineRule="exact"/>
        <w:ind w:left="0"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3.申请文件不齐全或不符合法律法规和出让文件规定的；</w:t>
      </w:r>
    </w:p>
    <w:p>
      <w:pPr>
        <w:pStyle w:val="25"/>
        <w:widowControl w:val="0"/>
        <w:spacing w:line="600" w:lineRule="exact"/>
        <w:ind w:left="0" w:firstLine="57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4.委托他人代理，委托文件不齐全或不符合规定的；</w:t>
      </w:r>
    </w:p>
    <w:p>
      <w:pPr>
        <w:pStyle w:val="25"/>
        <w:widowControl w:val="0"/>
        <w:spacing w:line="600" w:lineRule="exact"/>
        <w:ind w:left="0" w:firstLine="58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5.法律法规规定的其他情形。</w:t>
      </w:r>
    </w:p>
    <w:p>
      <w:pPr>
        <w:pStyle w:val="25"/>
        <w:widowControl w:val="0"/>
        <w:spacing w:line="600" w:lineRule="exact"/>
        <w:ind w:left="0"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（四）确认竞买人资格</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取得竞买资格的竞买申请人，请在</w:t>
      </w:r>
      <w:r>
        <w:rPr>
          <w:rFonts w:ascii="仿宋" w:hAnsi="仿宋" w:eastAsia="仿宋" w:cs="宋体"/>
          <w:b/>
          <w:color w:val="FF0000"/>
          <w:sz w:val="28"/>
          <w:szCs w:val="28"/>
        </w:rPr>
        <w:t>202</w:t>
      </w:r>
      <w:r>
        <w:rPr>
          <w:rFonts w:hint="eastAsia" w:ascii="仿宋" w:hAnsi="仿宋" w:eastAsia="仿宋" w:cs="宋体"/>
          <w:b/>
          <w:color w:val="FF0000"/>
          <w:sz w:val="28"/>
          <w:szCs w:val="28"/>
        </w:rPr>
        <w:t>1年</w:t>
      </w:r>
      <w:r>
        <w:rPr>
          <w:rFonts w:hint="eastAsia" w:ascii="仿宋" w:hAnsi="仿宋" w:eastAsia="仿宋" w:cs="宋体"/>
          <w:b/>
          <w:color w:val="FF0000"/>
          <w:sz w:val="28"/>
          <w:szCs w:val="28"/>
          <w:lang w:val="en-US" w:eastAsia="zh-CN"/>
        </w:rPr>
        <w:t>4</w:t>
      </w:r>
      <w:r>
        <w:rPr>
          <w:rFonts w:hint="eastAsia" w:ascii="仿宋" w:hAnsi="仿宋" w:eastAsia="仿宋" w:cs="宋体"/>
          <w:b/>
          <w:color w:val="FF0000"/>
          <w:sz w:val="28"/>
          <w:szCs w:val="28"/>
        </w:rPr>
        <w:t>月</w:t>
      </w:r>
      <w:r>
        <w:rPr>
          <w:rFonts w:hint="eastAsia" w:ascii="仿宋" w:hAnsi="仿宋" w:eastAsia="仿宋" w:cs="宋体"/>
          <w:b/>
          <w:color w:val="FF0000"/>
          <w:sz w:val="28"/>
          <w:szCs w:val="28"/>
          <w:lang w:val="en-US" w:eastAsia="zh-CN"/>
        </w:rPr>
        <w:t>7</w:t>
      </w:r>
      <w:r>
        <w:rPr>
          <w:rFonts w:hint="eastAsia" w:ascii="仿宋" w:hAnsi="仿宋" w:eastAsia="仿宋" w:cs="宋体"/>
          <w:b/>
          <w:color w:val="FF0000"/>
          <w:sz w:val="28"/>
          <w:szCs w:val="28"/>
        </w:rPr>
        <w:t>日</w:t>
      </w:r>
      <w:r>
        <w:rPr>
          <w:rFonts w:ascii="仿宋" w:hAnsi="仿宋" w:eastAsia="仿宋" w:cs="宋体"/>
          <w:b/>
          <w:color w:val="FF0000"/>
          <w:sz w:val="28"/>
          <w:szCs w:val="28"/>
          <w:u w:val="single"/>
        </w:rPr>
        <w:t xml:space="preserve"> 10</w:t>
      </w:r>
      <w:r>
        <w:rPr>
          <w:rFonts w:hint="eastAsia" w:ascii="仿宋" w:hAnsi="仿宋" w:eastAsia="仿宋" w:cs="宋体"/>
          <w:b/>
          <w:color w:val="FF0000"/>
          <w:sz w:val="28"/>
          <w:szCs w:val="28"/>
          <w:u w:val="single"/>
        </w:rPr>
        <w:t>：30</w:t>
      </w:r>
      <w:r>
        <w:rPr>
          <w:rFonts w:hint="eastAsia" w:ascii="仿宋" w:hAnsi="仿宋" w:eastAsia="仿宋" w:cs="宋体"/>
          <w:b/>
          <w:color w:val="000000" w:themeColor="text1"/>
          <w:sz w:val="28"/>
          <w:szCs w:val="28"/>
          <w:u w:val="single"/>
          <w14:textFill>
            <w14:solidFill>
              <w14:schemeClr w14:val="tx1"/>
            </w14:solidFill>
          </w14:textFill>
        </w:rPr>
        <w:t>前</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自行登录达州市公共资源交易服务平台打印竞买资格确认书并带到拍卖现场（打印时间可能因资格审查而延迟）。</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（五）答疑及现场踏勘</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竞买申请人取得拍卖出让文件后，应全面仔细阅读其内容并现场踏勘所需竞买的宗地。</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六、本次出让宗地拍卖会时间、地点及拍卖的起叫价、增价幅度</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本次拍卖会地点为：达州市公共资源交易中心开标</w:t>
      </w:r>
      <w:r>
        <w:rPr>
          <w:rFonts w:hint="eastAsia" w:eastAsia="仿宋_GB2312" w:cs="Times New Roman"/>
          <w:color w:val="000000" w:themeColor="text1"/>
          <w:kern w:val="2"/>
          <w:sz w:val="32"/>
          <w:szCs w:val="32"/>
          <w:lang w:val="en-US" w:eastAsia="zh-CN" w:bidi="ar-SA"/>
          <w14:textFill>
            <w14:solidFill>
              <w14:schemeClr w14:val="tx1"/>
            </w14:solidFill>
          </w14:textFill>
        </w:rPr>
        <w:t>五</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厅举行。</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本次拍卖会时间为</w:t>
      </w:r>
      <w:r>
        <w:rPr>
          <w:rFonts w:hint="eastAsia" w:ascii="Times New Roman" w:hAnsi="Times New Roman" w:eastAsia="仿宋_GB2312" w:cs="Times New Roman"/>
          <w:color w:val="FF0000"/>
          <w:kern w:val="2"/>
          <w:sz w:val="32"/>
          <w:szCs w:val="32"/>
          <w:lang w:val="en-US" w:eastAsia="zh-CN" w:bidi="ar-SA"/>
        </w:rPr>
        <w:t>：</w:t>
      </w:r>
      <w:r>
        <w:rPr>
          <w:rFonts w:ascii="仿宋" w:hAnsi="仿宋" w:eastAsia="仿宋"/>
          <w:b/>
          <w:color w:val="FF0000"/>
          <w:sz w:val="28"/>
          <w:szCs w:val="28"/>
          <w:u w:val="single"/>
        </w:rPr>
        <w:t>202</w:t>
      </w:r>
      <w:r>
        <w:rPr>
          <w:rFonts w:hint="eastAsia" w:ascii="仿宋" w:hAnsi="仿宋" w:eastAsia="仿宋"/>
          <w:b/>
          <w:color w:val="FF0000"/>
          <w:sz w:val="28"/>
          <w:szCs w:val="28"/>
          <w:u w:val="single"/>
        </w:rPr>
        <w:t>1年</w:t>
      </w:r>
      <w:r>
        <w:rPr>
          <w:rFonts w:hint="eastAsia" w:ascii="仿宋" w:hAnsi="仿宋" w:eastAsia="仿宋"/>
          <w:b/>
          <w:color w:val="FF0000"/>
          <w:sz w:val="28"/>
          <w:szCs w:val="28"/>
          <w:u w:val="single"/>
          <w:lang w:val="en-US" w:eastAsia="zh-CN"/>
        </w:rPr>
        <w:t>4</w:t>
      </w:r>
      <w:r>
        <w:rPr>
          <w:rFonts w:hint="eastAsia" w:ascii="仿宋" w:hAnsi="仿宋" w:eastAsia="仿宋"/>
          <w:b/>
          <w:color w:val="FF0000"/>
          <w:sz w:val="28"/>
          <w:szCs w:val="28"/>
          <w:u w:val="single"/>
        </w:rPr>
        <w:t>月</w:t>
      </w:r>
      <w:r>
        <w:rPr>
          <w:rFonts w:hint="eastAsia" w:ascii="仿宋" w:hAnsi="仿宋" w:eastAsia="仿宋"/>
          <w:b/>
          <w:color w:val="FF0000"/>
          <w:sz w:val="28"/>
          <w:szCs w:val="28"/>
          <w:u w:val="single"/>
          <w:lang w:val="en-US" w:eastAsia="zh-CN"/>
        </w:rPr>
        <w:t>7</w:t>
      </w:r>
      <w:r>
        <w:rPr>
          <w:rFonts w:hint="eastAsia" w:ascii="仿宋" w:hAnsi="仿宋" w:eastAsia="仿宋"/>
          <w:b/>
          <w:color w:val="FF0000"/>
          <w:sz w:val="28"/>
          <w:szCs w:val="28"/>
          <w:u w:val="single"/>
        </w:rPr>
        <w:t>日上午</w:t>
      </w:r>
      <w:r>
        <w:rPr>
          <w:rFonts w:ascii="仿宋" w:hAnsi="仿宋" w:eastAsia="仿宋"/>
          <w:b/>
          <w:color w:val="FF0000"/>
          <w:sz w:val="28"/>
          <w:szCs w:val="28"/>
          <w:u w:val="single"/>
        </w:rPr>
        <w:t>1</w:t>
      </w:r>
      <w:r>
        <w:rPr>
          <w:rFonts w:hint="eastAsia" w:ascii="仿宋" w:hAnsi="仿宋" w:eastAsia="仿宋"/>
          <w:b/>
          <w:color w:val="FF0000"/>
          <w:sz w:val="28"/>
          <w:szCs w:val="28"/>
          <w:u w:val="single"/>
        </w:rPr>
        <w:t>0：30</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（拍卖会时间可能因资格审查而延迟）。</w:t>
      </w:r>
    </w:p>
    <w:p>
      <w:pPr>
        <w:snapToGrid w:val="0"/>
        <w:spacing w:line="600" w:lineRule="exact"/>
        <w:ind w:firstLine="555"/>
        <w:rPr>
          <w:rFonts w:hint="eastAsia" w:ascii="Times New Roman" w:hAnsi="Times New Roman" w:eastAsia="仿宋_GB2312" w:cs="Times New Roman"/>
          <w:color w:val="FF0000"/>
          <w:kern w:val="2"/>
          <w:sz w:val="32"/>
          <w:szCs w:val="32"/>
          <w:lang w:val="en-US" w:eastAsia="zh-CN" w:bidi="ar-SA"/>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本次拍卖</w:t>
      </w:r>
      <w:r>
        <w:rPr>
          <w:rFonts w:hint="eastAsia" w:ascii="Times New Roman" w:hAnsi="Times New Roman" w:eastAsia="仿宋_GB2312" w:cs="Times New Roman"/>
          <w:color w:val="FF0000"/>
          <w:kern w:val="2"/>
          <w:sz w:val="32"/>
          <w:szCs w:val="32"/>
          <w:lang w:val="en-US" w:eastAsia="zh-CN" w:bidi="ar-SA"/>
        </w:rPr>
        <w:t>起叫价478万元/亩,增价幅度为5万元/亩或5万元/亩的整倍数。成交总地价=拍卖成交最高亩价×出让面积191.99亩。</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七、拍卖程序</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（一）拍卖会程序</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auto"/>
          <w:kern w:val="2"/>
          <w:sz w:val="32"/>
          <w:szCs w:val="32"/>
          <w:lang w:val="en-US" w:eastAsia="zh-CN" w:bidi="ar-SA"/>
        </w:rPr>
        <w:t>1.拍卖主持人亮证并宣布拍卖会开始</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w:t>
      </w:r>
    </w:p>
    <w:p>
      <w:pPr>
        <w:snapToGrid w:val="0"/>
        <w:spacing w:line="600" w:lineRule="exact"/>
        <w:ind w:firstLine="555"/>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 xml:space="preserve"> 2.拍卖主持人邀请公证员及记录员就位，并介绍相关人员；</w:t>
      </w:r>
    </w:p>
    <w:p>
      <w:pPr>
        <w:snapToGrid w:val="0"/>
        <w:spacing w:line="600" w:lineRule="exact"/>
        <w:ind w:firstLine="555"/>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3.拍卖主持人清点竞买人到场情况并按次序入座；</w:t>
      </w:r>
    </w:p>
    <w:p>
      <w:pPr>
        <w:snapToGrid w:val="0"/>
        <w:spacing w:line="600" w:lineRule="exact"/>
        <w:ind w:firstLine="555"/>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4.公证员核实竞买人身份和举牌人身份；</w:t>
      </w:r>
    </w:p>
    <w:p>
      <w:pPr>
        <w:snapToGrid w:val="0"/>
        <w:spacing w:line="600" w:lineRule="exact"/>
        <w:ind w:firstLine="555"/>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5．设有底价的，公证员检查并展示底价密封情况后，交予拍卖主持人；</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auto"/>
          <w:kern w:val="2"/>
          <w:sz w:val="32"/>
          <w:szCs w:val="32"/>
          <w:lang w:val="en-US" w:eastAsia="zh-CN" w:bidi="ar-SA"/>
        </w:rPr>
        <w:t>6.拍卖主持人介绍拍卖地块的位</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置、面积、用途、使用年限、规划指标要求、建设时间等；</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7.拍卖主持人宣布拍卖会相关要求：①拍卖宗地的起叫价、增价规则和增价幅度，并明确提示是否设有底价；②在拍卖过程中，拍卖主持人可根据政府批复、现场情况调整增价幅度；③竞买人必须参与一次或一次以上的报价，否则视为违规违约；④竞价时由受托人举牌报价，拍卖过程中不得变更举牌人；</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8.拍卖主持人逐一询问竞买人是否听清、是否明白；</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9.拍卖主持人报出起叫价，宣布竞价开始；</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10.竞买人举牌应价或者报价，首轮竞价完毕后须宣布首轮竞价结束并转为自由竞价；</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11.拍卖主持人确认该竞买人应价或者报价后继续竞价；</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12.拍卖主持人连续三次宣布同一应价或报价而没有人再应价或报价，拍卖主持人宣布竞价结束（每次的时间间隔不得短于规定时间）；</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14.公证员现场致公证词；</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15.拍卖主持人主持拍卖人与竞得人在现场签订《成交确认书》。</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（三）出让人与竞得人依据《成交确认书》的约定签订《国有建设用地使用权出让合同》。</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（四）出让结果公布：</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八、竞价规则</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（一）本次拍卖采用增价拍卖方式，按价高者得的原则确定竞得人（高于或等于政府底价的基础上）。</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（二）凡参加拍卖的竞买人必须承认起叫价，</w:t>
      </w:r>
      <w:r>
        <w:rPr>
          <w:rFonts w:hint="eastAsia" w:ascii="Times New Roman" w:hAnsi="Times New Roman" w:eastAsia="仿宋_GB2312" w:cs="Times New Roman"/>
          <w:color w:val="FF0000"/>
          <w:kern w:val="2"/>
          <w:sz w:val="32"/>
          <w:szCs w:val="32"/>
          <w:lang w:val="en-US" w:eastAsia="zh-CN" w:bidi="ar-SA"/>
        </w:rPr>
        <w:t>即从起叫价(478万元/亩</w:t>
      </w:r>
      <w:r>
        <w:rPr>
          <w:rFonts w:hint="eastAsia" w:eastAsia="仿宋_GB2312" w:cs="Times New Roman"/>
          <w:color w:val="FF0000"/>
          <w:kern w:val="2"/>
          <w:sz w:val="32"/>
          <w:szCs w:val="32"/>
          <w:lang w:val="en-US" w:eastAsia="zh-CN" w:bidi="ar-SA"/>
        </w:rPr>
        <w:t>）+最低</w:t>
      </w:r>
      <w:r>
        <w:rPr>
          <w:rFonts w:hint="eastAsia" w:ascii="Times New Roman" w:hAnsi="Times New Roman" w:eastAsia="仿宋_GB2312" w:cs="Times New Roman"/>
          <w:color w:val="FF0000"/>
          <w:kern w:val="2"/>
          <w:sz w:val="32"/>
          <w:szCs w:val="32"/>
          <w:lang w:val="en-US" w:eastAsia="zh-CN" w:bidi="ar-SA"/>
        </w:rPr>
        <w:t>增价幅度</w:t>
      </w:r>
      <w:r>
        <w:rPr>
          <w:rFonts w:hint="eastAsia" w:eastAsia="仿宋_GB2312" w:cs="Times New Roman"/>
          <w:color w:val="FF0000"/>
          <w:kern w:val="2"/>
          <w:sz w:val="32"/>
          <w:szCs w:val="32"/>
          <w:lang w:val="en-US" w:eastAsia="zh-CN" w:bidi="ar-SA"/>
        </w:rPr>
        <w:t>（</w:t>
      </w:r>
      <w:r>
        <w:rPr>
          <w:rFonts w:hint="eastAsia" w:ascii="Times New Roman" w:hAnsi="Times New Roman" w:eastAsia="仿宋_GB2312" w:cs="Times New Roman"/>
          <w:color w:val="FF0000"/>
          <w:kern w:val="2"/>
          <w:sz w:val="32"/>
          <w:szCs w:val="32"/>
          <w:lang w:val="en-US" w:eastAsia="zh-CN" w:bidi="ar-SA"/>
        </w:rPr>
        <w:t>5万元/亩</w:t>
      </w:r>
      <w:r>
        <w:rPr>
          <w:rFonts w:hint="eastAsia" w:eastAsia="仿宋_GB2312" w:cs="Times New Roman"/>
          <w:color w:val="FF0000"/>
          <w:kern w:val="2"/>
          <w:sz w:val="32"/>
          <w:szCs w:val="32"/>
          <w:lang w:val="en-US" w:eastAsia="zh-CN" w:bidi="ar-SA"/>
        </w:rPr>
        <w:t>）=483</w:t>
      </w:r>
      <w:r>
        <w:rPr>
          <w:rFonts w:hint="eastAsia" w:ascii="Times New Roman" w:hAnsi="Times New Roman" w:eastAsia="仿宋_GB2312" w:cs="Times New Roman"/>
          <w:color w:val="FF0000"/>
          <w:kern w:val="2"/>
          <w:sz w:val="32"/>
          <w:szCs w:val="32"/>
          <w:lang w:val="en-US" w:eastAsia="zh-CN" w:bidi="ar-SA"/>
        </w:rPr>
        <w:t>万元/亩的价格确认，</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并且每位竞买人必须按拍卖主持人的要求在前一应价者基础上按最低增价幅度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（四）若设有政府底价，最后应价未达到底价时，拍卖主持人终止本次拍卖活动，拍卖不成交。</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九、注意事项</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（一）特别提醒：资格审查当日，资格审查结束后即进行拍卖活动，通过资格审查的竞买申请人须做好相关准备。</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（六）有下列情形之一的，拍卖人应当在拍卖会前终止拍卖活动，并通知竞买人：</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1 ．竞买人串通损害国家利益、社会利益或他人合法权益的；</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2 ．拍卖工作人员私下接触竞买人，足以影响拍卖公正性的；</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3 ．应当依法终止拍卖活动的其他情形。</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（七）竞得人有下列行为之一的，视为违约，出让人可取消其竞得人资格，竞买保证金、定金不予退还：</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1.竞得人逾期或拒绝在现场签订《成交确认书》的；</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2.竞得人逾期或拒绝签订《国有建设用地使用权出让合同》的；</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3.竞得人逾期支付交易服务费的；</w:t>
      </w:r>
    </w:p>
    <w:p>
      <w:pPr>
        <w:snapToGrid w:val="0"/>
        <w:spacing w:line="600" w:lineRule="exact"/>
        <w:ind w:firstLine="555"/>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pacing w:line="600" w:lineRule="exact"/>
        <w:ind w:firstLine="640" w:firstLineChars="200"/>
        <w:rPr>
          <w:rFonts w:ascii="仿宋" w:hAnsi="仿宋" w:eastAsia="仿宋"/>
          <w:color w:val="FF0000"/>
          <w:sz w:val="28"/>
          <w:szCs w:val="28"/>
        </w:rPr>
      </w:pPr>
      <w:r>
        <w:rPr>
          <w:rFonts w:hint="eastAsia" w:eastAsia="仿宋_GB2312"/>
          <w:color w:val="FF0000"/>
          <w:sz w:val="32"/>
          <w:szCs w:val="32"/>
        </w:rPr>
        <w:t>（九）</w:t>
      </w:r>
      <w:r>
        <w:rPr>
          <w:rFonts w:hint="eastAsia" w:eastAsia="仿宋_GB2312"/>
          <w:color w:val="000000" w:themeColor="text1"/>
          <w:sz w:val="32"/>
          <w:szCs w:val="32"/>
          <w14:textFill>
            <w14:solidFill>
              <w14:schemeClr w14:val="tx1"/>
            </w14:solidFill>
          </w14:textFill>
        </w:rPr>
        <w:t>出让合同签订时间及价款支付：</w:t>
      </w:r>
      <w:r>
        <w:rPr>
          <w:rFonts w:hint="eastAsia" w:eastAsia="仿宋_GB2312"/>
          <w:color w:val="FF0000"/>
          <w:sz w:val="32"/>
          <w:szCs w:val="32"/>
        </w:rPr>
        <w:t>土地拍卖出让成交后须当场签订《成交确认书》，自成交之日起10个工作日内须签订《国有建设用地使用权出让合同》，在出让合同签订之日起1个月内缴纳成交价总额50%的首付款，</w:t>
      </w:r>
      <w:r>
        <w:rPr>
          <w:rFonts w:eastAsia="仿宋_GB2312"/>
          <w:color w:val="FF0000"/>
          <w:sz w:val="32"/>
          <w:szCs w:val="32"/>
        </w:rPr>
        <w:t>7</w:t>
      </w:r>
      <w:r>
        <w:rPr>
          <w:rFonts w:hint="eastAsia" w:eastAsia="仿宋_GB2312"/>
          <w:color w:val="FF0000"/>
          <w:sz w:val="32"/>
          <w:szCs w:val="32"/>
        </w:rPr>
        <w:t>个月内缴至 70%，12 个月内全部缴清（不计息）。</w:t>
      </w:r>
      <w:r>
        <w:rPr>
          <w:rFonts w:hint="eastAsia" w:ascii="仿宋" w:hAnsi="仿宋" w:eastAsia="仿宋"/>
          <w:color w:val="FF0000"/>
          <w:sz w:val="28"/>
          <w:szCs w:val="28"/>
        </w:rPr>
        <w:t>否则</w:t>
      </w:r>
      <w:r>
        <w:rPr>
          <w:rFonts w:ascii="仿宋" w:hAnsi="仿宋" w:eastAsia="仿宋"/>
          <w:color w:val="FF0000"/>
          <w:sz w:val="28"/>
          <w:szCs w:val="28"/>
        </w:rPr>
        <w:t>，视为违约</w:t>
      </w:r>
      <w:r>
        <w:rPr>
          <w:rFonts w:hint="eastAsia" w:ascii="仿宋" w:hAnsi="仿宋" w:eastAsia="仿宋"/>
          <w:color w:val="FF0000"/>
          <w:sz w:val="28"/>
          <w:szCs w:val="28"/>
        </w:rPr>
        <w:t>。</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（十)土地交付条件及时间：在受让人缴清全部土地价款</w:t>
      </w:r>
      <w:r>
        <w:rPr>
          <w:rFonts w:hint="eastAsia" w:eastAsia="仿宋_GB2312" w:cs="Times New Roman"/>
          <w:color w:val="000000" w:themeColor="text1"/>
          <w:kern w:val="2"/>
          <w:sz w:val="32"/>
          <w:szCs w:val="32"/>
          <w:lang w:val="en-US" w:eastAsia="zh-CN" w:bidi="ar-SA"/>
          <w14:textFill>
            <w14:solidFill>
              <w14:schemeClr w14:val="tx1"/>
            </w14:solidFill>
          </w14:textFill>
        </w:rPr>
        <w:t>（含违约金）</w:t>
      </w:r>
      <w:bookmarkStart w:id="21" w:name="_GoBack"/>
      <w:bookmarkEnd w:id="21"/>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后30日内，</w:t>
      </w:r>
      <w:r>
        <w:rPr>
          <w:rFonts w:hint="eastAsia" w:ascii="仿宋" w:hAnsi="仿宋" w:eastAsia="仿宋" w:cs="宋体"/>
          <w:b/>
          <w:color w:val="000000" w:themeColor="text1"/>
          <w:sz w:val="28"/>
          <w:szCs w:val="28"/>
          <w:u w:val="single"/>
          <w14:textFill>
            <w14:solidFill>
              <w14:schemeClr w14:val="tx1"/>
            </w14:solidFill>
          </w14:textFill>
        </w:rPr>
        <w:t>达州市自然资源和规划局</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（十一）对出让地块如涉及电力、通讯、光缆、输气管道等设施的，竞得人应按其管理部门避让等规定和要求办理。</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（十二）拍卖不成交的或成交不签订《成交确认书》的，由</w:t>
      </w:r>
      <w:r>
        <w:rPr>
          <w:rFonts w:hint="eastAsia" w:ascii="仿宋" w:hAnsi="仿宋" w:eastAsia="仿宋"/>
          <w:color w:val="000000" w:themeColor="text1"/>
          <w:sz w:val="28"/>
          <w:szCs w:val="28"/>
          <w:u w:val="single"/>
          <w14:textFill>
            <w14:solidFill>
              <w14:schemeClr w14:val="tx1"/>
            </w14:solidFill>
          </w14:textFill>
        </w:rPr>
        <w:t>达州市公共资源交易服务中心</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在2个工作日内书面函告出让人。</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（十三）参加拍卖活动的人员，应遵守现场的纪律，服从管理人员的管理。</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（十四）其他未尽事宜依照《招标拍卖挂牌出让国有土地使用权规范》办理。</w:t>
      </w:r>
    </w:p>
    <w:p>
      <w:pPr>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（十五）达州市自然资源和规划局、达州市公共资源交易服务中心对本《须知》有解释权。</w:t>
      </w:r>
    </w:p>
    <w:p>
      <w:pPr>
        <w:spacing w:line="600" w:lineRule="exact"/>
        <w:ind w:firstLine="1920" w:firstLineChars="600"/>
        <w:rPr>
          <w:rFonts w:hint="default" w:eastAsia="仿宋_GB2312" w:cs="Times New Roman"/>
          <w:color w:val="000000" w:themeColor="text1"/>
          <w:kern w:val="2"/>
          <w:sz w:val="32"/>
          <w:szCs w:val="32"/>
          <w:lang w:val="en-US" w:eastAsia="zh-CN" w:bidi="ar-SA"/>
          <w14:textFill>
            <w14:solidFill>
              <w14:schemeClr w14:val="tx1"/>
            </w14:solidFill>
          </w14:textFill>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cols w:space="425" w:num="1"/>
          <w:docGrid w:type="lines" w:linePitch="312" w:charSpace="0"/>
        </w:sectPr>
      </w:pPr>
    </w:p>
    <w:p>
      <w:pPr>
        <w:pStyle w:val="12"/>
        <w:rPr>
          <w:rFonts w:ascii="黑体" w:eastAsia="黑体"/>
          <w:color w:val="000000" w:themeColor="text1"/>
          <w:sz w:val="44"/>
          <w:szCs w:val="44"/>
          <w14:textFill>
            <w14:solidFill>
              <w14:schemeClr w14:val="tx1"/>
            </w14:solidFill>
          </w14:textFill>
        </w:rPr>
      </w:pPr>
      <w:bookmarkStart w:id="4" w:name="_Toc3391743"/>
      <w:bookmarkStart w:id="5" w:name="_Toc3391972"/>
      <w:r>
        <w:rPr>
          <w:rFonts w:hint="eastAsia" w:ascii="黑体" w:eastAsia="黑体"/>
          <w:color w:val="000000" w:themeColor="text1"/>
          <w:sz w:val="44"/>
          <w:szCs w:val="44"/>
          <w14:textFill>
            <w14:solidFill>
              <w14:schemeClr w14:val="tx1"/>
            </w14:solidFill>
          </w14:textFill>
        </w:rPr>
        <w:t>地块规划条件相关资</w:t>
      </w:r>
      <w:bookmarkEnd w:id="4"/>
      <w:bookmarkEnd w:id="5"/>
      <w:r>
        <w:rPr>
          <w:rFonts w:hint="eastAsia" w:ascii="黑体" w:eastAsia="黑体"/>
          <w:color w:val="000000" w:themeColor="text1"/>
          <w:sz w:val="44"/>
          <w:szCs w:val="44"/>
          <w14:textFill>
            <w14:solidFill>
              <w14:schemeClr w14:val="tx1"/>
            </w14:solidFill>
          </w14:textFill>
        </w:rPr>
        <w:t>料</w:t>
      </w:r>
    </w:p>
    <w:p>
      <w:pPr>
        <w:widowControl/>
        <w:jc w:val="left"/>
        <w:rPr>
          <w:rFonts w:ascii="宋体" w:hAnsi="宋体" w:cs="宋体"/>
          <w:color w:val="000000" w:themeColor="text1"/>
          <w:kern w:val="0"/>
          <w:sz w:val="24"/>
          <w14:textFill>
            <w14:solidFill>
              <w14:schemeClr w14:val="tx1"/>
            </w14:solidFill>
          </w14:textFill>
        </w:rPr>
      </w:pPr>
    </w:p>
    <w:p>
      <w:pPr>
        <w:widowControl/>
        <w:jc w:val="left"/>
        <w:rPr>
          <w:rFonts w:ascii="宋体" w:hAnsi="宋体" w:cs="宋体"/>
          <w:color w:val="000000" w:themeColor="text1"/>
          <w:kern w:val="0"/>
          <w:sz w:val="24"/>
          <w14:textFill>
            <w14:solidFill>
              <w14:schemeClr w14:val="tx1"/>
            </w14:solidFill>
          </w14:textFill>
        </w:rPr>
      </w:pPr>
      <w:r>
        <w:drawing>
          <wp:inline distT="0" distB="0" distL="114300" distR="114300">
            <wp:extent cx="5274310" cy="7262495"/>
            <wp:effectExtent l="0" t="0" r="254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5274310" cy="7262495"/>
                    </a:xfrm>
                    <a:prstGeom prst="rect">
                      <a:avLst/>
                    </a:prstGeom>
                    <a:noFill/>
                    <a:ln>
                      <a:noFill/>
                    </a:ln>
                  </pic:spPr>
                </pic:pic>
              </a:graphicData>
            </a:graphic>
          </wp:inline>
        </w:drawing>
      </w:r>
    </w:p>
    <w:p>
      <w:pPr>
        <w:widowControl/>
        <w:jc w:val="left"/>
        <w:rPr>
          <w:rFonts w:hint="eastAsia" w:ascii="宋体" w:hAnsi="宋体" w:eastAsia="宋体" w:cs="宋体"/>
          <w:color w:val="000000" w:themeColor="text1"/>
          <w:kern w:val="0"/>
          <w:sz w:val="24"/>
          <w:lang w:eastAsia="zh-CN"/>
          <w14:textFill>
            <w14:solidFill>
              <w14:schemeClr w14:val="tx1"/>
            </w14:solidFill>
          </w14:textFill>
        </w:rPr>
      </w:pPr>
    </w:p>
    <w:p>
      <w:pPr>
        <w:widowControl/>
        <w:jc w:val="left"/>
        <w:rPr>
          <w:rFonts w:ascii="宋体" w:hAnsi="宋体" w:cs="宋体"/>
          <w:color w:val="000000" w:themeColor="text1"/>
          <w:kern w:val="0"/>
          <w:sz w:val="24"/>
          <w14:textFill>
            <w14:solidFill>
              <w14:schemeClr w14:val="tx1"/>
            </w14:solidFill>
          </w14:textFill>
        </w:rPr>
      </w:pPr>
    </w:p>
    <w:p>
      <w:pPr>
        <w:widowControl/>
        <w:jc w:val="left"/>
        <w:rPr>
          <w:rFonts w:ascii="宋体" w:hAnsi="宋体" w:cs="宋体"/>
          <w:color w:val="000000" w:themeColor="text1"/>
          <w:kern w:val="0"/>
          <w:sz w:val="24"/>
          <w14:textFill>
            <w14:solidFill>
              <w14:schemeClr w14:val="tx1"/>
            </w14:solidFill>
          </w14:textFill>
        </w:rPr>
      </w:pPr>
    </w:p>
    <w:p>
      <w:pPr>
        <w:widowControl/>
        <w:jc w:val="left"/>
        <w:rPr>
          <w:rFonts w:ascii="宋体" w:hAnsi="宋体" w:cs="宋体"/>
          <w:color w:val="000000" w:themeColor="text1"/>
          <w:kern w:val="0"/>
          <w:sz w:val="24"/>
          <w14:textFill>
            <w14:solidFill>
              <w14:schemeClr w14:val="tx1"/>
            </w14:solidFill>
          </w14:textFill>
        </w:rPr>
      </w:pPr>
    </w:p>
    <w:p>
      <w:pPr>
        <w:widowControl/>
        <w:jc w:val="left"/>
        <w:rPr>
          <w:rFonts w:ascii="宋体" w:hAnsi="宋体" w:cs="宋体"/>
          <w:color w:val="000000" w:themeColor="text1"/>
          <w:kern w:val="0"/>
          <w:sz w:val="24"/>
          <w14:textFill>
            <w14:solidFill>
              <w14:schemeClr w14:val="tx1"/>
            </w14:solidFill>
          </w14:textFill>
        </w:rPr>
      </w:pPr>
    </w:p>
    <w:p>
      <w:pPr>
        <w:widowControl/>
        <w:jc w:val="left"/>
        <w:rPr>
          <w:rFonts w:ascii="宋体" w:hAnsi="宋体" w:cs="宋体"/>
          <w:color w:val="000000" w:themeColor="text1"/>
          <w:kern w:val="0"/>
          <w:sz w:val="24"/>
          <w14:textFill>
            <w14:solidFill>
              <w14:schemeClr w14:val="tx1"/>
            </w14:solidFill>
          </w14:textFill>
        </w:rPr>
      </w:pPr>
    </w:p>
    <w:p>
      <w:pPr>
        <w:widowControl/>
        <w:jc w:val="left"/>
        <w:rPr>
          <w:rFonts w:ascii="宋体" w:hAnsi="宋体" w:cs="宋体"/>
          <w:color w:val="000000" w:themeColor="text1"/>
          <w:kern w:val="0"/>
          <w:sz w:val="24"/>
          <w14:textFill>
            <w14:solidFill>
              <w14:schemeClr w14:val="tx1"/>
            </w14:solidFill>
          </w14:textFill>
        </w:rPr>
      </w:pPr>
    </w:p>
    <w:p>
      <w:pPr>
        <w:widowControl/>
        <w:jc w:val="left"/>
        <w:rPr>
          <w:rFonts w:ascii="宋体" w:hAnsi="宋体" w:cs="宋体"/>
          <w:color w:val="000000" w:themeColor="text1"/>
          <w:kern w:val="0"/>
          <w:sz w:val="24"/>
          <w14:textFill>
            <w14:solidFill>
              <w14:schemeClr w14:val="tx1"/>
            </w14:solidFill>
          </w14:textFill>
        </w:rPr>
      </w:pPr>
    </w:p>
    <w:p>
      <w:pPr>
        <w:widowControl/>
        <w:jc w:val="left"/>
        <w:rPr>
          <w:rFonts w:ascii="宋体" w:hAnsi="宋体" w:cs="宋体"/>
          <w:color w:val="000000" w:themeColor="text1"/>
          <w:kern w:val="0"/>
          <w:sz w:val="24"/>
          <w14:textFill>
            <w14:solidFill>
              <w14:schemeClr w14:val="tx1"/>
            </w14:solidFill>
          </w14:textFill>
        </w:rPr>
      </w:pPr>
      <w:r>
        <w:drawing>
          <wp:inline distT="0" distB="0" distL="114300" distR="114300">
            <wp:extent cx="5270500" cy="6424295"/>
            <wp:effectExtent l="0" t="0" r="6350" b="146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6"/>
                    <a:stretch>
                      <a:fillRect/>
                    </a:stretch>
                  </pic:blipFill>
                  <pic:spPr>
                    <a:xfrm>
                      <a:off x="0" y="0"/>
                      <a:ext cx="5270500" cy="6424295"/>
                    </a:xfrm>
                    <a:prstGeom prst="rect">
                      <a:avLst/>
                    </a:prstGeom>
                    <a:noFill/>
                    <a:ln>
                      <a:noFill/>
                    </a:ln>
                  </pic:spPr>
                </pic:pic>
              </a:graphicData>
            </a:graphic>
          </wp:inline>
        </w:drawing>
      </w:r>
    </w:p>
    <w:p>
      <w:pPr>
        <w:widowControl/>
        <w:jc w:val="left"/>
        <w:rPr>
          <w:rFonts w:ascii="宋体" w:hAnsi="宋体" w:cs="宋体"/>
          <w:color w:val="000000" w:themeColor="text1"/>
          <w:kern w:val="0"/>
          <w:sz w:val="24"/>
          <w14:textFill>
            <w14:solidFill>
              <w14:schemeClr w14:val="tx1"/>
            </w14:solidFill>
          </w14:textFill>
        </w:rPr>
      </w:pPr>
    </w:p>
    <w:p>
      <w:pPr>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12"/>
        <w:rPr>
          <w:rFonts w:ascii="黑体" w:eastAsia="黑体"/>
          <w:color w:val="000000" w:themeColor="text1"/>
          <w:sz w:val="44"/>
          <w:szCs w:val="44"/>
          <w14:textFill>
            <w14:solidFill>
              <w14:schemeClr w14:val="tx1"/>
            </w14:solidFill>
          </w14:textFill>
        </w:rPr>
      </w:pPr>
      <w:bookmarkStart w:id="6" w:name="_Toc3391744"/>
      <w:bookmarkStart w:id="7" w:name="_Toc3391973"/>
      <w:r>
        <w:rPr>
          <w:rFonts w:hint="eastAsia" w:ascii="黑体" w:eastAsia="黑体"/>
          <w:color w:val="000000" w:themeColor="text1"/>
          <w:sz w:val="44"/>
          <w:szCs w:val="44"/>
          <w14:textFill>
            <w14:solidFill>
              <w14:schemeClr w14:val="tx1"/>
            </w14:solidFill>
          </w14:textFill>
        </w:rPr>
        <w:t>用地红线图</w:t>
      </w:r>
      <w:bookmarkEnd w:id="6"/>
      <w:bookmarkEnd w:id="7"/>
    </w:p>
    <w:p/>
    <w:p>
      <w:pPr>
        <w:widowControl/>
        <w:jc w:val="left"/>
        <w:rPr>
          <w:rFonts w:ascii="宋体" w:cs="宋体"/>
          <w:color w:val="000000" w:themeColor="text1"/>
          <w:sz w:val="28"/>
          <w:szCs w:val="28"/>
          <w14:textFill>
            <w14:solidFill>
              <w14:schemeClr w14:val="tx1"/>
            </w14:solidFill>
          </w14:textFill>
        </w:rPr>
      </w:pPr>
    </w:p>
    <w:p>
      <w:pPr>
        <w:widowControl/>
        <w:jc w:val="left"/>
        <w:rPr>
          <w:rFonts w:ascii="宋体" w:cs="宋体"/>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r>
        <w:drawing>
          <wp:inline distT="0" distB="0" distL="114300" distR="114300">
            <wp:extent cx="5270500" cy="5395595"/>
            <wp:effectExtent l="0" t="0" r="6350" b="1460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7"/>
                    <a:stretch>
                      <a:fillRect/>
                    </a:stretch>
                  </pic:blipFill>
                  <pic:spPr>
                    <a:xfrm>
                      <a:off x="0" y="0"/>
                      <a:ext cx="5270500" cy="5395595"/>
                    </a:xfrm>
                    <a:prstGeom prst="rect">
                      <a:avLst/>
                    </a:prstGeom>
                    <a:noFill/>
                    <a:ln>
                      <a:noFill/>
                    </a:ln>
                  </pic:spPr>
                </pic:pic>
              </a:graphicData>
            </a:graphic>
          </wp:inline>
        </w:drawing>
      </w:r>
    </w:p>
    <w:p>
      <w:pPr>
        <w:pStyle w:val="12"/>
        <w:rPr>
          <w:rFonts w:ascii="黑体" w:eastAsia="黑体"/>
          <w:color w:val="000000" w:themeColor="text1"/>
          <w:sz w:val="44"/>
          <w:szCs w:val="44"/>
          <w14:textFill>
            <w14:solidFill>
              <w14:schemeClr w14:val="tx1"/>
            </w14:solidFill>
          </w14:textFill>
        </w:rPr>
      </w:pPr>
      <w:bookmarkStart w:id="8" w:name="_Toc3391974"/>
      <w:bookmarkStart w:id="9" w:name="_Toc3391745"/>
      <w:r>
        <w:rPr>
          <w:rFonts w:hint="eastAsia" w:ascii="黑体" w:eastAsia="黑体"/>
          <w:color w:val="000000" w:themeColor="text1"/>
          <w:sz w:val="44"/>
          <w:szCs w:val="44"/>
          <w:lang w:val="en-US" w:eastAsia="zh-CN"/>
          <w14:textFill>
            <w14:solidFill>
              <w14:schemeClr w14:val="tx1"/>
            </w14:solidFill>
          </w14:textFill>
        </w:rPr>
        <w:t>地块勘界</w:t>
      </w:r>
      <w:r>
        <w:rPr>
          <w:rFonts w:hint="eastAsia" w:ascii="黑体" w:eastAsia="黑体"/>
          <w:color w:val="000000" w:themeColor="text1"/>
          <w:sz w:val="44"/>
          <w:szCs w:val="44"/>
          <w14:textFill>
            <w14:solidFill>
              <w14:schemeClr w14:val="tx1"/>
            </w14:solidFill>
          </w14:textFill>
        </w:rPr>
        <w:t>图</w:t>
      </w:r>
      <w:bookmarkEnd w:id="8"/>
      <w:bookmarkEnd w:id="9"/>
    </w:p>
    <w:p>
      <w:pPr>
        <w:rPr>
          <w:color w:val="000000" w:themeColor="text1"/>
          <w14:textFill>
            <w14:solidFill>
              <w14:schemeClr w14:val="tx1"/>
            </w14:solidFill>
          </w14:textFill>
        </w:rPr>
      </w:pPr>
    </w:p>
    <w:p>
      <w:pPr>
        <w:widowControl/>
        <w:jc w:val="left"/>
        <w:rPr>
          <w:rFonts w:ascii="宋体" w:cs="宋体"/>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r>
        <w:drawing>
          <wp:inline distT="0" distB="0" distL="114300" distR="114300">
            <wp:extent cx="5272405" cy="7544435"/>
            <wp:effectExtent l="0" t="0" r="4445" b="1841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8"/>
                    <a:stretch>
                      <a:fillRect/>
                    </a:stretch>
                  </pic:blipFill>
                  <pic:spPr>
                    <a:xfrm>
                      <a:off x="0" y="0"/>
                      <a:ext cx="5272405" cy="7544435"/>
                    </a:xfrm>
                    <a:prstGeom prst="rect">
                      <a:avLst/>
                    </a:prstGeom>
                    <a:noFill/>
                    <a:ln>
                      <a:noFill/>
                    </a:ln>
                  </pic:spPr>
                </pic:pic>
              </a:graphicData>
            </a:graphic>
          </wp:inline>
        </w:drawing>
      </w:r>
    </w:p>
    <w:p>
      <w:pPr>
        <w:pStyle w:val="12"/>
        <w:spacing w:before="0" w:after="0" w:line="500" w:lineRule="exact"/>
        <w:rPr>
          <w:rFonts w:ascii="黑体" w:hAnsi="宋体" w:eastAsia="黑体"/>
          <w:color w:val="000000" w:themeColor="text1"/>
          <w:sz w:val="44"/>
          <w:szCs w:val="44"/>
          <w14:textFill>
            <w14:solidFill>
              <w14:schemeClr w14:val="tx1"/>
            </w14:solidFill>
          </w14:textFill>
        </w:rPr>
      </w:pPr>
      <w:bookmarkStart w:id="10" w:name="_Toc3391746"/>
      <w:bookmarkStart w:id="11" w:name="_Toc3391975"/>
      <w:r>
        <w:rPr>
          <w:rFonts w:hint="eastAsia" w:ascii="黑体" w:eastAsia="黑体"/>
          <w:color w:val="000000" w:themeColor="text1"/>
          <w:sz w:val="44"/>
          <w:szCs w:val="44"/>
          <w14:textFill>
            <w14:solidFill>
              <w14:schemeClr w14:val="tx1"/>
            </w14:solidFill>
          </w14:textFill>
        </w:rPr>
        <w:t>竞买申请书</w:t>
      </w:r>
      <w:bookmarkEnd w:id="10"/>
      <w:bookmarkEnd w:id="11"/>
    </w:p>
    <w:p>
      <w:pPr>
        <w:pStyle w:val="25"/>
        <w:spacing w:line="420" w:lineRule="exact"/>
        <w:rPr>
          <w:rFonts w:ascii="宋体"/>
          <w:color w:val="000000" w:themeColor="text1"/>
          <w:sz w:val="24"/>
          <w:szCs w:val="24"/>
          <w14:textFill>
            <w14:solidFill>
              <w14:schemeClr w14:val="tx1"/>
            </w14:solidFill>
          </w14:textFill>
        </w:rPr>
      </w:pP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X</w:t>
      </w:r>
      <w:r>
        <w:rPr>
          <w:rFonts w:ascii="宋体" w:hAnsi="宋体"/>
          <w:b/>
          <w:color w:val="000000" w:themeColor="text1"/>
          <w:sz w:val="24"/>
          <w:szCs w:val="24"/>
          <w:u w:val="single"/>
          <w14:textFill>
            <w14:solidFill>
              <w14:schemeClr w14:val="tx1"/>
            </w14:solidFill>
          </w14:textFill>
        </w:rPr>
        <w:t>XXX</w:t>
      </w:r>
      <w:r>
        <w:rPr>
          <w:rFonts w:hint="eastAsia" w:ascii="宋体" w:hAnsi="宋体"/>
          <w:b/>
          <w:color w:val="000000" w:themeColor="text1"/>
          <w:sz w:val="24"/>
          <w:szCs w:val="24"/>
          <w:u w:val="single"/>
          <w14:textFill>
            <w14:solidFill>
              <w14:schemeClr w14:val="tx1"/>
            </w14:solidFill>
          </w14:textFill>
        </w:rPr>
        <w:t>X</w:t>
      </w:r>
      <w:r>
        <w:rPr>
          <w:rFonts w:ascii="宋体" w:hAnsi="宋体"/>
          <w:b/>
          <w:color w:val="000000" w:themeColor="text1"/>
          <w:sz w:val="24"/>
          <w:szCs w:val="24"/>
          <w:u w:val="single"/>
          <w14:textFill>
            <w14:solidFill>
              <w14:schemeClr w14:val="tx1"/>
            </w14:solidFill>
          </w14:textFill>
        </w:rPr>
        <w:t>XXX</w:t>
      </w:r>
      <w:r>
        <w:rPr>
          <w:rFonts w:hint="eastAsia" w:ascii="宋体" w:hAnsi="宋体"/>
          <w:color w:val="000000" w:themeColor="text1"/>
          <w:sz w:val="24"/>
          <w:szCs w:val="24"/>
          <w14:textFill>
            <w14:solidFill>
              <w14:schemeClr w14:val="tx1"/>
            </w14:solidFill>
          </w14:textFill>
        </w:rPr>
        <w:t>：</w:t>
      </w:r>
    </w:p>
    <w:p>
      <w:pPr>
        <w:pStyle w:val="25"/>
        <w:spacing w:line="420" w:lineRule="exact"/>
        <w:ind w:left="0" w:firstLine="480" w:firstLineChars="200"/>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经认真阅读</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地块国有建设用地使用权拍卖出让文件，并实地踏看拍卖出让地块现状，我方完全接受并愿意遵守你中心国有建设用地使用权拍卖出让文件中的规定和要求，对所有文件及地块现状均无异议。</w:t>
      </w:r>
    </w:p>
    <w:p>
      <w:pPr>
        <w:pStyle w:val="25"/>
        <w:spacing w:line="420" w:lineRule="exact"/>
        <w:ind w:left="105" w:leftChars="5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我方正式申请参加你中心于</w:t>
      </w:r>
      <w:r>
        <w:rPr>
          <w:rFonts w:ascii="宋体" w:hAnsi="宋体"/>
          <w:color w:val="000000" w:themeColor="text1"/>
          <w:sz w:val="24"/>
          <w:szCs w:val="24"/>
          <w:u w:val="single"/>
          <w14:textFill>
            <w14:solidFill>
              <w14:schemeClr w14:val="tx1"/>
            </w14:solidFill>
          </w14:textFill>
        </w:rPr>
        <w:t xml:space="preserve">202 </w:t>
      </w:r>
      <w:r>
        <w:rPr>
          <w:rFonts w:hint="eastAsia" w:ascii="宋体" w:hAnsi="宋体"/>
          <w:color w:val="000000" w:themeColor="text1"/>
          <w:sz w:val="24"/>
          <w:szCs w:val="24"/>
          <w:u w:val="single"/>
          <w14:textFill>
            <w14:solidFill>
              <w14:schemeClr w14:val="tx1"/>
            </w14:solidFill>
          </w14:textFill>
        </w:rPr>
        <w:t>年  月  日</w:t>
      </w:r>
      <w:r>
        <w:rPr>
          <w:rFonts w:hint="eastAsia"/>
          <w:color w:val="000000" w:themeColor="text1"/>
          <w:sz w:val="24"/>
          <w:szCs w:val="24"/>
          <w14:textFill>
            <w14:solidFill>
              <w14:schemeClr w14:val="tx1"/>
            </w14:solidFill>
          </w14:textFill>
        </w:rPr>
        <w:t>在</w:t>
      </w:r>
      <w:r>
        <w:rPr>
          <w:rFonts w:hint="eastAsia" w:ascii="宋体" w:hAnsi="宋体"/>
          <w:b/>
          <w:color w:val="000000" w:themeColor="text1"/>
          <w:sz w:val="24"/>
          <w:szCs w:val="24"/>
          <w:u w:val="single"/>
          <w14:textFill>
            <w14:solidFill>
              <w14:schemeClr w14:val="tx1"/>
            </w14:solidFill>
          </w14:textFill>
        </w:rPr>
        <w:t>X</w:t>
      </w:r>
      <w:r>
        <w:rPr>
          <w:rFonts w:ascii="宋体" w:hAnsi="宋体"/>
          <w:b/>
          <w:color w:val="000000" w:themeColor="text1"/>
          <w:sz w:val="24"/>
          <w:szCs w:val="24"/>
          <w:u w:val="single"/>
          <w14:textFill>
            <w14:solidFill>
              <w14:schemeClr w14:val="tx1"/>
            </w14:solidFill>
          </w14:textFill>
        </w:rPr>
        <w:t>XXX</w:t>
      </w:r>
      <w:r>
        <w:rPr>
          <w:rFonts w:hint="eastAsia" w:ascii="宋体" w:hAnsi="宋体"/>
          <w:b/>
          <w:color w:val="000000" w:themeColor="text1"/>
          <w:sz w:val="24"/>
          <w:szCs w:val="24"/>
          <w:u w:val="single"/>
          <w14:textFill>
            <w14:solidFill>
              <w14:schemeClr w14:val="tx1"/>
            </w14:solidFill>
          </w14:textFill>
        </w:rPr>
        <w:t>X</w:t>
      </w:r>
      <w:r>
        <w:rPr>
          <w:rFonts w:ascii="宋体" w:hAnsi="宋体"/>
          <w:b/>
          <w:color w:val="000000" w:themeColor="text1"/>
          <w:sz w:val="24"/>
          <w:szCs w:val="24"/>
          <w:u w:val="single"/>
          <w14:textFill>
            <w14:solidFill>
              <w14:schemeClr w14:val="tx1"/>
            </w14:solidFill>
          </w14:textFill>
        </w:rPr>
        <w:t>XXX</w:t>
      </w:r>
      <w:r>
        <w:rPr>
          <w:rFonts w:hint="eastAsia" w:ascii="宋体" w:hAnsi="宋体"/>
          <w:color w:val="000000" w:themeColor="text1"/>
          <w:sz w:val="24"/>
          <w:szCs w:val="24"/>
          <w14:textFill>
            <w14:solidFill>
              <w14:schemeClr w14:val="tx1"/>
            </w14:solidFill>
          </w14:textFill>
        </w:rPr>
        <w:t>举行的</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地块国有建设用地使用权拍卖活动，愿意按拍卖出让文件规定缴纳竞买保证金人民币万元（大写</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w:t>
      </w:r>
      <w:r>
        <w:rPr>
          <w:rFonts w:hint="eastAsia" w:ascii="仿宋_GB2312" w:hAnsi="仿宋" w:eastAsia="仿宋_GB2312"/>
          <w:color w:val="000000" w:themeColor="text1"/>
          <w:w w:val="90"/>
          <w:sz w:val="24"/>
          <w:szCs w:val="24"/>
          <w14:textFill>
            <w14:solidFill>
              <w14:schemeClr w14:val="tx1"/>
            </w14:solidFill>
          </w14:textFill>
        </w:rPr>
        <w:t>￥</w:t>
      </w:r>
      <w:r>
        <w:rPr>
          <w:rFonts w:hint="eastAsia" w:ascii="仿宋_GB2312" w:hAnsi="仿宋" w:eastAsia="仿宋_GB2312"/>
          <w:color w:val="000000" w:themeColor="text1"/>
          <w:w w:val="90"/>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万元）。</w:t>
      </w:r>
    </w:p>
    <w:p>
      <w:pPr>
        <w:pStyle w:val="25"/>
        <w:spacing w:line="420" w:lineRule="exact"/>
        <w:ind w:left="0" w:firstLine="480" w:firstLineChars="200"/>
        <w:jc w:val="left"/>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若能竞得该地块，我方承诺：</w:t>
      </w:r>
    </w:p>
    <w:p>
      <w:pPr>
        <w:pStyle w:val="25"/>
        <w:spacing w:line="420" w:lineRule="exact"/>
        <w:ind w:left="0" w:firstLine="482" w:firstLineChars="200"/>
        <w:jc w:val="left"/>
        <w:rPr>
          <w:rFonts w:asci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（一）竞得土地使用权后</w:t>
      </w:r>
      <w:r>
        <w:rPr>
          <w:rFonts w:ascii="宋体" w:hAnsi="宋体"/>
          <w:b/>
          <w:color w:val="000000" w:themeColor="text1"/>
          <w:sz w:val="24"/>
          <w:szCs w:val="24"/>
          <w14:textFill>
            <w14:solidFill>
              <w14:schemeClr w14:val="tx1"/>
            </w14:solidFill>
          </w14:textFill>
        </w:rPr>
        <w:t>3</w:t>
      </w:r>
      <w:r>
        <w:rPr>
          <w:rFonts w:hint="eastAsia" w:ascii="宋体" w:hAnsi="宋体"/>
          <w:b/>
          <w:color w:val="000000" w:themeColor="text1"/>
          <w:sz w:val="24"/>
          <w:szCs w:val="24"/>
          <w14:textFill>
            <w14:solidFill>
              <w14:schemeClr w14:val="tx1"/>
            </w14:solidFill>
          </w14:textFill>
        </w:rPr>
        <w:t>个月内在</w:t>
      </w:r>
      <w:r>
        <w:rPr>
          <w:rFonts w:hint="eastAsia" w:ascii="宋体" w:hAnsi="宋体"/>
          <w:b/>
          <w:color w:val="000000" w:themeColor="text1"/>
          <w:sz w:val="24"/>
          <w:szCs w:val="24"/>
          <w:u w:val="single"/>
          <w:lang w:val="en-US" w:eastAsia="zh-CN"/>
          <w14:textFill>
            <w14:solidFill>
              <w14:schemeClr w14:val="tx1"/>
            </w14:solidFill>
          </w14:textFill>
        </w:rPr>
        <w:t>土地所在辖区</w:t>
      </w:r>
      <w:r>
        <w:rPr>
          <w:rFonts w:hint="eastAsia" w:ascii="宋体" w:hAnsi="宋体"/>
          <w:b/>
          <w:color w:val="000000" w:themeColor="text1"/>
          <w:sz w:val="24"/>
          <w:szCs w:val="24"/>
          <w14:textFill>
            <w14:solidFill>
              <w14:schemeClr w14:val="tx1"/>
            </w14:solidFill>
          </w14:textFill>
        </w:rPr>
        <w:t>注册成立一家新公司对竞得土地进行开发建设，新公司出资构成为</w:t>
      </w:r>
      <w:r>
        <w:rPr>
          <w:rFonts w:hint="eastAsia" w:ascii="宋体" w:hAnsi="宋体"/>
          <w:b/>
          <w:color w:val="000000" w:themeColor="text1"/>
          <w:sz w:val="24"/>
          <w:szCs w:val="24"/>
          <w:u w:val="single"/>
          <w14:textFill>
            <w14:solidFill>
              <w14:schemeClr w14:val="tx1"/>
            </w14:solidFill>
          </w14:textFill>
        </w:rPr>
        <w:t xml:space="preserve">              </w:t>
      </w:r>
      <w:r>
        <w:rPr>
          <w:rFonts w:ascii="宋体" w:hAnsi="宋体"/>
          <w:b/>
          <w:color w:val="000000" w:themeColor="text1"/>
          <w:sz w:val="24"/>
          <w:szCs w:val="24"/>
          <w14:textFill>
            <w14:solidFill>
              <w14:schemeClr w14:val="tx1"/>
            </w14:solidFill>
          </w14:textFill>
        </w:rPr>
        <w:t>(</w:t>
      </w:r>
      <w:r>
        <w:rPr>
          <w:rFonts w:hint="eastAsia" w:ascii="宋体" w:hAnsi="宋体"/>
          <w:b/>
          <w:color w:val="000000" w:themeColor="text1"/>
          <w:sz w:val="24"/>
          <w:szCs w:val="24"/>
          <w14:textFill>
            <w14:solidFill>
              <w14:schemeClr w14:val="tx1"/>
            </w14:solidFill>
          </w14:textFill>
        </w:rPr>
        <w:t>竞得后拟成立新公司的填写，竞得人在新公司的出资比例必须在</w:t>
      </w:r>
      <w:r>
        <w:rPr>
          <w:rFonts w:ascii="宋体" w:hAnsi="宋体"/>
          <w:b/>
          <w:color w:val="000000" w:themeColor="text1"/>
          <w:sz w:val="24"/>
          <w:szCs w:val="24"/>
          <w14:textFill>
            <w14:solidFill>
              <w14:schemeClr w14:val="tx1"/>
            </w14:solidFill>
          </w14:textFill>
        </w:rPr>
        <w:t>51%</w:t>
      </w:r>
      <w:r>
        <w:rPr>
          <w:rFonts w:hint="eastAsia" w:ascii="宋体" w:hAnsi="宋体"/>
          <w:b/>
          <w:color w:val="000000" w:themeColor="text1"/>
          <w:sz w:val="24"/>
          <w:szCs w:val="24"/>
          <w14:textFill>
            <w14:solidFill>
              <w14:schemeClr w14:val="tx1"/>
            </w14:solidFill>
          </w14:textFill>
        </w:rPr>
        <w:t>（含）以上。该条</w:t>
      </w:r>
      <w:r>
        <w:rPr>
          <w:rFonts w:hint="eastAsia" w:ascii="宋体" w:hAnsi="宋体"/>
          <w:b/>
          <w:color w:val="FF0000"/>
          <w:sz w:val="24"/>
          <w:szCs w:val="24"/>
        </w:rPr>
        <w:t>土地所在辖区外</w:t>
      </w:r>
      <w:r>
        <w:rPr>
          <w:rFonts w:hint="eastAsia" w:ascii="宋体" w:hAnsi="宋体"/>
          <w:b/>
          <w:color w:val="000000" w:themeColor="text1"/>
          <w:sz w:val="24"/>
          <w:szCs w:val="24"/>
          <w14:textFill>
            <w14:solidFill>
              <w14:schemeClr w14:val="tx1"/>
            </w14:solidFill>
          </w14:textFill>
        </w:rPr>
        <w:t>的竞买人必须承诺</w:t>
      </w:r>
      <w:r>
        <w:rPr>
          <w:rFonts w:ascii="宋体" w:hAnsi="宋体"/>
          <w:b/>
          <w:color w:val="000000" w:themeColor="text1"/>
          <w:sz w:val="24"/>
          <w:szCs w:val="24"/>
          <w14:textFill>
            <w14:solidFill>
              <w14:schemeClr w14:val="tx1"/>
            </w14:solidFill>
          </w14:textFill>
        </w:rPr>
        <w:t>)</w:t>
      </w:r>
      <w:r>
        <w:rPr>
          <w:rFonts w:hint="eastAsia" w:ascii="宋体" w:hAnsi="宋体"/>
          <w:b/>
          <w:color w:val="000000" w:themeColor="text1"/>
          <w:sz w:val="24"/>
          <w:szCs w:val="24"/>
          <w14:textFill>
            <w14:solidFill>
              <w14:schemeClr w14:val="tx1"/>
            </w14:solidFill>
          </w14:textFill>
        </w:rPr>
        <w:t>。</w:t>
      </w:r>
    </w:p>
    <w:p>
      <w:pPr>
        <w:pStyle w:val="25"/>
        <w:spacing w:line="420" w:lineRule="exact"/>
        <w:ind w:left="0" w:firstLine="480" w:firstLineChars="20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（二）保证按照拍卖出让文件的规定和要求履行全部义务，如有违约行为，我方愿意承担全部法律责任，并赔偿由此产生的损失。</w:t>
      </w:r>
    </w:p>
    <w:p>
      <w:pPr>
        <w:pStyle w:val="25"/>
        <w:spacing w:line="420" w:lineRule="exact"/>
        <w:ind w:left="0" w:firstLine="480" w:firstLineChars="20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（三）若我方不按拍卖出让文件的要求签订《成交确认书》或《国有建设用地使用权出让合同》的，或不按《国有建设用地使用权出让合同》的要求缴纳土地价款并达到合同解除条件的，无论缴纳的竞买保证金</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万元（人民币）已转为何种法律性质的价款，我方均无权要求予以退还。</w:t>
      </w:r>
    </w:p>
    <w:p>
      <w:pPr>
        <w:pStyle w:val="25"/>
        <w:spacing w:line="420" w:lineRule="exact"/>
        <w:ind w:left="0" w:firstLine="482" w:firstLineChars="200"/>
        <w:rPr>
          <w:rFonts w:asci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w:t>
      </w: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统一社会信用代码复印件；</w:t>
      </w:r>
      <w:r>
        <w:rPr>
          <w:rFonts w:ascii="宋体" w:hAnsi="宋体"/>
          <w:color w:val="000000" w:themeColor="text1"/>
          <w:sz w:val="24"/>
          <w:szCs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组织机构代码证复印件</w:t>
      </w:r>
      <w:r>
        <w:rPr>
          <w:rFonts w:ascii="宋体" w:hAnsi="宋体"/>
          <w:color w:val="000000" w:themeColor="text1"/>
          <w:sz w:val="24"/>
          <w:szCs w:val="24"/>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法定代表人身份证明；</w:t>
      </w:r>
      <w:r>
        <w:rPr>
          <w:rFonts w:ascii="宋体" w:hAnsi="宋体"/>
          <w:color w:val="000000" w:themeColor="text1"/>
          <w:sz w:val="24"/>
          <w:szCs w:val="24"/>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法定代表人身份证复印件；</w:t>
      </w:r>
      <w:r>
        <w:rPr>
          <w:rFonts w:ascii="宋体" w:hAnsi="宋体"/>
          <w:color w:val="000000" w:themeColor="text1"/>
          <w:sz w:val="24"/>
          <w:szCs w:val="24"/>
          <w14:textFill>
            <w14:solidFill>
              <w14:schemeClr w14:val="tx1"/>
            </w14:solidFill>
          </w14:textFill>
        </w:rPr>
        <w:t>5.</w:t>
      </w:r>
      <w:r>
        <w:rPr>
          <w:rFonts w:hint="eastAsia" w:ascii="宋体" w:hAnsi="宋体"/>
          <w:color w:val="000000" w:themeColor="text1"/>
          <w:sz w:val="24"/>
          <w:szCs w:val="24"/>
          <w14:textFill>
            <w14:solidFill>
              <w14:schemeClr w14:val="tx1"/>
            </w14:solidFill>
          </w14:textFill>
        </w:rPr>
        <w:t>授权委托书；</w:t>
      </w:r>
      <w:r>
        <w:rPr>
          <w:rFonts w:ascii="宋体" w:hAnsi="宋体"/>
          <w:color w:val="000000" w:themeColor="text1"/>
          <w:sz w:val="24"/>
          <w:szCs w:val="24"/>
          <w14:textFill>
            <w14:solidFill>
              <w14:schemeClr w14:val="tx1"/>
            </w14:solidFill>
          </w14:textFill>
        </w:rPr>
        <w:t>6.</w:t>
      </w:r>
      <w:r>
        <w:rPr>
          <w:rFonts w:hint="eastAsia" w:ascii="宋体" w:hAnsi="宋体"/>
          <w:color w:val="000000" w:themeColor="text1"/>
          <w:sz w:val="24"/>
          <w:szCs w:val="24"/>
          <w14:textFill>
            <w14:solidFill>
              <w14:schemeClr w14:val="tx1"/>
            </w14:solidFill>
          </w14:textFill>
        </w:rPr>
        <w:t>受托人身份证复印件；</w:t>
      </w:r>
      <w:r>
        <w:rPr>
          <w:rFonts w:ascii="宋体" w:hAnsi="宋体"/>
          <w:color w:val="000000" w:themeColor="text1"/>
          <w:sz w:val="24"/>
          <w:szCs w:val="24"/>
          <w14:textFill>
            <w14:solidFill>
              <w14:schemeClr w14:val="tx1"/>
            </w14:solidFill>
          </w14:textFill>
        </w:rPr>
        <w:t>7.</w:t>
      </w:r>
      <w:r>
        <w:rPr>
          <w:rFonts w:hint="eastAsia" w:ascii="宋体" w:hAnsi="宋体"/>
          <w:color w:val="000000" w:themeColor="text1"/>
          <w:sz w:val="24"/>
          <w:szCs w:val="24"/>
          <w14:textFill>
            <w14:solidFill>
              <w14:schemeClr w14:val="tx1"/>
            </w14:solidFill>
          </w14:textFill>
        </w:rPr>
        <w:t>竞买保证金交纳凭证；</w:t>
      </w:r>
      <w:r>
        <w:rPr>
          <w:rFonts w:ascii="宋体" w:hAnsi="宋体"/>
          <w:color w:val="000000" w:themeColor="text1"/>
          <w:sz w:val="24"/>
          <w:szCs w:val="24"/>
          <w14:textFill>
            <w14:solidFill>
              <w14:schemeClr w14:val="tx1"/>
            </w14:solidFill>
          </w14:textFill>
        </w:rPr>
        <w:t>8.</w:t>
      </w:r>
      <w:r>
        <w:rPr>
          <w:rFonts w:hint="eastAsia" w:ascii="宋体" w:hAnsi="宋体"/>
          <w:color w:val="000000" w:themeColor="text1"/>
          <w:sz w:val="24"/>
          <w:szCs w:val="24"/>
          <w14:textFill>
            <w14:solidFill>
              <w14:schemeClr w14:val="tx1"/>
            </w14:solidFill>
          </w14:textFill>
        </w:rPr>
        <w:t>其它应提供的依据等。</w:t>
      </w:r>
    </w:p>
    <w:p>
      <w:pPr>
        <w:pStyle w:val="25"/>
        <w:spacing w:line="420" w:lineRule="exact"/>
        <w:ind w:firstLine="470" w:firstLineChars="196"/>
        <w:rPr>
          <w:rFonts w:ascii="宋体"/>
          <w:color w:val="000000" w:themeColor="text1"/>
          <w:sz w:val="24"/>
          <w:szCs w:val="24"/>
          <w14:textFill>
            <w14:solidFill>
              <w14:schemeClr w14:val="tx1"/>
            </w14:solidFill>
          </w14:textFill>
        </w:rPr>
      </w:pP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竞买申请人（盖章）：</w:t>
      </w: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法定代表人（本人签名）：</w:t>
      </w: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联系人：</w:t>
      </w: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地址：</w:t>
      </w: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w:t>
      </w:r>
    </w:p>
    <w:p>
      <w:pPr>
        <w:pStyle w:val="25"/>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申请日期：  年   月   日</w:t>
      </w:r>
    </w:p>
    <w:p>
      <w:pPr>
        <w:pStyle w:val="25"/>
        <w:spacing w:line="420" w:lineRule="exact"/>
        <w:ind w:left="0" w:firstLine="510"/>
        <w:rPr>
          <w:rFonts w:ascii="宋体"/>
          <w:color w:val="000000" w:themeColor="text1"/>
          <w:sz w:val="24"/>
          <w:szCs w:val="24"/>
          <w14:textFill>
            <w14:solidFill>
              <w14:schemeClr w14:val="tx1"/>
            </w14:solidFill>
          </w14:textFill>
        </w:rPr>
      </w:pPr>
    </w:p>
    <w:p>
      <w:pPr>
        <w:pStyle w:val="25"/>
        <w:spacing w:line="420" w:lineRule="exact"/>
        <w:ind w:left="0" w:firstLine="510"/>
        <w:rPr>
          <w:rFonts w:asci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（法人或其他组织参与竞买的，竞买时须带上公章）</w:t>
      </w:r>
    </w:p>
    <w:p>
      <w:pPr>
        <w:pStyle w:val="12"/>
        <w:spacing w:before="0" w:after="0" w:line="600" w:lineRule="exact"/>
        <w:rPr>
          <w:rFonts w:ascii="黑体" w:eastAsia="黑体"/>
          <w:color w:val="000000" w:themeColor="text1"/>
          <w:sz w:val="44"/>
          <w:szCs w:val="44"/>
          <w14:textFill>
            <w14:solidFill>
              <w14:schemeClr w14:val="tx1"/>
            </w14:solidFill>
          </w14:textFill>
        </w:rPr>
      </w:pPr>
      <w:r>
        <w:rPr>
          <w:rFonts w:ascii="宋体" w:hAnsi="宋体" w:eastAsia="宋体"/>
          <w:color w:val="000000" w:themeColor="text1"/>
          <w:w w:val="90"/>
          <w14:textFill>
            <w14:solidFill>
              <w14:schemeClr w14:val="tx1"/>
            </w14:solidFill>
          </w14:textFill>
        </w:rPr>
        <w:br w:type="page"/>
      </w:r>
      <w:bookmarkStart w:id="12" w:name="_Toc3391976"/>
      <w:bookmarkStart w:id="13" w:name="_Toc3391747"/>
      <w:r>
        <w:rPr>
          <w:rFonts w:hint="eastAsia" w:ascii="黑体" w:eastAsia="黑体"/>
          <w:color w:val="000000" w:themeColor="text1"/>
          <w:sz w:val="44"/>
          <w:szCs w:val="44"/>
          <w14:textFill>
            <w14:solidFill>
              <w14:schemeClr w14:val="tx1"/>
            </w14:solidFill>
          </w14:textFill>
        </w:rPr>
        <w:t>保证金承诺书</w:t>
      </w:r>
      <w:bookmarkEnd w:id="12"/>
      <w:bookmarkEnd w:id="13"/>
    </w:p>
    <w:p>
      <w:pPr>
        <w:rPr>
          <w:b/>
          <w:color w:val="000000" w:themeColor="text1"/>
          <w:sz w:val="44"/>
          <w:szCs w:val="44"/>
          <w14:textFill>
            <w14:solidFill>
              <w14:schemeClr w14:val="tx1"/>
            </w14:solidFill>
          </w14:textFill>
        </w:rPr>
      </w:pPr>
    </w:p>
    <w:p>
      <w:pP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u w:val="single"/>
          <w14:textFill>
            <w14:solidFill>
              <w14:schemeClr w14:val="tx1"/>
            </w14:solidFill>
          </w14:textFill>
        </w:rPr>
        <w:t>X</w:t>
      </w:r>
      <w:r>
        <w:rPr>
          <w:rFonts w:ascii="仿宋_GB2312" w:hAnsi="仿宋_GB2312" w:eastAsia="仿宋_GB2312" w:cs="仿宋_GB2312"/>
          <w:b/>
          <w:color w:val="000000" w:themeColor="text1"/>
          <w:sz w:val="30"/>
          <w:szCs w:val="30"/>
          <w:u w:val="single"/>
          <w14:textFill>
            <w14:solidFill>
              <w14:schemeClr w14:val="tx1"/>
            </w14:solidFill>
          </w14:textFill>
        </w:rPr>
        <w:t>XXX</w:t>
      </w:r>
      <w:r>
        <w:rPr>
          <w:rFonts w:hint="eastAsia" w:ascii="仿宋_GB2312" w:hAnsi="仿宋_GB2312" w:eastAsia="仿宋_GB2312" w:cs="仿宋_GB2312"/>
          <w:b/>
          <w:color w:val="000000" w:themeColor="text1"/>
          <w:sz w:val="30"/>
          <w:szCs w:val="30"/>
          <w:u w:val="single"/>
          <w14:textFill>
            <w14:solidFill>
              <w14:schemeClr w14:val="tx1"/>
            </w14:solidFill>
          </w14:textFill>
        </w:rPr>
        <w:t>X</w:t>
      </w:r>
      <w:r>
        <w:rPr>
          <w:rFonts w:ascii="仿宋_GB2312" w:hAnsi="仿宋_GB2312" w:eastAsia="仿宋_GB2312" w:cs="仿宋_GB2312"/>
          <w:b/>
          <w:color w:val="000000" w:themeColor="text1"/>
          <w:sz w:val="30"/>
          <w:szCs w:val="30"/>
          <w:u w:val="single"/>
          <w14:textFill>
            <w14:solidFill>
              <w14:schemeClr w14:val="tx1"/>
            </w14:solidFill>
          </w14:textFill>
        </w:rPr>
        <w:t>XXX</w:t>
      </w:r>
      <w:r>
        <w:rPr>
          <w:rFonts w:hint="eastAsia" w:ascii="仿宋_GB2312" w:hAnsi="仿宋_GB2312" w:eastAsia="仿宋_GB2312" w:cs="仿宋_GB2312"/>
          <w:color w:val="000000" w:themeColor="text1"/>
          <w:sz w:val="30"/>
          <w:szCs w:val="30"/>
          <w14:textFill>
            <w14:solidFill>
              <w14:schemeClr w14:val="tx1"/>
            </w14:solidFill>
          </w14:textFill>
        </w:rPr>
        <w:t>：</w:t>
      </w:r>
    </w:p>
    <w:p>
      <w:pPr>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我方承诺参加</w:t>
      </w:r>
      <w:r>
        <w:rPr>
          <w:rFonts w:ascii="仿宋_GB2312" w:hAnsi="仿宋_GB2312" w:eastAsia="仿宋_GB2312" w:cs="仿宋_GB2312"/>
          <w:color w:val="000000" w:themeColor="text1"/>
          <w:sz w:val="30"/>
          <w:szCs w:val="30"/>
          <w:u w:val="single"/>
          <w14:textFill>
            <w14:solidFill>
              <w14:schemeClr w14:val="tx1"/>
            </w14:solidFill>
          </w14:textFill>
        </w:rPr>
        <w:t>2021</w:t>
      </w:r>
      <w:r>
        <w:rPr>
          <w:rFonts w:hint="eastAsia" w:ascii="仿宋_GB2312" w:hAnsi="仿宋_GB2312" w:eastAsia="仿宋_GB2312" w:cs="仿宋_GB2312"/>
          <w:color w:val="000000" w:themeColor="text1"/>
          <w:sz w:val="30"/>
          <w:szCs w:val="30"/>
          <w:u w:val="single"/>
          <w14:textFill>
            <w14:solidFill>
              <w14:schemeClr w14:val="tx1"/>
            </w14:solidFill>
          </w14:textFill>
        </w:rPr>
        <w:t>年  月  日</w:t>
      </w:r>
      <w:r>
        <w:rPr>
          <w:rFonts w:hint="eastAsia" w:ascii="仿宋_GB2312" w:hAnsi="仿宋_GB2312" w:eastAsia="仿宋_GB2312" w:cs="仿宋_GB2312"/>
          <w:color w:val="000000" w:themeColor="text1"/>
          <w:sz w:val="30"/>
          <w:szCs w:val="30"/>
          <w14:textFill>
            <w14:solidFill>
              <w14:schemeClr w14:val="tx1"/>
            </w14:solidFill>
          </w14:textFill>
        </w:rPr>
        <w:t>拍卖出让的</w:t>
      </w:r>
      <w:r>
        <w:rPr>
          <w:rFonts w:hint="eastAsia" w:ascii="仿宋_GB2312" w:hAnsi="仿宋_GB2312" w:eastAsia="仿宋_GB2312" w:cs="仿宋_GB2312"/>
          <w:color w:val="000000" w:themeColor="text1"/>
          <w:sz w:val="30"/>
          <w:szCs w:val="30"/>
          <w:u w:val="single"/>
          <w14:textFill>
            <w14:solidFill>
              <w14:schemeClr w14:val="tx1"/>
            </w14:solidFill>
          </w14:textFill>
        </w:rPr>
        <w:t xml:space="preserve">      </w:t>
      </w:r>
      <w:r>
        <w:rPr>
          <w:rFonts w:hint="eastAsia" w:ascii="仿宋_GB2312" w:hAnsi="仿宋_GB2312" w:eastAsia="仿宋_GB2312" w:cs="仿宋_GB2312"/>
          <w:color w:val="000000" w:themeColor="text1"/>
          <w:sz w:val="30"/>
          <w:szCs w:val="30"/>
          <w14:textFill>
            <w14:solidFill>
              <w14:schemeClr w14:val="tx1"/>
            </w14:solidFill>
          </w14:textFill>
        </w:rPr>
        <w:t>地块竞买，我方所交保证金不属于银行贷款、股东借款、转贷和募集资金。</w:t>
      </w:r>
    </w:p>
    <w:p>
      <w:pPr>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特此承诺。</w:t>
      </w:r>
    </w:p>
    <w:p>
      <w:pPr>
        <w:rPr>
          <w:rFonts w:ascii="仿宋_GB2312" w:hAnsi="仿宋_GB2312" w:eastAsia="仿宋_GB2312" w:cs="仿宋_GB2312"/>
          <w:color w:val="000000" w:themeColor="text1"/>
          <w:sz w:val="30"/>
          <w:szCs w:val="30"/>
          <w14:textFill>
            <w14:solidFill>
              <w14:schemeClr w14:val="tx1"/>
            </w14:solidFill>
          </w14:textFill>
        </w:rPr>
      </w:pP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承诺人（法定代表人）签字：</w:t>
      </w: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p>
    <w:p>
      <w:pPr>
        <w:ind w:right="900" w:firstLine="750" w:firstLineChars="250"/>
        <w:jc w:val="righ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年   月  日</w:t>
      </w:r>
    </w:p>
    <w:p>
      <w:pPr>
        <w:pStyle w:val="12"/>
        <w:rPr>
          <w:rFonts w:ascii="黑体" w:eastAsia="黑体"/>
          <w:color w:val="000000" w:themeColor="text1"/>
          <w:sz w:val="44"/>
          <w:szCs w:val="44"/>
          <w14:textFill>
            <w14:solidFill>
              <w14:schemeClr w14:val="tx1"/>
            </w14:solidFill>
          </w14:textFill>
        </w:rPr>
      </w:pPr>
      <w:r>
        <w:rPr>
          <w:rFonts w:ascii="仿宋_GB2312" w:hAnsi="仿宋_GB2312" w:eastAsia="仿宋_GB2312" w:cs="仿宋_GB2312"/>
          <w:color w:val="000000" w:themeColor="text1"/>
          <w:sz w:val="30"/>
          <w:szCs w:val="30"/>
          <w14:textFill>
            <w14:solidFill>
              <w14:schemeClr w14:val="tx1"/>
            </w14:solidFill>
          </w14:textFill>
        </w:rPr>
        <w:br w:type="page"/>
      </w:r>
      <w:bookmarkStart w:id="14" w:name="_Toc3391748"/>
      <w:bookmarkStart w:id="15" w:name="_Toc3391977"/>
      <w:r>
        <w:rPr>
          <w:rFonts w:hint="eastAsia" w:ascii="黑体" w:eastAsia="黑体"/>
          <w:color w:val="000000" w:themeColor="text1"/>
          <w:sz w:val="44"/>
          <w:szCs w:val="44"/>
          <w14:textFill>
            <w14:solidFill>
              <w14:schemeClr w14:val="tx1"/>
            </w14:solidFill>
          </w14:textFill>
        </w:rPr>
        <w:t>法定代表人身份证明书</w:t>
      </w:r>
      <w:bookmarkEnd w:id="14"/>
      <w:bookmarkEnd w:id="15"/>
    </w:p>
    <w:p>
      <w:pPr>
        <w:pStyle w:val="25"/>
        <w:spacing w:line="627" w:lineRule="atLeast"/>
        <w:ind w:left="0"/>
        <w:jc w:val="left"/>
        <w:rPr>
          <w:rFonts w:ascii="黑体" w:eastAsia="黑体"/>
          <w:color w:val="000000" w:themeColor="text1"/>
          <w:sz w:val="36"/>
          <w:szCs w:val="36"/>
          <w14:textFill>
            <w14:solidFill>
              <w14:schemeClr w14:val="tx1"/>
            </w14:solidFill>
          </w14:textFill>
        </w:rPr>
      </w:pPr>
    </w:p>
    <w:p>
      <w:pPr>
        <w:pStyle w:val="25"/>
        <w:spacing w:line="627" w:lineRule="atLeast"/>
        <w:ind w:left="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u w:val="single"/>
          <w14:textFill>
            <w14:solidFill>
              <w14:schemeClr w14:val="tx1"/>
            </w14:solidFill>
          </w14:textFill>
        </w:rPr>
        <w:t>X</w:t>
      </w:r>
      <w:r>
        <w:rPr>
          <w:rFonts w:ascii="仿宋_GB2312" w:hAnsi="仿宋_GB2312" w:eastAsia="仿宋_GB2312" w:cs="仿宋_GB2312"/>
          <w:b/>
          <w:color w:val="000000" w:themeColor="text1"/>
          <w:sz w:val="30"/>
          <w:szCs w:val="30"/>
          <w:u w:val="single"/>
          <w14:textFill>
            <w14:solidFill>
              <w14:schemeClr w14:val="tx1"/>
            </w14:solidFill>
          </w14:textFill>
        </w:rPr>
        <w:t>XXX</w:t>
      </w:r>
      <w:r>
        <w:rPr>
          <w:rFonts w:hint="eastAsia" w:ascii="仿宋_GB2312" w:hAnsi="仿宋_GB2312" w:eastAsia="仿宋_GB2312" w:cs="仿宋_GB2312"/>
          <w:b/>
          <w:color w:val="000000" w:themeColor="text1"/>
          <w:sz w:val="30"/>
          <w:szCs w:val="30"/>
          <w:u w:val="single"/>
          <w14:textFill>
            <w14:solidFill>
              <w14:schemeClr w14:val="tx1"/>
            </w14:solidFill>
          </w14:textFill>
        </w:rPr>
        <w:t>X</w:t>
      </w:r>
      <w:r>
        <w:rPr>
          <w:rFonts w:ascii="仿宋_GB2312" w:hAnsi="仿宋_GB2312" w:eastAsia="仿宋_GB2312" w:cs="仿宋_GB2312"/>
          <w:b/>
          <w:color w:val="000000" w:themeColor="text1"/>
          <w:sz w:val="30"/>
          <w:szCs w:val="30"/>
          <w:u w:val="single"/>
          <w14:textFill>
            <w14:solidFill>
              <w14:schemeClr w14:val="tx1"/>
            </w14:solidFill>
          </w14:textFill>
        </w:rPr>
        <w:t>XXX</w:t>
      </w:r>
      <w:r>
        <w:rPr>
          <w:rFonts w:hint="eastAsia" w:ascii="仿宋_GB2312" w:hAnsi="仿宋_GB2312" w:eastAsia="仿宋_GB2312" w:cs="仿宋_GB2312"/>
          <w:color w:val="000000" w:themeColor="text1"/>
          <w:sz w:val="30"/>
          <w:szCs w:val="30"/>
          <w14:textFill>
            <w14:solidFill>
              <w14:schemeClr w14:val="tx1"/>
            </w14:solidFill>
          </w14:textFill>
        </w:rPr>
        <w:t>：</w:t>
      </w:r>
    </w:p>
    <w:p>
      <w:pPr>
        <w:pStyle w:val="25"/>
        <w:spacing w:line="627" w:lineRule="atLeast"/>
        <w:ind w:left="0" w:firstLine="750" w:firstLineChars="25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××同志在我单位任职务，系我单位法定代表人，特此证明。</w:t>
      </w:r>
    </w:p>
    <w:p>
      <w:pPr>
        <w:pStyle w:val="25"/>
        <w:spacing w:line="627" w:lineRule="atLeast"/>
        <w:ind w:firstLine="900" w:firstLineChars="300"/>
        <w:jc w:val="left"/>
        <w:rPr>
          <w:rFonts w:ascii="仿宋_GB2312" w:hAnsi="仿宋_GB2312" w:eastAsia="仿宋_GB2312" w:cs="仿宋_GB2312"/>
          <w:color w:val="000000" w:themeColor="text1"/>
          <w:sz w:val="30"/>
          <w:szCs w:val="30"/>
          <w14:textFill>
            <w14:solidFill>
              <w14:schemeClr w14:val="tx1"/>
            </w14:solidFill>
          </w14:textFill>
        </w:rPr>
      </w:pPr>
    </w:p>
    <w:p>
      <w:pPr>
        <w:pStyle w:val="25"/>
        <w:spacing w:line="627" w:lineRule="atLeast"/>
        <w:ind w:right="900" w:firstLine="900" w:firstLineChars="300"/>
        <w:jc w:val="righ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年   月   日</w:t>
      </w:r>
    </w:p>
    <w:p>
      <w:pPr>
        <w:pStyle w:val="25"/>
        <w:spacing w:line="586" w:lineRule="atLeast"/>
        <w:jc w:val="center"/>
        <w:rPr>
          <w:rFonts w:ascii="宋体"/>
          <w:color w:val="000000" w:themeColor="text1"/>
          <w:sz w:val="28"/>
          <w:szCs w:val="28"/>
          <w14:textFill>
            <w14:solidFill>
              <w14:schemeClr w14:val="tx1"/>
            </w14:solidFill>
          </w14:textFill>
        </w:rPr>
      </w:pPr>
    </w:p>
    <w:p>
      <w:pPr>
        <w:pStyle w:val="25"/>
        <w:spacing w:line="586" w:lineRule="atLeast"/>
        <w:jc w:val="center"/>
        <w:rPr>
          <w:rFonts w:ascii="宋体"/>
          <w:color w:val="000000" w:themeColor="text1"/>
          <w:sz w:val="28"/>
          <w:szCs w:val="28"/>
          <w14:textFill>
            <w14:solidFill>
              <w14:schemeClr w14:val="tx1"/>
            </w14:solidFill>
          </w14:textFill>
        </w:rPr>
      </w:pPr>
    </w:p>
    <w:p>
      <w:pPr>
        <w:pStyle w:val="25"/>
        <w:spacing w:line="586" w:lineRule="atLeast"/>
        <w:jc w:val="center"/>
        <w:rPr>
          <w:rFonts w:ascii="宋体"/>
          <w:color w:val="000000" w:themeColor="text1"/>
          <w:sz w:val="28"/>
          <w:szCs w:val="28"/>
          <w14:textFill>
            <w14:solidFill>
              <w14:schemeClr w14:val="tx1"/>
            </w14:solidFill>
          </w14:textFill>
        </w:rPr>
      </w:pPr>
    </w:p>
    <w:p>
      <w:pPr>
        <w:pStyle w:val="25"/>
        <w:spacing w:line="586" w:lineRule="atLeast"/>
        <w:jc w:val="center"/>
        <w:rPr>
          <w:rFonts w:ascii="宋体"/>
          <w:color w:val="000000" w:themeColor="text1"/>
          <w:sz w:val="28"/>
          <w:szCs w:val="28"/>
          <w14:textFill>
            <w14:solidFill>
              <w14:schemeClr w14:val="tx1"/>
            </w14:solidFill>
          </w14:textFill>
        </w:rPr>
      </w:pPr>
    </w:p>
    <w:p>
      <w:pPr>
        <w:pStyle w:val="25"/>
        <w:spacing w:line="586" w:lineRule="atLeast"/>
        <w:jc w:val="center"/>
        <w:rPr>
          <w:rFonts w:ascii="宋体"/>
          <w:color w:val="000000" w:themeColor="text1"/>
          <w:sz w:val="28"/>
          <w:szCs w:val="28"/>
          <w14:textFill>
            <w14:solidFill>
              <w14:schemeClr w14:val="tx1"/>
            </w14:solidFill>
          </w14:textFill>
        </w:rPr>
      </w:pPr>
    </w:p>
    <w:p>
      <w:pPr>
        <w:pStyle w:val="25"/>
        <w:spacing w:line="586" w:lineRule="atLeast"/>
        <w:rPr>
          <w:rFonts w:ascii="宋体"/>
          <w:color w:val="000000" w:themeColor="text1"/>
          <w:sz w:val="28"/>
          <w:szCs w:val="28"/>
          <w14:textFill>
            <w14:solidFill>
              <w14:schemeClr w14:val="tx1"/>
            </w14:solidFill>
          </w14:textFill>
        </w:rPr>
      </w:pPr>
    </w:p>
    <w:p>
      <w:pPr>
        <w:pStyle w:val="25"/>
        <w:spacing w:line="586" w:lineRule="atLeast"/>
        <w:jc w:val="center"/>
        <w:rPr>
          <w:rFonts w:ascii="宋体"/>
          <w:color w:val="000000" w:themeColor="text1"/>
          <w:sz w:val="28"/>
          <w:szCs w:val="28"/>
          <w14:textFill>
            <w14:solidFill>
              <w14:schemeClr w14:val="tx1"/>
            </w14:solidFill>
          </w14:textFill>
        </w:rPr>
      </w:pPr>
    </w:p>
    <w:p>
      <w:pPr>
        <w:pStyle w:val="25"/>
        <w:spacing w:line="586" w:lineRule="atLeast"/>
        <w:jc w:val="left"/>
        <w:rPr>
          <w:rFonts w:ascii="宋体"/>
          <w:color w:val="000000" w:themeColor="text1"/>
          <w:sz w:val="28"/>
          <w:szCs w:val="28"/>
          <w14:textFill>
            <w14:solidFill>
              <w14:schemeClr w14:val="tx1"/>
            </w14:solidFill>
          </w14:textFill>
        </w:rPr>
      </w:pPr>
    </w:p>
    <w:p>
      <w:pPr>
        <w:pStyle w:val="25"/>
        <w:spacing w:line="586" w:lineRule="atLeast"/>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附注：</w:t>
      </w:r>
    </w:p>
    <w:p>
      <w:pPr>
        <w:pStyle w:val="25"/>
        <w:spacing w:line="586" w:lineRule="atLeast"/>
        <w:ind w:firstLine="560" w:firstLineChars="20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①企事业单位、机关、团体的主要负责人为本单位的法定代表人；</w:t>
      </w:r>
    </w:p>
    <w:p>
      <w:pPr>
        <w:pStyle w:val="25"/>
        <w:spacing w:line="586" w:lineRule="atLeast"/>
        <w:ind w:firstLine="57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②法定代表人办公地点：；</w:t>
      </w:r>
    </w:p>
    <w:p>
      <w:pPr>
        <w:pStyle w:val="25"/>
        <w:spacing w:line="586" w:lineRule="atLeast"/>
        <w:ind w:firstLine="57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③法定代表人身份证号码：；</w:t>
      </w:r>
    </w:p>
    <w:p>
      <w:pPr>
        <w:pStyle w:val="25"/>
        <w:spacing w:line="586" w:lineRule="atLeast"/>
        <w:ind w:left="0" w:firstLine="560" w:firstLineChars="20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④法定代表人联系电话：。</w:t>
      </w:r>
    </w:p>
    <w:p>
      <w:pPr>
        <w:pStyle w:val="12"/>
        <w:rPr>
          <w:rFonts w:ascii="黑体" w:eastAsia="黑体"/>
          <w:color w:val="000000" w:themeColor="text1"/>
          <w:sz w:val="44"/>
          <w:szCs w:val="44"/>
          <w14:textFill>
            <w14:solidFill>
              <w14:schemeClr w14:val="tx1"/>
            </w14:solidFill>
          </w14:textFill>
        </w:rPr>
      </w:pPr>
      <w:r>
        <w:rPr>
          <w:rFonts w:ascii="Dotum" w:eastAsia="Dotum" w:cs="Dotum"/>
          <w:color w:val="000000" w:themeColor="text1"/>
          <w:sz w:val="44"/>
          <w:szCs w:val="44"/>
          <w14:textFill>
            <w14:solidFill>
              <w14:schemeClr w14:val="tx1"/>
            </w14:solidFill>
          </w14:textFill>
        </w:rPr>
        <w:br w:type="page"/>
      </w:r>
      <w:bookmarkStart w:id="16" w:name="_Toc3391749"/>
      <w:bookmarkStart w:id="17" w:name="_Toc3391978"/>
      <w:r>
        <w:rPr>
          <w:rFonts w:hint="eastAsia" w:ascii="黑体" w:eastAsia="黑体"/>
          <w:color w:val="000000" w:themeColor="text1"/>
          <w:sz w:val="44"/>
          <w:szCs w:val="44"/>
          <w14:textFill>
            <w14:solidFill>
              <w14:schemeClr w14:val="tx1"/>
            </w14:solidFill>
          </w14:textFill>
        </w:rPr>
        <w:t>授权委托书</w:t>
      </w:r>
      <w:bookmarkEnd w:id="16"/>
      <w:bookmarkEnd w:id="17"/>
    </w:p>
    <w:tbl>
      <w:tblPr>
        <w:tblStyle w:val="13"/>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14:textFill>
                  <w14:solidFill>
                    <w14:schemeClr w14:val="tx1"/>
                  </w14:solidFill>
                </w14:textFill>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14:textFill>
                  <w14:solidFill>
                    <w14:schemeClr w14:val="tx1"/>
                  </w14:solidFill>
                </w14:textFill>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本人授权（受托人）代表本人参加  年  月   日在</w:t>
            </w:r>
            <w:r>
              <w:rPr>
                <w:rFonts w:ascii="仿宋_GB2312" w:eastAsia="仿宋_GB2312"/>
                <w:color w:val="000000" w:themeColor="text1"/>
                <w:kern w:val="0"/>
                <w:sz w:val="24"/>
                <w14:textFill>
                  <w14:solidFill>
                    <w14:schemeClr w14:val="tx1"/>
                  </w14:solidFill>
                </w14:textFill>
              </w:rPr>
              <w:t>马踏洞新区龙马大道与鱼泉路交叉口处新政务服务大楼</w:t>
            </w:r>
            <w:r>
              <w:rPr>
                <w:rFonts w:hint="eastAsia" w:ascii="仿宋_GB2312" w:eastAsia="仿宋_GB2312"/>
                <w:b/>
                <w:color w:val="000000" w:themeColor="text1"/>
                <w:kern w:val="0"/>
                <w:sz w:val="24"/>
                <w:u w:val="single"/>
                <w14:textFill>
                  <w14:solidFill>
                    <w14:schemeClr w14:val="tx1"/>
                  </w14:solidFill>
                </w14:textFill>
              </w:rPr>
              <w:t>X</w:t>
            </w:r>
            <w:r>
              <w:rPr>
                <w:rFonts w:ascii="仿宋_GB2312" w:eastAsia="仿宋_GB2312"/>
                <w:b/>
                <w:color w:val="000000" w:themeColor="text1"/>
                <w:kern w:val="0"/>
                <w:sz w:val="24"/>
                <w:u w:val="single"/>
                <w14:textFill>
                  <w14:solidFill>
                    <w14:schemeClr w14:val="tx1"/>
                  </w14:solidFill>
                </w14:textFill>
              </w:rPr>
              <w:t>XXX</w:t>
            </w:r>
            <w:r>
              <w:rPr>
                <w:rFonts w:hint="eastAsia" w:ascii="仿宋_GB2312" w:eastAsia="仿宋_GB2312"/>
                <w:b/>
                <w:color w:val="000000" w:themeColor="text1"/>
                <w:kern w:val="0"/>
                <w:sz w:val="24"/>
                <w:u w:val="single"/>
                <w14:textFill>
                  <w14:solidFill>
                    <w14:schemeClr w14:val="tx1"/>
                  </w14:solidFill>
                </w14:textFill>
              </w:rPr>
              <w:t>X</w:t>
            </w:r>
            <w:r>
              <w:rPr>
                <w:rFonts w:ascii="仿宋_GB2312" w:eastAsia="仿宋_GB2312"/>
                <w:b/>
                <w:color w:val="000000" w:themeColor="text1"/>
                <w:kern w:val="0"/>
                <w:sz w:val="24"/>
                <w:u w:val="single"/>
                <w14:textFill>
                  <w14:solidFill>
                    <w14:schemeClr w14:val="tx1"/>
                  </w14:solidFill>
                </w14:textFill>
              </w:rPr>
              <w:t>XXX</w:t>
            </w:r>
            <w:r>
              <w:rPr>
                <w:rFonts w:hint="eastAsia" w:ascii="仿宋_GB2312" w:eastAsia="仿宋_GB2312"/>
                <w:color w:val="000000" w:themeColor="text1"/>
                <w:kern w:val="0"/>
                <w:sz w:val="24"/>
                <w14:textFill>
                  <w14:solidFill>
                    <w14:schemeClr w14:val="tx1"/>
                  </w14:solidFill>
                </w14:textFill>
              </w:rPr>
              <w:t>举行的</w:t>
            </w:r>
            <w:r>
              <w:rPr>
                <w:rFonts w:hint="eastAsia" w:ascii="仿宋_GB2312" w:eastAsia="仿宋_GB2312"/>
                <w:color w:val="000000" w:themeColor="text1"/>
                <w:kern w:val="0"/>
                <w:sz w:val="24"/>
                <w:u w:val="single"/>
                <w14:textFill>
                  <w14:solidFill>
                    <w14:schemeClr w14:val="tx1"/>
                  </w14:solidFill>
                </w14:textFill>
              </w:rPr>
              <w:t xml:space="preserve">         </w:t>
            </w:r>
            <w:r>
              <w:rPr>
                <w:rFonts w:hint="eastAsia" w:ascii="仿宋_GB2312" w:eastAsia="仿宋_GB2312"/>
                <w:color w:val="000000" w:themeColor="text1"/>
                <w:kern w:val="0"/>
                <w:sz w:val="24"/>
                <w14:textFill>
                  <w14:solidFill>
                    <w14:schemeClr w14:val="tx1"/>
                  </w14:solidFill>
                </w14:textFill>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委托人（签名）：</w:t>
            </w:r>
          </w:p>
          <w:p>
            <w:pPr>
              <w:widowControl/>
              <w:spacing w:line="500" w:lineRule="exact"/>
              <w:ind w:firstLine="3360" w:firstLineChars="1400"/>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备</w:t>
            </w:r>
          </w:p>
          <w:p>
            <w:pPr>
              <w:widowControl/>
              <w:spacing w:line="400" w:lineRule="exact"/>
              <w:ind w:left="1" w:firstLine="238"/>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14:textFill>
                  <w14:solidFill>
                    <w14:schemeClr w14:val="tx1"/>
                  </w14:solidFill>
                </w14:textFill>
              </w:rPr>
            </w:pPr>
          </w:p>
          <w:p>
            <w:pPr>
              <w:widowControl/>
              <w:spacing w:line="400" w:lineRule="exact"/>
              <w:ind w:left="1"/>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兹证明本委托书确系本单位法定代表人亲自签定</w:t>
            </w: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ascii="仿宋_GB2312" w:eastAsia="仿宋_GB2312"/>
                <w:color w:val="000000" w:themeColor="text1"/>
                <w:kern w:val="0"/>
                <w:sz w:val="24"/>
                <w14:textFill>
                  <w14:solidFill>
                    <w14:schemeClr w14:val="tx1"/>
                  </w14:solidFill>
                </w14:textFill>
              </w:rPr>
              <w:t> </w:t>
            </w:r>
            <w:r>
              <w:rPr>
                <w:rFonts w:hint="eastAsia" w:ascii="仿宋_GB2312" w:eastAsia="仿宋_GB2312"/>
                <w:color w:val="000000" w:themeColor="text1"/>
                <w:kern w:val="0"/>
                <w:sz w:val="24"/>
                <w14:textFill>
                  <w14:solidFill>
                    <w14:schemeClr w14:val="tx1"/>
                  </w14:solidFill>
                </w14:textFill>
              </w:rPr>
              <w:t>单位公章：</w:t>
            </w:r>
          </w:p>
          <w:p>
            <w:pPr>
              <w:widowControl/>
              <w:spacing w:line="400" w:lineRule="exact"/>
              <w:ind w:left="1"/>
              <w:rPr>
                <w:rFonts w:ascii="仿宋_GB2312" w:eastAsia="仿宋_GB2312"/>
                <w:color w:val="000000" w:themeColor="text1"/>
                <w:kern w:val="0"/>
                <w:sz w:val="24"/>
                <w14:textFill>
                  <w14:solidFill>
                    <w14:schemeClr w14:val="tx1"/>
                  </w14:solidFill>
                </w14:textFill>
              </w:rPr>
            </w:pPr>
          </w:p>
          <w:p>
            <w:pPr>
              <w:widowControl/>
              <w:spacing w:line="400" w:lineRule="exact"/>
              <w:ind w:left="1" w:right="480" w:firstLine="4680" w:firstLineChars="1950"/>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年月日</w:t>
            </w:r>
          </w:p>
        </w:tc>
      </w:tr>
    </w:tbl>
    <w:p>
      <w:pPr>
        <w:pStyle w:val="25"/>
        <w:spacing w:line="760" w:lineRule="exact"/>
        <w:ind w:left="0"/>
        <w:jc w:val="center"/>
        <w:rPr>
          <w:rFonts w:ascii="方正小标宋简体" w:hAnsi="宋体" w:eastAsia="方正小标宋简体"/>
          <w:color w:val="000000" w:themeColor="text1"/>
          <w:spacing w:val="-5"/>
          <w:kern w:val="2"/>
          <w:sz w:val="44"/>
          <w:szCs w:val="44"/>
          <w14:textFill>
            <w14:solidFill>
              <w14:schemeClr w14:val="tx1"/>
            </w14:solidFill>
          </w14:textFill>
        </w:rPr>
      </w:pPr>
    </w:p>
    <w:p>
      <w:pPr>
        <w:jc w:val="center"/>
        <w:rPr>
          <w:rFonts w:ascii="黑体" w:hAnsi="Cambria" w:eastAsia="黑体"/>
          <w:b/>
          <w:bCs/>
          <w:color w:val="000000" w:themeColor="text1"/>
          <w:sz w:val="44"/>
          <w:szCs w:val="44"/>
          <w14:textFill>
            <w14:solidFill>
              <w14:schemeClr w14:val="tx1"/>
            </w14:solidFill>
          </w14:textFill>
        </w:rPr>
      </w:pPr>
      <w:r>
        <w:rPr>
          <w:rFonts w:ascii="方正小标宋简体" w:hAnsi="宋体" w:eastAsia="方正小标宋简体"/>
          <w:color w:val="000000" w:themeColor="text1"/>
          <w:spacing w:val="-5"/>
          <w:sz w:val="44"/>
          <w:szCs w:val="44"/>
          <w14:textFill>
            <w14:solidFill>
              <w14:schemeClr w14:val="tx1"/>
            </w14:solidFill>
          </w14:textFill>
        </w:rPr>
        <w:br w:type="page"/>
      </w:r>
      <w:r>
        <w:rPr>
          <w:rFonts w:hint="eastAsia" w:ascii="黑体" w:hAnsi="Cambria" w:eastAsia="黑体"/>
          <w:b/>
          <w:bCs/>
          <w:color w:val="000000" w:themeColor="text1"/>
          <w:sz w:val="44"/>
          <w:szCs w:val="44"/>
          <w14:textFill>
            <w14:solidFill>
              <w14:schemeClr w14:val="tx1"/>
            </w14:solidFill>
          </w14:textFill>
        </w:rPr>
        <w:t>国有建设用地使用权出让成交确认书</w:t>
      </w:r>
    </w:p>
    <w:p>
      <w:pPr>
        <w:spacing w:line="560" w:lineRule="exact"/>
        <w:jc w:val="center"/>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    )</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受</w:t>
      </w:r>
      <w:r>
        <w:rPr>
          <w:rFonts w:hint="eastAsia" w:ascii="仿宋_GB2312" w:hAnsi="宋体" w:eastAsia="仿宋_GB2312"/>
          <w:color w:val="000000" w:themeColor="text1"/>
          <w:sz w:val="30"/>
          <w:szCs w:val="30"/>
          <w:u w:val="single"/>
          <w14:textFill>
            <w14:solidFill>
              <w14:schemeClr w14:val="tx1"/>
            </w14:solidFill>
          </w14:textFill>
        </w:rPr>
        <w:t xml:space="preserve">  （出让人） </w:t>
      </w:r>
      <w:r>
        <w:rPr>
          <w:rFonts w:hint="eastAsia" w:ascii="仿宋_GB2312" w:hAnsi="宋体" w:eastAsia="仿宋_GB2312"/>
          <w:color w:val="000000" w:themeColor="text1"/>
          <w:sz w:val="30"/>
          <w:szCs w:val="30"/>
          <w14:textFill>
            <w14:solidFill>
              <w14:schemeClr w14:val="tx1"/>
            </w14:solidFill>
          </w14:textFill>
        </w:rPr>
        <w:t>委托， 年  月  日，</w:t>
      </w:r>
      <w:r>
        <w:rPr>
          <w:rFonts w:hint="eastAsia" w:ascii="仿宋_GB2312" w:hAnsi="宋体" w:eastAsia="仿宋_GB2312"/>
          <w:b/>
          <w:color w:val="000000" w:themeColor="text1"/>
          <w:sz w:val="30"/>
          <w:szCs w:val="30"/>
          <w:u w:val="single"/>
          <w14:textFill>
            <w14:solidFill>
              <w14:schemeClr w14:val="tx1"/>
            </w14:solidFill>
          </w14:textFill>
        </w:rPr>
        <w:t>X</w:t>
      </w:r>
      <w:r>
        <w:rPr>
          <w:rFonts w:ascii="仿宋_GB2312" w:hAnsi="宋体" w:eastAsia="仿宋_GB2312"/>
          <w:b/>
          <w:color w:val="000000" w:themeColor="text1"/>
          <w:sz w:val="30"/>
          <w:szCs w:val="30"/>
          <w:u w:val="single"/>
          <w14:textFill>
            <w14:solidFill>
              <w14:schemeClr w14:val="tx1"/>
            </w14:solidFill>
          </w14:textFill>
        </w:rPr>
        <w:t>XXX</w:t>
      </w:r>
      <w:r>
        <w:rPr>
          <w:rFonts w:hint="eastAsia" w:ascii="仿宋_GB2312" w:hAnsi="宋体" w:eastAsia="仿宋_GB2312"/>
          <w:b/>
          <w:color w:val="000000" w:themeColor="text1"/>
          <w:sz w:val="30"/>
          <w:szCs w:val="30"/>
          <w:u w:val="single"/>
          <w14:textFill>
            <w14:solidFill>
              <w14:schemeClr w14:val="tx1"/>
            </w14:solidFill>
          </w14:textFill>
        </w:rPr>
        <w:t>X</w:t>
      </w:r>
      <w:r>
        <w:rPr>
          <w:rFonts w:ascii="仿宋_GB2312" w:hAnsi="宋体" w:eastAsia="仿宋_GB2312"/>
          <w:b/>
          <w:color w:val="000000" w:themeColor="text1"/>
          <w:sz w:val="30"/>
          <w:szCs w:val="30"/>
          <w:u w:val="single"/>
          <w14:textFill>
            <w14:solidFill>
              <w14:schemeClr w14:val="tx1"/>
            </w14:solidFill>
          </w14:textFill>
        </w:rPr>
        <w:t>XXX</w:t>
      </w:r>
      <w:r>
        <w:rPr>
          <w:rFonts w:hint="eastAsia" w:ascii="仿宋_GB2312" w:hAnsi="宋体" w:eastAsia="仿宋_GB2312"/>
          <w:color w:val="000000" w:themeColor="text1"/>
          <w:sz w:val="30"/>
          <w:szCs w:val="30"/>
          <w14:textFill>
            <w14:solidFill>
              <w14:schemeClr w14:val="tx1"/>
            </w14:solidFill>
          </w14:textFill>
        </w:rPr>
        <w:t>对</w:t>
      </w:r>
      <w:r>
        <w:rPr>
          <w:rFonts w:hint="eastAsia" w:ascii="仿宋_GB2312" w:hAnsi="宋体" w:eastAsia="仿宋_GB2312"/>
          <w:color w:val="000000" w:themeColor="text1"/>
          <w:sz w:val="30"/>
          <w:szCs w:val="30"/>
          <w:u w:val="single"/>
          <w14:textFill>
            <w14:solidFill>
              <w14:schemeClr w14:val="tx1"/>
            </w14:solidFill>
          </w14:textFill>
        </w:rPr>
        <w:t xml:space="preserve">          号</w:t>
      </w:r>
      <w:r>
        <w:rPr>
          <w:rFonts w:hint="eastAsia" w:ascii="仿宋_GB2312" w:hAnsi="宋体" w:eastAsia="仿宋_GB2312"/>
          <w:color w:val="000000" w:themeColor="text1"/>
          <w:sz w:val="30"/>
          <w:szCs w:val="30"/>
          <w14:textFill>
            <w14:solidFill>
              <w14:schemeClr w14:val="tx1"/>
            </w14:solidFill>
          </w14:textFill>
        </w:rPr>
        <w:t xml:space="preserve">国有建设用地使用权进行了公开 </w:t>
      </w:r>
      <w:r>
        <w:rPr>
          <w:rFonts w:hint="eastAsia" w:ascii="仿宋_GB2312" w:hAnsi="宋体" w:eastAsia="仿宋_GB2312"/>
          <w:color w:val="000000" w:themeColor="text1"/>
          <w:sz w:val="30"/>
          <w:szCs w:val="30"/>
          <w:u w:val="single"/>
          <w14:textFill>
            <w14:solidFill>
              <w14:schemeClr w14:val="tx1"/>
            </w14:solidFill>
          </w14:textFill>
        </w:rPr>
        <w:t xml:space="preserve"> （招标、拍卖、挂牌）</w:t>
      </w:r>
      <w:r>
        <w:rPr>
          <w:rFonts w:hint="eastAsia" w:ascii="仿宋_GB2312" w:hAnsi="宋体" w:eastAsia="仿宋_GB2312"/>
          <w:color w:val="000000" w:themeColor="text1"/>
          <w:sz w:val="30"/>
          <w:szCs w:val="30"/>
          <w14:textFill>
            <w14:solidFill>
              <w14:schemeClr w14:val="tx1"/>
            </w14:solidFill>
          </w14:textFill>
        </w:rPr>
        <w:t>出让，由</w:t>
      </w:r>
      <w:r>
        <w:rPr>
          <w:rFonts w:hint="eastAsia" w:ascii="仿宋_GB2312" w:hAnsi="宋体" w:eastAsia="仿宋_GB2312"/>
          <w:color w:val="000000" w:themeColor="text1"/>
          <w:sz w:val="30"/>
          <w:szCs w:val="30"/>
          <w:u w:val="single"/>
          <w14:textFill>
            <w14:solidFill>
              <w14:schemeClr w14:val="tx1"/>
            </w14:solidFill>
          </w14:textFill>
        </w:rPr>
        <w:t xml:space="preserve">   （竞得人）   </w:t>
      </w:r>
      <w:r>
        <w:rPr>
          <w:rFonts w:hint="eastAsia" w:ascii="仿宋_GB2312" w:hAnsi="宋体" w:eastAsia="仿宋_GB2312"/>
          <w:color w:val="000000" w:themeColor="text1"/>
          <w:sz w:val="30"/>
          <w:szCs w:val="30"/>
          <w14:textFill>
            <w14:solidFill>
              <w14:schemeClr w14:val="tx1"/>
            </w14:solidFill>
          </w14:textFill>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该地块面积为，成交单价为(人民币   )：，大写（人民币     ），成交总价为（人民币  ），大写（人民币    ）。</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二、竞得人缴纳的竞买保证金自成交之日起自动转作受让地块的定金。</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四、竞得人应在本《成交确认书》签订后10个工作日内，持本《成交确认书》与</w:t>
      </w:r>
      <w:r>
        <w:rPr>
          <w:rFonts w:hint="eastAsia" w:ascii="仿宋_GB2312" w:hAnsi="宋体" w:eastAsia="仿宋_GB2312"/>
          <w:color w:val="000000" w:themeColor="text1"/>
          <w:sz w:val="30"/>
          <w:szCs w:val="30"/>
          <w:u w:val="single"/>
          <w14:textFill>
            <w14:solidFill>
              <w14:schemeClr w14:val="tx1"/>
            </w14:solidFill>
          </w14:textFill>
        </w:rPr>
        <w:t xml:space="preserve"> （出让人） </w:t>
      </w:r>
      <w:r>
        <w:rPr>
          <w:rFonts w:hint="eastAsia" w:ascii="仿宋_GB2312" w:hAnsi="宋体" w:eastAsia="仿宋_GB2312"/>
          <w:color w:val="000000" w:themeColor="text1"/>
          <w:sz w:val="30"/>
          <w:szCs w:val="30"/>
          <w14:textFill>
            <w14:solidFill>
              <w14:schemeClr w14:val="tx1"/>
            </w14:solidFill>
          </w14:textFill>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14:textFill>
            <w14:solidFill>
              <w14:schemeClr w14:val="tx1"/>
            </w14:solidFill>
          </w14:textFill>
        </w:rPr>
        <w:t>（出让人）</w:t>
      </w:r>
      <w:r>
        <w:rPr>
          <w:rFonts w:hint="eastAsia" w:ascii="仿宋_GB2312" w:hAnsi="宋体" w:eastAsia="仿宋_GB2312"/>
          <w:color w:val="000000" w:themeColor="text1"/>
          <w:sz w:val="30"/>
          <w:szCs w:val="30"/>
          <w14:textFill>
            <w14:solidFill>
              <w14:schemeClr w14:val="tx1"/>
            </w14:solidFill>
          </w14:textFill>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五、本《成交确认书》一式陆份，拍卖人、出让人、竞得人各执 2 份。</w:t>
      </w:r>
    </w:p>
    <w:p>
      <w:pPr>
        <w:spacing w:line="560" w:lineRule="exact"/>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出让人</w:t>
      </w:r>
      <w:r>
        <w:rPr>
          <w:rFonts w:hint="eastAsia" w:ascii="仿宋_GB2312" w:hAnsi="宋体" w:eastAsia="仿宋_GB2312"/>
          <w:color w:val="000000" w:themeColor="text1"/>
          <w:sz w:val="30"/>
          <w:szCs w:val="30"/>
          <w14:textFill>
            <w14:solidFill>
              <w14:schemeClr w14:val="tx1"/>
            </w14:solidFill>
          </w14:textFill>
        </w:rPr>
        <w:t>：法定代表人：                委托代理人</w:t>
      </w:r>
    </w:p>
    <w:p>
      <w:pPr>
        <w:spacing w:line="560" w:lineRule="exact"/>
        <w:rPr>
          <w:rFonts w:ascii="仿宋_GB2312" w:hAnsi="宋体" w:eastAsia="仿宋_GB2312"/>
          <w:color w:val="000000" w:themeColor="text1"/>
          <w:sz w:val="30"/>
          <w:szCs w:val="30"/>
          <w:u w:val="single"/>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竞得人：</w:t>
      </w:r>
      <w:r>
        <w:rPr>
          <w:rFonts w:hint="eastAsia" w:ascii="仿宋_GB2312" w:hAnsi="宋体" w:eastAsia="仿宋_GB2312"/>
          <w:color w:val="000000" w:themeColor="text1"/>
          <w:sz w:val="30"/>
          <w:szCs w:val="30"/>
          <w14:textFill>
            <w14:solidFill>
              <w14:schemeClr w14:val="tx1"/>
            </w14:solidFill>
          </w14:textFill>
        </w:rPr>
        <w:t>联系电话：</w:t>
      </w:r>
    </w:p>
    <w:p>
      <w:pPr>
        <w:spacing w:line="560" w:lineRule="exact"/>
        <w:rPr>
          <w:rFonts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拍卖人</w:t>
      </w:r>
      <w:r>
        <w:rPr>
          <w:rFonts w:hint="eastAsia" w:ascii="仿宋_GB2312" w:hAnsi="宋体" w:eastAsia="仿宋_GB2312"/>
          <w:color w:val="000000" w:themeColor="text1"/>
          <w:sz w:val="30"/>
          <w:szCs w:val="30"/>
          <w14:textFill>
            <w14:solidFill>
              <w14:schemeClr w14:val="tx1"/>
            </w14:solidFill>
          </w14:textFill>
        </w:rPr>
        <w:t>：法定代表人：                委托代理人</w:t>
      </w:r>
    </w:p>
    <w:p>
      <w:pPr>
        <w:spacing w:line="560" w:lineRule="exact"/>
        <w:rPr>
          <w:rFonts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 xml:space="preserve">公证员：                    </w:t>
      </w:r>
      <w:r>
        <w:rPr>
          <w:rFonts w:hint="eastAsia" w:ascii="仿宋_GB2312" w:hAnsi="宋体" w:eastAsia="仿宋_GB2312"/>
          <w:color w:val="000000" w:themeColor="text1"/>
          <w:sz w:val="30"/>
          <w:szCs w:val="30"/>
          <w14:textFill>
            <w14:solidFill>
              <w14:schemeClr w14:val="tx1"/>
            </w14:solidFill>
          </w14:textFill>
        </w:rPr>
        <w:t>签定时间：年   月   日</w:t>
      </w:r>
    </w:p>
    <w:p>
      <w:pPr>
        <w:pStyle w:val="25"/>
        <w:spacing w:line="560" w:lineRule="exact"/>
        <w:ind w:left="0"/>
        <w:jc w:val="left"/>
        <w:rPr>
          <w:rFonts w:ascii="仿宋_GB2312" w:hAnsi="仿宋" w:eastAsia="仿宋_GB2312"/>
          <w:color w:val="000000" w:themeColor="text1"/>
          <w:sz w:val="32"/>
          <w:szCs w:val="32"/>
          <w14:textFill>
            <w14:solidFill>
              <w14:schemeClr w14:val="tx1"/>
            </w14:solidFill>
          </w14:textFill>
        </w:rPr>
        <w:sectPr>
          <w:pgSz w:w="11906" w:h="16838"/>
          <w:pgMar w:top="1418" w:right="1418" w:bottom="1418" w:left="1701" w:header="851" w:footer="992" w:gutter="0"/>
          <w:cols w:space="425" w:num="1"/>
          <w:docGrid w:type="lines" w:linePitch="312" w:charSpace="0"/>
        </w:sectPr>
      </w:pPr>
    </w:p>
    <w:p>
      <w:pPr>
        <w:pStyle w:val="25"/>
        <w:spacing w:line="600" w:lineRule="exact"/>
        <w:ind w:left="0"/>
        <w:rPr>
          <w:color w:val="000000" w:themeColor="text1"/>
          <w14:textFill>
            <w14:solidFill>
              <w14:schemeClr w14:val="tx1"/>
            </w14:solidFill>
          </w14:textFill>
        </w:rPr>
      </w:pPr>
    </w:p>
    <w:p>
      <w:pPr>
        <w:pStyle w:val="25"/>
        <w:spacing w:line="600" w:lineRule="exact"/>
        <w:rPr>
          <w:rFonts w:ascii="宋体"/>
          <w:color w:val="000000" w:themeColor="text1"/>
          <w:w w:val="90"/>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721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 name="G1" fmla="val 0"/>
                          </a:gdLst>
                          <a:ahLst/>
                          <a:cxnLst/>
                          <a:rect l="G1" t="G1" r="G1" b="G1"/>
                          <a:pathLst>
                            <a:path w="20000" h="20000">
                              <a:moveTo>
                                <a:pt x="10800" y="10800"/>
                              </a:moveTo>
                              <a:lnTo>
                                <a:pt x="0" y="0"/>
                              </a:lnTo>
                              <a:lnTo>
                                <a:pt x="0" y="0"/>
                              </a:lnTo>
                              <a:lnTo>
                                <a:pt x="10800" y="10800"/>
                              </a:lnTo>
                              <a:lnTo>
                                <a:pt x="10800" y="10800"/>
                              </a:lnTo>
                              <a:lnTo>
                                <a:pt x="0" y="0"/>
                              </a:lnTo>
                              <a:lnTo>
                                <a:pt x="0" y="0"/>
                              </a:lnTo>
                              <a:lnTo>
                                <a:pt x="0" y="0"/>
                              </a:lnTo>
                              <a:lnTo>
                                <a:pt x="0" y="0"/>
                              </a:lnTo>
                              <a:lnTo>
                                <a:pt x="0" y="0"/>
                              </a:lnTo>
                              <a:lnTo>
                                <a:pt x="0" y="0"/>
                              </a:lnTo>
                              <a:close/>
                            </a:path>
                          </a:pathLst>
                        </a:custGeom>
                        <a:solidFill>
                          <a:srgbClr val="FFFFFF"/>
                        </a:solidFill>
                        <a:ln w="9525" cap="flat" cmpd="sng">
                          <a:solidFill>
                            <a:srgbClr val="000000"/>
                          </a:solidFill>
                          <a:prstDash val="solid"/>
                          <a:round/>
                          <a:headEnd type="none" w="med" len="med"/>
                          <a:tailEnd type="none" w="med" len="med"/>
                        </a:ln>
                      </wps:spPr>
                      <wps:txbx>
                        <w:txbxContent>
                          <w:p/>
                        </w:txbxContent>
                      </wps:txbx>
                      <wps:bodyPr upright="1"/>
                    </wps:wsp>
                  </a:graphicData>
                </a:graphic>
              </wp:anchor>
            </w:drawing>
          </mc:Choice>
          <mc:Fallback>
            <w:pict>
              <v:shape id="AutoShape 6" o:spid="_x0000_s1026" o:spt="100" style="position:absolute;left:0pt;margin-left:0pt;margin-top:0pt;height:50pt;width:50pt;visibility:hidden;z-index:251657216;mso-width-relative:page;mso-height-relative:page;" fillcolor="#FFFFFF" filled="t" stroked="t"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path="m10800,10800l0,0,0,0,10800,10800,10800,10800,0,0,0,0,0,0,0,0,0,0,0,0xe">
                <v:path textboxrect="0,0,20000,20000"/>
                <v:fill on="t" focussize="0,0"/>
                <v:stroke color="#000000" joinstyle="round"/>
                <v:imagedata o:title=""/>
                <o:lock v:ext="edit" selection="t" aspectratio="f"/>
                <v:textbox>
                  <w:txbxContent>
                    <w:p/>
                  </w:txbxContent>
                </v:textbox>
              </v:shape>
            </w:pict>
          </mc:Fallback>
        </mc:AlternateContent>
      </w:r>
      <w:r>
        <w:rPr>
          <w:rFonts w:ascii="黑体" w:hAnsi="宋体" w:eastAsia="黑体" w:cs="黑体"/>
          <w:color w:val="000000" w:themeColor="text1"/>
          <w:sz w:val="36"/>
          <w:szCs w:val="36"/>
          <w14:textFill>
            <w14:solidFill>
              <w14:schemeClr w14:val="tx1"/>
            </w14:solidFill>
          </w14:textFill>
        </w:rPr>
        <w:drawing>
          <wp:inline distT="0" distB="0" distL="0" distR="0">
            <wp:extent cx="1590675" cy="381000"/>
            <wp:effectExtent l="0" t="0" r="0" b="0"/>
            <wp:docPr id="10"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4"/>
        <w:wordWrap w:val="0"/>
        <w:jc w:val="righ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电子监管号：</w:t>
      </w:r>
    </w:p>
    <w:p>
      <w:pPr>
        <w:pStyle w:val="4"/>
        <w:rPr>
          <w:color w:val="000000" w:themeColor="text1"/>
          <w14:textFill>
            <w14:solidFill>
              <w14:schemeClr w14:val="tx1"/>
            </w14:solidFill>
          </w14:textFill>
        </w:rPr>
      </w:pPr>
    </w:p>
    <w:p>
      <w:pPr>
        <w:pStyle w:val="4"/>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（样本）</w:t>
      </w:r>
    </w:p>
    <w:p>
      <w:pPr>
        <w:pStyle w:val="4"/>
        <w:rPr>
          <w:rStyle w:val="19"/>
          <w:rFonts w:hAnsi="宋体" w:cs="宋体"/>
          <w:color w:val="000000" w:themeColor="text1"/>
          <w14:textFill>
            <w14:solidFill>
              <w14:schemeClr w14:val="tx1"/>
            </w14:solidFill>
          </w14:textFill>
        </w:rPr>
      </w:pPr>
    </w:p>
    <w:p>
      <w:pPr>
        <w:pStyle w:val="4"/>
        <w:rPr>
          <w:rStyle w:val="19"/>
          <w:rFonts w:hAnsi="宋体" w:cs="宋体"/>
          <w:color w:val="000000" w:themeColor="text1"/>
          <w14:textFill>
            <w14:solidFill>
              <w14:schemeClr w14:val="tx1"/>
            </w14:solidFill>
          </w14:textFill>
        </w:rPr>
      </w:pPr>
    </w:p>
    <w:p>
      <w:pPr>
        <w:pStyle w:val="2"/>
        <w:jc w:val="center"/>
        <w:rPr>
          <w:rFonts w:ascii="宋体" w:hAnsi="宋体" w:eastAsia="宋体"/>
          <w:color w:val="000000" w:themeColor="text1"/>
          <w:sz w:val="18"/>
          <w:szCs w:val="18"/>
          <w14:textFill>
            <w14:solidFill>
              <w14:schemeClr w14:val="tx1"/>
            </w14:solidFill>
          </w14:textFill>
        </w:rPr>
      </w:pPr>
      <w:bookmarkStart w:id="18" w:name="_Toc3391980"/>
      <w:bookmarkStart w:id="19" w:name="_Toc3391751"/>
      <w:r>
        <w:rPr>
          <w:rFonts w:hint="eastAsia" w:ascii="宋体" w:hAnsi="宋体" w:eastAsia="宋体"/>
          <w:color w:val="000000" w:themeColor="text1"/>
          <w14:textFill>
            <w14:solidFill>
              <w14:schemeClr w14:val="tx1"/>
            </w14:solidFill>
          </w14:textFill>
        </w:rPr>
        <w:t>国有建设用地使用权出让合同</w:t>
      </w:r>
      <w:bookmarkEnd w:id="18"/>
      <w:bookmarkEnd w:id="19"/>
    </w:p>
    <w:p>
      <w:pPr>
        <w:pStyle w:val="4"/>
        <w:rPr>
          <w:rFonts w:hAnsi="宋体"/>
          <w:b/>
          <w:bCs/>
          <w:color w:val="000000" w:themeColor="text1"/>
          <w:sz w:val="18"/>
          <w:szCs w:val="1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spacing w:line="500" w:lineRule="exact"/>
        <w:jc w:val="left"/>
        <w:rPr>
          <w:rFonts w:hAnsi="宋体"/>
          <w:bCs/>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8240"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2" name="Rectangle 7"/>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319.5pt;margin-top:11.85pt;height:35.1pt;width:48.75pt;z-index:251658240;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11" name="Rectangle 8"/>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6pt;margin-top:0pt;height:62.4pt;width:288pt;z-index:251658240;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4"/>
        <w:spacing w:line="500" w:lineRule="exact"/>
        <w:jc w:val="left"/>
        <w:rPr>
          <w:rFonts w:hAnsi="宋体"/>
          <w:b/>
          <w:bCs/>
          <w:color w:val="000000" w:themeColor="text1"/>
          <w:sz w:val="36"/>
          <w:szCs w:val="36"/>
          <w14:textFill>
            <w14:solidFill>
              <w14:schemeClr w14:val="tx1"/>
            </w14:solidFill>
          </w14:textFill>
        </w:rPr>
      </w:pPr>
    </w:p>
    <w:p>
      <w:pPr>
        <w:pStyle w:val="4"/>
        <w:spacing w:line="578" w:lineRule="exact"/>
        <w:ind w:right="640"/>
        <w:jc w:val="right"/>
        <w:rPr>
          <w:rFonts w:hAnsi="宋体"/>
          <w:color w:val="000000" w:themeColor="text1"/>
          <w:sz w:val="28"/>
          <w:szCs w:val="28"/>
          <w14:textFill>
            <w14:solidFill>
              <w14:schemeClr w14:val="tx1"/>
            </w14:solidFill>
          </w14:textFill>
        </w:rPr>
      </w:pPr>
    </w:p>
    <w:p>
      <w:pPr>
        <w:pStyle w:val="4"/>
        <w:spacing w:line="578" w:lineRule="exact"/>
        <w:ind w:right="640"/>
        <w:jc w:val="right"/>
        <w:rPr>
          <w:rFonts w:hAnsi="宋体"/>
          <w:color w:val="000000" w:themeColor="text1"/>
          <w:sz w:val="28"/>
          <w:szCs w:val="28"/>
          <w:u w:val="single"/>
          <w14:textFill>
            <w14:solidFill>
              <w14:schemeClr w14:val="tx1"/>
            </w14:solidFill>
          </w14:textFill>
        </w:rPr>
      </w:pPr>
      <w:r>
        <w:rPr>
          <w:rFonts w:hint="eastAsia" w:hAnsi="宋体"/>
          <w:color w:val="000000" w:themeColor="text1"/>
          <w:sz w:val="28"/>
          <w:szCs w:val="28"/>
          <w14:textFill>
            <w14:solidFill>
              <w14:schemeClr w14:val="tx1"/>
            </w14:solidFill>
          </w14:textFill>
        </w:rPr>
        <w:t>合同编号：</w:t>
      </w:r>
    </w:p>
    <w:p>
      <w:pPr>
        <w:pStyle w:val="4"/>
        <w:spacing w:line="578" w:lineRule="exact"/>
        <w:jc w:val="center"/>
        <w:rPr>
          <w:rFonts w:ascii="方正小标宋简体" w:hAnsi="宋体" w:eastAsia="方正小标宋简体" w:cs="黑体"/>
          <w:color w:val="000000" w:themeColor="text1"/>
          <w:sz w:val="44"/>
          <w:szCs w:val="44"/>
          <w14:textFill>
            <w14:solidFill>
              <w14:schemeClr w14:val="tx1"/>
            </w14:solidFill>
          </w14:textFill>
        </w:rPr>
      </w:pPr>
    </w:p>
    <w:p>
      <w:pPr>
        <w:pStyle w:val="4"/>
        <w:spacing w:line="578" w:lineRule="exact"/>
        <w:jc w:val="center"/>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s="黑体"/>
          <w:color w:val="000000" w:themeColor="text1"/>
          <w:sz w:val="44"/>
          <w:szCs w:val="44"/>
          <w14:textFill>
            <w14:solidFill>
              <w14:schemeClr w14:val="tx1"/>
            </w14:solidFill>
          </w14:textFill>
        </w:rPr>
        <w:t>国有建设用地使用权出让合同</w:t>
      </w:r>
    </w:p>
    <w:p>
      <w:pPr>
        <w:pStyle w:val="4"/>
        <w:spacing w:line="578" w:lineRule="exact"/>
        <w:jc w:val="center"/>
        <w:rPr>
          <w:rFonts w:hAnsi="宋体"/>
          <w:color w:val="000000" w:themeColor="text1"/>
          <w:sz w:val="28"/>
          <w:szCs w:val="28"/>
          <w14:textFill>
            <w14:solidFill>
              <w14:schemeClr w14:val="tx1"/>
            </w14:solidFill>
          </w14:textFill>
        </w:rPr>
      </w:pP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本合同双方当事人：</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通讯地址：；</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邮政编码：；</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电话：；</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传真：；</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开户银行：；</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账号：。</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通讯地址：；</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邮政编码：；</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电话：；</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传真：；</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开户银行：；</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账号：。</w:t>
      </w:r>
    </w:p>
    <w:p>
      <w:pPr>
        <w:pStyle w:val="4"/>
        <w:spacing w:line="578" w:lineRule="exact"/>
        <w:rPr>
          <w:rFonts w:hAnsi="宋体" w:cs="黑体"/>
          <w:color w:val="000000" w:themeColor="text1"/>
          <w:sz w:val="28"/>
          <w:szCs w:val="28"/>
          <w14:textFill>
            <w14:solidFill>
              <w14:schemeClr w14:val="tx1"/>
            </w14:solidFill>
          </w14:textFill>
        </w:rPr>
      </w:pPr>
    </w:p>
    <w:p>
      <w:pPr>
        <w:pStyle w:val="4"/>
        <w:spacing w:line="578" w:lineRule="exact"/>
        <w:rPr>
          <w:rFonts w:hAnsi="宋体" w:cs="黑体"/>
          <w:color w:val="000000" w:themeColor="text1"/>
          <w:sz w:val="28"/>
          <w:szCs w:val="28"/>
          <w14:textFill>
            <w14:solidFill>
              <w14:schemeClr w14:val="tx1"/>
            </w14:solidFill>
          </w14:textFill>
        </w:rPr>
      </w:pPr>
    </w:p>
    <w:p>
      <w:pPr>
        <w:pStyle w:val="4"/>
        <w:spacing w:line="578" w:lineRule="exact"/>
        <w:rPr>
          <w:rFonts w:hAnsi="宋体" w:cs="黑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第一章总则</w:t>
      </w:r>
    </w:p>
    <w:p>
      <w:pPr>
        <w:pStyle w:val="4"/>
        <w:spacing w:line="578" w:lineRule="exact"/>
        <w:jc w:val="center"/>
        <w:rPr>
          <w:rFonts w:hAnsi="宋体" w:cs="仿宋_GB2312"/>
          <w:color w:val="000000" w:themeColor="text1"/>
          <w:sz w:val="28"/>
          <w:szCs w:val="28"/>
          <w14:textFill>
            <w14:solidFill>
              <w14:schemeClr w14:val="tx1"/>
            </w14:solidFill>
          </w14:textFill>
        </w:rPr>
      </w:pPr>
    </w:p>
    <w:p>
      <w:pPr>
        <w:pStyle w:val="4"/>
        <w:spacing w:line="578" w:lineRule="exact"/>
        <w:ind w:firstLine="551" w:firstLineChars="196"/>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第一条</w:t>
      </w:r>
      <w:r>
        <w:rPr>
          <w:rFonts w:hint="eastAsia" w:hAnsi="宋体" w:cs="仿宋_GB2312"/>
          <w:color w:val="000000" w:themeColor="text1"/>
          <w:sz w:val="28"/>
          <w:szCs w:val="28"/>
          <w14:textFill>
            <w14:solidFill>
              <w14:schemeClr w14:val="tx1"/>
            </w14:solidFill>
          </w14:textFill>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spacing w:line="578" w:lineRule="exact"/>
        <w:ind w:firstLine="562" w:firstLineChars="200"/>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第二条</w:t>
      </w:r>
      <w:r>
        <w:rPr>
          <w:rFonts w:hint="eastAsia" w:hAnsi="宋体" w:cs="仿宋_GB2312"/>
          <w:color w:val="000000" w:themeColor="text1"/>
          <w:sz w:val="28"/>
          <w:szCs w:val="28"/>
          <w14:textFill>
            <w14:solidFill>
              <w14:schemeClr w14:val="tx1"/>
            </w14:solidFill>
          </w14:textFill>
        </w:rPr>
        <w:t>出让土地的所有权属中华人民共和国，出让人根据法律的授权出让国有建设用地使用权，地下资源、埋藏物不属于国有建设用地使用权出让范围。</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第三条</w:t>
      </w:r>
      <w:r>
        <w:rPr>
          <w:rFonts w:hint="eastAsia" w:hAnsi="宋体" w:cs="仿宋_GB2312"/>
          <w:color w:val="000000" w:themeColor="text1"/>
          <w:sz w:val="28"/>
          <w:szCs w:val="28"/>
          <w14:textFill>
            <w14:solidFill>
              <w14:schemeClr w14:val="tx1"/>
            </w14:solidFill>
          </w14:textFill>
        </w:rPr>
        <w:t>受让人对依法取得的国有建设用地，在出让期限内享有占有、使用、收益和依法处置的权利，有权利用该土地依法建造建筑物、构筑物及其附属设施。</w:t>
      </w:r>
    </w:p>
    <w:p>
      <w:pPr>
        <w:pStyle w:val="4"/>
        <w:spacing w:line="578" w:lineRule="exact"/>
        <w:ind w:firstLine="560" w:firstLineChars="200"/>
        <w:rPr>
          <w:rFonts w:hAnsi="宋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第二章出让土地的交付与出让价款的缴纳</w:t>
      </w:r>
    </w:p>
    <w:p>
      <w:pPr>
        <w:pStyle w:val="4"/>
        <w:spacing w:line="578" w:lineRule="exact"/>
        <w:jc w:val="center"/>
        <w:rPr>
          <w:rFonts w:hAnsi="宋体"/>
          <w:color w:val="000000" w:themeColor="text1"/>
          <w:sz w:val="28"/>
          <w:szCs w:val="28"/>
          <w14:textFill>
            <w14:solidFill>
              <w14:schemeClr w14:val="tx1"/>
            </w14:solidFill>
          </w14:textFill>
        </w:rPr>
      </w:pP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第四条</w:t>
      </w:r>
      <w:r>
        <w:rPr>
          <w:rFonts w:hint="eastAsia" w:hAnsi="宋体" w:cs="仿宋_GB2312"/>
          <w:color w:val="000000" w:themeColor="text1"/>
          <w:sz w:val="28"/>
          <w:szCs w:val="28"/>
          <w14:textFill>
            <w14:solidFill>
              <w14:schemeClr w14:val="tx1"/>
            </w14:solidFill>
          </w14:textFill>
        </w:rPr>
        <w:t>本合同项下出让宗地编号为，宗地总面积大写平方米（小写平方米），其中出让宗地面积为大写平方米（小写平方米）。</w:t>
      </w: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本合同项下的出让宗地坐落于。</w:t>
      </w:r>
    </w:p>
    <w:p>
      <w:pPr>
        <w:pStyle w:val="4"/>
        <w:spacing w:line="578" w:lineRule="exact"/>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本合同项下出让宗地的平面界址为；出让宗地的平面界址图见附件</w:t>
      </w:r>
      <w:r>
        <w:rPr>
          <w:rFonts w:hAnsi="宋体" w:cs="仿宋_GB2312"/>
          <w:color w:val="000000" w:themeColor="text1"/>
          <w:sz w:val="28"/>
          <w:szCs w:val="28"/>
          <w14:textFill>
            <w14:solidFill>
              <w14:schemeClr w14:val="tx1"/>
            </w14:solidFill>
          </w14:textFill>
        </w:rPr>
        <w:t>1</w:t>
      </w:r>
      <w:r>
        <w:rPr>
          <w:rFonts w:hint="eastAsia" w:hAnsi="宋体" w:cs="仿宋_GB2312"/>
          <w:color w:val="000000" w:themeColor="text1"/>
          <w:sz w:val="28"/>
          <w:szCs w:val="28"/>
          <w14:textFill>
            <w14:solidFill>
              <w14:schemeClr w14:val="tx1"/>
            </w14:solidFill>
          </w14:textFill>
        </w:rPr>
        <w:t>。</w:t>
      </w:r>
    </w:p>
    <w:p>
      <w:pPr>
        <w:pStyle w:val="4"/>
        <w:spacing w:line="578" w:lineRule="exact"/>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本合同项下出让宗地的竖向界限以为上界限，以为下界限，高差为米。出让宗地竖向界限见附件</w:t>
      </w:r>
      <w:r>
        <w:rPr>
          <w:rFonts w:hAnsi="宋体" w:cs="仿宋_GB2312"/>
          <w:color w:val="000000" w:themeColor="text1"/>
          <w:sz w:val="28"/>
          <w:szCs w:val="28"/>
          <w14:textFill>
            <w14:solidFill>
              <w14:schemeClr w14:val="tx1"/>
            </w14:solidFill>
          </w14:textFill>
        </w:rPr>
        <w:t>2</w:t>
      </w:r>
      <w:r>
        <w:rPr>
          <w:rFonts w:hint="eastAsia" w:hAnsi="宋体" w:cs="仿宋_GB2312"/>
          <w:color w:val="000000" w:themeColor="text1"/>
          <w:sz w:val="28"/>
          <w:szCs w:val="28"/>
          <w14:textFill>
            <w14:solidFill>
              <w14:schemeClr w14:val="tx1"/>
            </w14:solidFill>
          </w14:textFill>
        </w:rPr>
        <w:t>。</w:t>
      </w:r>
    </w:p>
    <w:p>
      <w:pPr>
        <w:pStyle w:val="4"/>
        <w:spacing w:line="578" w:lineRule="exact"/>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出让宗地空间范围是以上述界址点所构成的垂直面和上、下界限高程平面封闭形成的空间范围。</w:t>
      </w:r>
    </w:p>
    <w:p>
      <w:pPr>
        <w:pStyle w:val="4"/>
        <w:tabs>
          <w:tab w:val="left" w:pos="1260"/>
        </w:tabs>
        <w:spacing w:line="578" w:lineRule="exact"/>
        <w:ind w:firstLine="562"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第五条</w:t>
      </w:r>
      <w:r>
        <w:rPr>
          <w:rFonts w:hint="eastAsia" w:hAnsi="宋体" w:cs="仿宋_GB2312"/>
          <w:color w:val="000000" w:themeColor="text1"/>
          <w:sz w:val="28"/>
          <w:szCs w:val="28"/>
          <w14:textFill>
            <w14:solidFill>
              <w14:schemeClr w14:val="tx1"/>
            </w14:solidFill>
          </w14:textFill>
        </w:rPr>
        <w:t>本合同项下出让宗地的用途为</w:t>
      </w:r>
      <w:r>
        <w:rPr>
          <w:rFonts w:hint="eastAsia" w:hAnsi="宋体" w:cs="仿宋_GB2312"/>
          <w:color w:val="000000" w:themeColor="text1"/>
          <w:sz w:val="28"/>
          <w:szCs w:val="28"/>
          <w:u w:val="single"/>
          <w14:textFill>
            <w14:solidFill>
              <w14:schemeClr w14:val="tx1"/>
            </w14:solidFill>
          </w14:textFill>
        </w:rPr>
        <w:t>：</w:t>
      </w:r>
      <w:r>
        <w:rPr>
          <w:rFonts w:hint="eastAsia" w:hAnsi="宋体" w:cs="仿宋_GB2312"/>
          <w:color w:val="000000" w:themeColor="text1"/>
          <w:sz w:val="28"/>
          <w:szCs w:val="28"/>
          <w14:textFill>
            <w14:solidFill>
              <w14:schemeClr w14:val="tx1"/>
            </w14:solidFill>
          </w14:textFill>
        </w:rPr>
        <w:t>。</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第六条</w:t>
      </w:r>
      <w:r>
        <w:rPr>
          <w:rFonts w:hint="eastAsia" w:hAnsi="宋体" w:cs="仿宋_GB2312"/>
          <w:color w:val="000000" w:themeColor="text1"/>
          <w:sz w:val="28"/>
          <w:szCs w:val="28"/>
          <w14:textFill>
            <w14:solidFill>
              <w14:schemeClr w14:val="tx1"/>
            </w14:solidFill>
          </w14:textFill>
        </w:rPr>
        <w:t>出让人同意在年月日前将出让宗地交付给受让人，出让人同意在交付土地时该宗地应达到本条第</w:t>
      </w:r>
      <w:r>
        <w:rPr>
          <w:rFonts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u w:val="single"/>
          <w14:textFill>
            <w14:solidFill>
              <w14:schemeClr w14:val="tx1"/>
            </w14:solidFill>
          </w14:textFill>
        </w:rPr>
        <w:t>二</w:t>
      </w:r>
      <w:r>
        <w:rPr>
          <w:rFonts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项规定的土地条件：</w:t>
      </w:r>
    </w:p>
    <w:p>
      <w:pPr>
        <w:pStyle w:val="4"/>
        <w:spacing w:line="578" w:lineRule="exact"/>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（一）场地平整达到；</w:t>
      </w:r>
    </w:p>
    <w:p>
      <w:pPr>
        <w:pStyle w:val="4"/>
        <w:spacing w:line="578" w:lineRule="exact"/>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周围基础设施达到；</w:t>
      </w:r>
    </w:p>
    <w:p>
      <w:pPr>
        <w:pStyle w:val="4"/>
        <w:spacing w:line="578" w:lineRule="exact"/>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（二）现状土地条件。</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第七条</w:t>
      </w:r>
      <w:r>
        <w:rPr>
          <w:rFonts w:hint="eastAsia" w:hAnsi="宋体" w:cs="仿宋_GB2312"/>
          <w:color w:val="000000" w:themeColor="text1"/>
          <w:sz w:val="28"/>
          <w:szCs w:val="28"/>
          <w14:textFill>
            <w14:solidFill>
              <w14:schemeClr w14:val="tx1"/>
            </w14:solidFill>
          </w14:textFill>
        </w:rPr>
        <w:t>本合同项下的国有建设用地使用权出让年期为</w:t>
      </w:r>
    </w:p>
    <w:p>
      <w:pPr>
        <w:pStyle w:val="4"/>
        <w:spacing w:line="578" w:lineRule="exac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年，按本合同第六条约定的交付土地之日起算；原划拨（承租）国有建设用地使用权补办出让手续的，出让年期自合同签订之日起算。</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第八条</w:t>
      </w:r>
      <w:r>
        <w:rPr>
          <w:rFonts w:hint="eastAsia" w:hAnsi="宋体" w:cs="仿宋_GB2312"/>
          <w:color w:val="000000" w:themeColor="text1"/>
          <w:sz w:val="28"/>
          <w:szCs w:val="28"/>
          <w14:textFill>
            <w14:solidFill>
              <w14:schemeClr w14:val="tx1"/>
            </w14:solidFill>
          </w14:textFill>
        </w:rPr>
        <w:t>本合同项下宗地的国有建设用地使用权出让价款为人民币大写元（小写元），每平方米人民币大写元（小写元）。</w:t>
      </w:r>
    </w:p>
    <w:p>
      <w:pPr>
        <w:pStyle w:val="4"/>
        <w:spacing w:line="578" w:lineRule="exact"/>
        <w:ind w:firstLine="562" w:firstLineChars="200"/>
        <w:jc w:val="left"/>
        <w:rPr>
          <w:rFonts w:hAnsi="宋体"/>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第九条</w:t>
      </w:r>
      <w:r>
        <w:rPr>
          <w:rFonts w:hint="eastAsia" w:hAnsi="宋体" w:cs="仿宋_GB2312"/>
          <w:color w:val="000000" w:themeColor="text1"/>
          <w:sz w:val="28"/>
          <w:szCs w:val="28"/>
          <w14:textFill>
            <w14:solidFill>
              <w14:schemeClr w14:val="tx1"/>
            </w14:solidFill>
          </w14:textFill>
        </w:rPr>
        <w:t>本合同项下宗地的定金为人民币大写元（小写元），定金抵作土地出让价款。</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第十条</w:t>
      </w:r>
      <w:r>
        <w:rPr>
          <w:rFonts w:hint="eastAsia" w:hAnsi="宋体" w:cs="仿宋_GB2312"/>
          <w:color w:val="000000" w:themeColor="text1"/>
          <w:sz w:val="28"/>
          <w:szCs w:val="28"/>
          <w14:textFill>
            <w14:solidFill>
              <w14:schemeClr w14:val="tx1"/>
            </w14:solidFill>
          </w14:textFill>
        </w:rPr>
        <w:t>受让人同意按照本条第一款第项的规定向出让人支付国有建设用地使用权出让价款：</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（一）本合同签订之日起日内，一次性付清国有建设用地使用权出让价款；</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（二）按以下时间和金额分期向出让人支付国有建设用地使用权出让价款。</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该宗地分期支付国有建设用地使用权出让价款不计利息。</w:t>
      </w:r>
    </w:p>
    <w:p>
      <w:pPr>
        <w:pStyle w:val="4"/>
        <w:spacing w:line="578" w:lineRule="exact"/>
        <w:ind w:firstLine="562" w:firstLineChars="200"/>
        <w:rPr>
          <w:rFonts w:hAnsi="宋体"/>
          <w:color w:val="000000" w:themeColor="text1"/>
          <w:kern w:val="0"/>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第十一条</w:t>
      </w:r>
      <w:r>
        <w:rPr>
          <w:rFonts w:hint="eastAsia" w:hAnsi="宋体" w:cs="仿宋_GB2312"/>
          <w:color w:val="000000" w:themeColor="text1"/>
          <w:sz w:val="28"/>
          <w:szCs w:val="28"/>
          <w14:textFill>
            <w14:solidFill>
              <w14:schemeClr w14:val="tx1"/>
            </w14:solidFill>
          </w14:textFill>
        </w:rPr>
        <w:t>受让人应在按本合同约定付清本宗地全部出让价款后，持本合同和出让价款缴纳凭证等相关证明材料，申请出让国有建设用地使用权登记。</w:t>
      </w:r>
    </w:p>
    <w:p>
      <w:pPr>
        <w:pStyle w:val="4"/>
        <w:spacing w:line="578" w:lineRule="exact"/>
        <w:ind w:firstLine="560" w:firstLineChars="200"/>
        <w:rPr>
          <w:rFonts w:hAnsi="宋体"/>
          <w:color w:val="000000" w:themeColor="text1"/>
          <w:kern w:val="0"/>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第三章土地开发建设与利用</w:t>
      </w:r>
    </w:p>
    <w:p>
      <w:pPr>
        <w:pStyle w:val="4"/>
        <w:spacing w:line="578" w:lineRule="exact"/>
        <w:jc w:val="center"/>
        <w:rPr>
          <w:rFonts w:hAnsi="宋体"/>
          <w:color w:val="000000" w:themeColor="text1"/>
          <w:sz w:val="28"/>
          <w:szCs w:val="28"/>
          <w14:textFill>
            <w14:solidFill>
              <w14:schemeClr w14:val="tx1"/>
            </w14:solidFill>
          </w14:textFill>
        </w:rPr>
      </w:pP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第十二条</w:t>
      </w:r>
      <w:r>
        <w:rPr>
          <w:rFonts w:hint="eastAsia" w:hAnsi="宋体" w:cs="仿宋_GB2312"/>
          <w:color w:val="000000" w:themeColor="text1"/>
          <w:sz w:val="28"/>
          <w:szCs w:val="28"/>
          <w14:textFill>
            <w14:solidFill>
              <w14:schemeClr w14:val="tx1"/>
            </w14:solidFill>
          </w14:textFill>
        </w:rPr>
        <w:t>受让人同意本合同项下宗地开发投资强度按本条项规定执行：</w:t>
      </w:r>
    </w:p>
    <w:p>
      <w:pPr>
        <w:pStyle w:val="4"/>
        <w:spacing w:line="578" w:lineRule="exact"/>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4"/>
        <w:spacing w:line="578" w:lineRule="exact"/>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（二）本合同项下宗地用于非工业项目建设，受让人承诺本合同项下宗地的开发投资总额不低于人民币大写万元（小写万元）。</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第十三条</w:t>
      </w:r>
      <w:r>
        <w:rPr>
          <w:rFonts w:hint="eastAsia" w:hAnsi="宋体" w:cs="仿宋_GB2312"/>
          <w:color w:val="000000" w:themeColor="text1"/>
          <w:sz w:val="28"/>
          <w:szCs w:val="28"/>
          <w14:textFill>
            <w14:solidFill>
              <w14:schemeClr w14:val="tx1"/>
            </w14:solidFill>
          </w14:textFill>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14:textFill>
            <w14:solidFill>
              <w14:schemeClr w14:val="tx1"/>
            </w14:solidFill>
          </w14:textFill>
        </w:rPr>
        <w:t>3</w:t>
      </w:r>
      <w:r>
        <w:rPr>
          <w:rFonts w:hint="eastAsia" w:hAnsi="宋体" w:cs="仿宋_GB2312"/>
          <w:color w:val="000000" w:themeColor="text1"/>
          <w:sz w:val="28"/>
          <w:szCs w:val="28"/>
          <w14:textFill>
            <w14:solidFill>
              <w14:schemeClr w14:val="tx1"/>
            </w14:solidFill>
          </w14:textFill>
        </w:rPr>
        <w:t>）。其中：</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主体建筑物性质；</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附属建筑物性质；</w:t>
      </w: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建筑总面积平方米；</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建筑容积率不高于不低于</w:t>
      </w:r>
      <w:r>
        <w:rPr>
          <w:rFonts w:hint="eastAsia" w:hAnsi="宋体" w:cs="仿宋_GB2312"/>
          <w:b/>
          <w:bCs/>
          <w:color w:val="000000" w:themeColor="text1"/>
          <w:sz w:val="28"/>
          <w:szCs w:val="28"/>
          <w14:textFill>
            <w14:solidFill>
              <w14:schemeClr w14:val="tx1"/>
            </w14:solidFill>
          </w14:textFill>
        </w:rPr>
        <w:t>；</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建筑限高不高于不低于；</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建筑密度不高于不低于；</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绿地率不高于不低于；</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其他土地利用要求。</w:t>
      </w:r>
    </w:p>
    <w:p>
      <w:pPr>
        <w:pStyle w:val="4"/>
        <w:spacing w:line="578" w:lineRule="exact"/>
        <w:ind w:firstLine="645"/>
        <w:jc w:val="left"/>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第十四条</w:t>
      </w:r>
      <w:r>
        <w:rPr>
          <w:rFonts w:hint="eastAsia" w:hAnsi="宋体" w:cs="仿宋_GB2312"/>
          <w:color w:val="000000" w:themeColor="text1"/>
          <w:sz w:val="28"/>
          <w:szCs w:val="28"/>
          <w14:textFill>
            <w14:solidFill>
              <w14:schemeClr w14:val="tx1"/>
            </w14:solidFill>
          </w14:textFill>
        </w:rPr>
        <w:t>受让人同意本合同项下宗地建设配套按本条第项规定执行：</w:t>
      </w:r>
    </w:p>
    <w:p>
      <w:pPr>
        <w:pStyle w:val="4"/>
        <w:spacing w:line="578" w:lineRule="exact"/>
        <w:ind w:firstLine="645"/>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（一）本合同项下宗地用于工业项目建设，根据规划部门确定的规划设计条件，</w:t>
      </w:r>
      <w:r>
        <w:rPr>
          <w:rFonts w:hint="eastAsia" w:hAnsi="宋体" w:cs="仿宋_GB2312"/>
          <w:color w:val="000000" w:themeColor="text1"/>
          <w:spacing w:val="2"/>
          <w:sz w:val="28"/>
          <w:szCs w:val="28"/>
          <w14:textFill>
            <w14:solidFill>
              <w14:schemeClr w14:val="tx1"/>
            </w14:solidFill>
          </w14:textFill>
        </w:rPr>
        <w:t>本合同受让宗地范围内用于企业内部行政办公及生活服务设施的占地面积不超过受让宗地面积</w:t>
      </w:r>
      <w:r>
        <w:rPr>
          <w:rFonts w:hint="eastAsia" w:hAnsi="宋体" w:cs="仿宋_GB2312"/>
          <w:color w:val="000000" w:themeColor="text1"/>
          <w:sz w:val="28"/>
          <w:szCs w:val="28"/>
          <w14:textFill>
            <w14:solidFill>
              <w14:schemeClr w14:val="tx1"/>
            </w14:solidFill>
          </w14:textFill>
        </w:rPr>
        <w:t>的</w:t>
      </w:r>
    </w:p>
    <w:p>
      <w:pPr>
        <w:pStyle w:val="4"/>
        <w:spacing w:line="578" w:lineRule="exact"/>
        <w:ind w:left="6" w:leftChars="3"/>
        <w:jc w:val="left"/>
        <w:rPr>
          <w:rFonts w:hAnsi="宋体" w:cs="仿宋_GB2312"/>
          <w:color w:val="000000" w:themeColor="text1"/>
          <w:sz w:val="28"/>
          <w:szCs w:val="28"/>
          <w14:textFill>
            <w14:solidFill>
              <w14:schemeClr w14:val="tx1"/>
            </w14:solidFill>
          </w14:textFill>
        </w:rPr>
      </w:pPr>
      <w:r>
        <w:rPr>
          <w:rFonts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％，即不超过</w:t>
      </w:r>
      <w:r>
        <w:rPr>
          <w:rFonts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w:t>
      </w:r>
      <w:r>
        <w:rPr>
          <w:rFonts w:hAnsi="宋体" w:cs="仿宋_GB2312"/>
          <w:color w:val="000000" w:themeColor="text1"/>
          <w:sz w:val="28"/>
          <w:szCs w:val="28"/>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建筑面积不超过</w:t>
      </w:r>
      <w:r>
        <w:rPr>
          <w:rFonts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平方米。受让人同意不在受让宗地范围内建造成套住宅、专家楼、宾馆、招待所和培训中心等非生产性设施；</w:t>
      </w:r>
    </w:p>
    <w:p>
      <w:pPr>
        <w:pStyle w:val="4"/>
        <w:spacing w:line="578" w:lineRule="exact"/>
        <w:ind w:firstLine="645"/>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（二）本合同项下宗地用于住宅项目建设，根据规划建设管理部门确定的规划建设条件，本合同受让宗地范围内住宅建设总套数不少于套。其中，套型建筑面积</w:t>
      </w:r>
      <w:r>
        <w:rPr>
          <w:rFonts w:hAnsi="宋体" w:cs="仿宋_GB2312"/>
          <w:color w:val="000000" w:themeColor="text1"/>
          <w:sz w:val="28"/>
          <w:szCs w:val="28"/>
          <w14:textFill>
            <w14:solidFill>
              <w14:schemeClr w14:val="tx1"/>
            </w14:solidFill>
          </w14:textFill>
        </w:rPr>
        <w:t>90</w:t>
      </w:r>
      <w:r>
        <w:rPr>
          <w:rFonts w:hint="eastAsia" w:hAnsi="宋体" w:cs="仿宋_GB2312"/>
          <w:color w:val="000000" w:themeColor="text1"/>
          <w:sz w:val="28"/>
          <w:szCs w:val="28"/>
          <w14:textFill>
            <w14:solidFill>
              <w14:schemeClr w14:val="tx1"/>
            </w14:solidFill>
          </w14:textFill>
        </w:rPr>
        <w:t>平方米以下住房套数不少于</w:t>
      </w:r>
      <w:r>
        <w:rPr>
          <w:rFonts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套，住宅建设套型要求为。本合同项下宗地范围内套型建筑面积</w:t>
      </w:r>
      <w:r>
        <w:rPr>
          <w:rFonts w:hAnsi="宋体" w:cs="仿宋_GB2312"/>
          <w:color w:val="000000" w:themeColor="text1"/>
          <w:sz w:val="28"/>
          <w:szCs w:val="28"/>
          <w14:textFill>
            <w14:solidFill>
              <w14:schemeClr w14:val="tx1"/>
            </w14:solidFill>
          </w14:textFill>
        </w:rPr>
        <w:t>90</w:t>
      </w:r>
      <w:r>
        <w:rPr>
          <w:rFonts w:hint="eastAsia" w:hAnsi="宋体" w:cs="仿宋_GB2312"/>
          <w:color w:val="000000" w:themeColor="text1"/>
          <w:sz w:val="28"/>
          <w:szCs w:val="28"/>
          <w14:textFill>
            <w14:solidFill>
              <w14:schemeClr w14:val="tx1"/>
            </w14:solidFill>
          </w14:textFill>
        </w:rPr>
        <w:t>平方米以下住房面积占宗地开发建设总面积的比例不低于％。本合同项下宗地范围内配套建设的经济适用住房、廉租住房等政府保障性住房，受让人同意建成后按本项下第种方式履行：</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Ansi="宋体" w:cs="仿宋_GB2312"/>
          <w:color w:val="000000" w:themeColor="text1"/>
          <w:sz w:val="28"/>
          <w:szCs w:val="28"/>
          <w14:textFill>
            <w14:solidFill>
              <w14:schemeClr w14:val="tx1"/>
            </w14:solidFill>
          </w14:textFill>
        </w:rPr>
        <w:t>1</w:t>
      </w:r>
      <w:r>
        <w:rPr>
          <w:rFonts w:hint="eastAsia" w:hAnsi="宋体" w:cs="仿宋_GB2312"/>
          <w:color w:val="000000" w:themeColor="text1"/>
          <w:sz w:val="28"/>
          <w:szCs w:val="28"/>
          <w14:textFill>
            <w14:solidFill>
              <w14:schemeClr w14:val="tx1"/>
            </w14:solidFill>
          </w14:textFill>
        </w:rPr>
        <w:t>．移交给政府；</w:t>
      </w:r>
    </w:p>
    <w:p>
      <w:pPr>
        <w:pStyle w:val="4"/>
        <w:spacing w:line="578" w:lineRule="exact"/>
        <w:ind w:firstLine="645"/>
        <w:rPr>
          <w:rFonts w:hAnsi="宋体"/>
          <w:color w:val="000000" w:themeColor="text1"/>
          <w:sz w:val="28"/>
          <w:szCs w:val="28"/>
          <w14:textFill>
            <w14:solidFill>
              <w14:schemeClr w14:val="tx1"/>
            </w14:solidFill>
          </w14:textFill>
        </w:rPr>
      </w:pPr>
      <w:r>
        <w:rPr>
          <w:rFonts w:hAnsi="宋体" w:cs="仿宋_GB2312"/>
          <w:color w:val="000000" w:themeColor="text1"/>
          <w:sz w:val="28"/>
          <w:szCs w:val="28"/>
          <w14:textFill>
            <w14:solidFill>
              <w14:schemeClr w14:val="tx1"/>
            </w14:solidFill>
          </w14:textFill>
        </w:rPr>
        <w:t>2</w:t>
      </w:r>
      <w:r>
        <w:rPr>
          <w:rFonts w:hint="eastAsia" w:hAnsi="宋体" w:cs="仿宋_GB2312"/>
          <w:color w:val="000000" w:themeColor="text1"/>
          <w:sz w:val="28"/>
          <w:szCs w:val="28"/>
          <w14:textFill>
            <w14:solidFill>
              <w14:schemeClr w14:val="tx1"/>
            </w14:solidFill>
          </w14:textFill>
        </w:rPr>
        <w:t>．由政府回购；</w:t>
      </w:r>
    </w:p>
    <w:p>
      <w:pPr>
        <w:pStyle w:val="4"/>
        <w:spacing w:line="578" w:lineRule="exact"/>
        <w:ind w:firstLine="645"/>
        <w:rPr>
          <w:rFonts w:hAnsi="宋体"/>
          <w:color w:val="000000" w:themeColor="text1"/>
          <w:sz w:val="28"/>
          <w:szCs w:val="28"/>
          <w14:textFill>
            <w14:solidFill>
              <w14:schemeClr w14:val="tx1"/>
            </w14:solidFill>
          </w14:textFill>
        </w:rPr>
      </w:pPr>
      <w:r>
        <w:rPr>
          <w:rFonts w:hAnsi="宋体" w:cs="仿宋_GB2312"/>
          <w:color w:val="000000" w:themeColor="text1"/>
          <w:sz w:val="28"/>
          <w:szCs w:val="28"/>
          <w14:textFill>
            <w14:solidFill>
              <w14:schemeClr w14:val="tx1"/>
            </w14:solidFill>
          </w14:textFill>
        </w:rPr>
        <w:t>3</w:t>
      </w:r>
      <w:r>
        <w:rPr>
          <w:rFonts w:hint="eastAsia" w:hAnsi="宋体" w:cs="仿宋_GB2312"/>
          <w:color w:val="000000" w:themeColor="text1"/>
          <w:sz w:val="28"/>
          <w:szCs w:val="28"/>
          <w14:textFill>
            <w14:solidFill>
              <w14:schemeClr w14:val="tx1"/>
            </w14:solidFill>
          </w14:textFill>
        </w:rPr>
        <w:t>．按政府经济适用住房建设和销售管理的有关规定执行；</w:t>
      </w:r>
    </w:p>
    <w:p>
      <w:pPr>
        <w:pStyle w:val="4"/>
        <w:spacing w:line="578" w:lineRule="exact"/>
        <w:ind w:firstLine="645"/>
        <w:rPr>
          <w:rFonts w:hAnsi="宋体"/>
          <w:color w:val="000000" w:themeColor="text1"/>
          <w:sz w:val="28"/>
          <w:szCs w:val="28"/>
          <w14:textFill>
            <w14:solidFill>
              <w14:schemeClr w14:val="tx1"/>
            </w14:solidFill>
          </w14:textFill>
        </w:rPr>
      </w:pPr>
      <w:r>
        <w:rPr>
          <w:rFonts w:hAnsi="宋体" w:cs="仿宋_GB2312"/>
          <w:color w:val="000000" w:themeColor="text1"/>
          <w:sz w:val="28"/>
          <w:szCs w:val="28"/>
          <w14:textFill>
            <w14:solidFill>
              <w14:schemeClr w14:val="tx1"/>
            </w14:solidFill>
          </w14:textFill>
        </w:rPr>
        <w:t>4</w:t>
      </w:r>
      <w:r>
        <w:rPr>
          <w:rFonts w:hint="eastAsia" w:hAnsi="宋体" w:cs="仿宋_GB2312"/>
          <w:color w:val="000000" w:themeColor="text1"/>
          <w:sz w:val="28"/>
          <w:szCs w:val="28"/>
          <w14:textFill>
            <w14:solidFill>
              <w14:schemeClr w14:val="tx1"/>
            </w14:solidFill>
          </w14:textFill>
        </w:rPr>
        <w:t>．。</w:t>
      </w:r>
    </w:p>
    <w:p>
      <w:pPr>
        <w:pStyle w:val="4"/>
        <w:spacing w:line="578" w:lineRule="exact"/>
        <w:ind w:firstLine="562" w:firstLineChars="200"/>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第十五条</w:t>
      </w:r>
      <w:r>
        <w:rPr>
          <w:rFonts w:hint="eastAsia" w:hAnsi="宋体" w:cs="仿宋_GB2312"/>
          <w:color w:val="000000" w:themeColor="text1"/>
          <w:sz w:val="28"/>
          <w:szCs w:val="28"/>
          <w14:textFill>
            <w14:solidFill>
              <w14:schemeClr w14:val="tx1"/>
            </w14:solidFill>
          </w14:textFill>
        </w:rPr>
        <w:t>受让人同意在本合同项下宗地范围内同步修建下列工程配套项目，并在建成后无偿移交给政府：</w:t>
      </w:r>
    </w:p>
    <w:p>
      <w:pPr>
        <w:pStyle w:val="4"/>
        <w:spacing w:line="578" w:lineRule="exact"/>
        <w:ind w:firstLine="645"/>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第十六条</w:t>
      </w:r>
      <w:r>
        <w:rPr>
          <w:rFonts w:hint="eastAsia" w:hAnsi="宋体" w:cs="仿宋_GB2312"/>
          <w:color w:val="000000" w:themeColor="text1"/>
          <w:sz w:val="28"/>
          <w:szCs w:val="28"/>
          <w14:textFill>
            <w14:solidFill>
              <w14:schemeClr w14:val="tx1"/>
            </w14:solidFill>
          </w14:textFill>
        </w:rPr>
        <w:t>受让人同意本合同项下宗地建设项目在</w:t>
      </w:r>
    </w:p>
    <w:p>
      <w:pPr>
        <w:pStyle w:val="4"/>
        <w:spacing w:line="578" w:lineRule="exact"/>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年月日之前开工，在年月日之前竣工。</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受让人不能按期开工，应提前</w:t>
      </w:r>
      <w:r>
        <w:rPr>
          <w:rFonts w:hAnsi="宋体" w:cs="仿宋_GB2312"/>
          <w:color w:val="000000" w:themeColor="text1"/>
          <w:sz w:val="28"/>
          <w:szCs w:val="28"/>
          <w14:textFill>
            <w14:solidFill>
              <w14:schemeClr w14:val="tx1"/>
            </w14:solidFill>
          </w14:textFill>
        </w:rPr>
        <w:t>30</w:t>
      </w:r>
      <w:r>
        <w:rPr>
          <w:rFonts w:hint="eastAsia" w:hAnsi="宋体" w:cs="仿宋_GB2312"/>
          <w:color w:val="000000" w:themeColor="text1"/>
          <w:sz w:val="28"/>
          <w:szCs w:val="28"/>
          <w14:textFill>
            <w14:solidFill>
              <w14:schemeClr w14:val="tx1"/>
            </w14:solidFill>
          </w14:textFill>
        </w:rPr>
        <w:t>日向出让人提出延建申请，经出让人同意延建的，其项目竣工时间相应顺延，但延建期限不得超过一年。</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第十七条</w:t>
      </w:r>
      <w:r>
        <w:rPr>
          <w:rFonts w:hint="eastAsia" w:hAnsi="宋体" w:cs="仿宋_GB2312"/>
          <w:color w:val="000000" w:themeColor="text1"/>
          <w:sz w:val="28"/>
          <w:szCs w:val="28"/>
          <w14:textFill>
            <w14:solidFill>
              <w14:schemeClr w14:val="tx1"/>
            </w14:solidFill>
          </w14:textFill>
        </w:rPr>
        <w:t>受让人在本合同项下宗地内进行建设时，有关用水、用气、污水及其他设施与宗地外主管线、用电变电站接口和引入工程，应按有关规定办理。</w:t>
      </w:r>
    </w:p>
    <w:p>
      <w:pPr>
        <w:pStyle w:val="4"/>
        <w:spacing w:line="578" w:lineRule="exact"/>
        <w:ind w:firstLine="560" w:firstLineChars="200"/>
        <w:rPr>
          <w:rFonts w:hAnsi="宋体"/>
          <w:b/>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受让人同意政府为公用事业需要而敷设的各种管道与管线进出、通过、穿越受让宗地，但由此影响受让宗地使用功能的，政府或公用事业营建主体应当给予合理补偿。</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第十八条</w:t>
      </w:r>
      <w:r>
        <w:rPr>
          <w:rFonts w:hint="eastAsia" w:hAnsi="宋体" w:cs="仿宋_GB2312"/>
          <w:color w:val="000000" w:themeColor="text1"/>
          <w:sz w:val="28"/>
          <w:szCs w:val="28"/>
          <w14:textFill>
            <w14:solidFill>
              <w14:schemeClr w14:val="tx1"/>
            </w14:solidFill>
          </w14:textFill>
        </w:rPr>
        <w:t>受让人应当按照本合同约定的土地用途、容积率利用土地，不得擅自改变。在出让期限内，需要改变本合同约定的土地用途的，双方同意按照本条第项规定办理：</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（一）由出让人有偿收回建设用地使用权；</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第十九条</w:t>
      </w:r>
      <w:r>
        <w:rPr>
          <w:rFonts w:hint="eastAsia" w:hAnsi="宋体" w:cs="仿宋_GB2312"/>
          <w:color w:val="000000" w:themeColor="text1"/>
          <w:sz w:val="28"/>
          <w:szCs w:val="28"/>
          <w14:textFill>
            <w14:solidFill>
              <w14:schemeClr w14:val="tx1"/>
            </w14:solidFill>
          </w14:textFill>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第二十条</w:t>
      </w:r>
      <w:r>
        <w:rPr>
          <w:rFonts w:hint="eastAsia" w:hAnsi="宋体" w:cs="仿宋_GB2312"/>
          <w:color w:val="000000" w:themeColor="text1"/>
          <w:sz w:val="28"/>
          <w:szCs w:val="28"/>
          <w14:textFill>
            <w14:solidFill>
              <w14:schemeClr w14:val="tx1"/>
            </w14:solidFill>
          </w14:textFill>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spacing w:line="578" w:lineRule="exact"/>
        <w:ind w:firstLine="645"/>
        <w:rPr>
          <w:rFonts w:hAnsi="宋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第四章国有建设用地使用权转让、出租、抵押</w:t>
      </w:r>
    </w:p>
    <w:p>
      <w:pPr>
        <w:pStyle w:val="4"/>
        <w:spacing w:line="578" w:lineRule="exact"/>
        <w:jc w:val="center"/>
        <w:rPr>
          <w:rFonts w:hAnsi="宋体"/>
          <w:color w:val="000000" w:themeColor="text1"/>
          <w:sz w:val="28"/>
          <w:szCs w:val="28"/>
          <w14:textFill>
            <w14:solidFill>
              <w14:schemeClr w14:val="tx1"/>
            </w14:solidFill>
          </w14:textFill>
        </w:rPr>
      </w:pP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第二十一条</w:t>
      </w:r>
      <w:r>
        <w:rPr>
          <w:rFonts w:hint="eastAsia" w:hAnsi="宋体" w:cs="仿宋_GB2312"/>
          <w:color w:val="000000" w:themeColor="text1"/>
          <w:sz w:val="28"/>
          <w:szCs w:val="28"/>
          <w14:textFill>
            <w14:solidFill>
              <w14:schemeClr w14:val="tx1"/>
            </w14:solidFill>
          </w14:textFill>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（一）按照本合同约定进行投资开发，完成开发投资总额的百分之二十五以上；</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（二）按照本合同约定进行投资开发，已形成工业用地或其他建设用地条件。</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第二十二条</w:t>
      </w:r>
      <w:r>
        <w:rPr>
          <w:rFonts w:hint="eastAsia" w:hAnsi="宋体" w:cs="仿宋_GB2312"/>
          <w:color w:val="000000" w:themeColor="text1"/>
          <w:sz w:val="28"/>
          <w:szCs w:val="28"/>
          <w14:textFill>
            <w14:solidFill>
              <w14:schemeClr w14:val="tx1"/>
            </w14:solidFill>
          </w14:textFill>
        </w:rPr>
        <w:t>国有建设用地使用权的转让、出租及抵押合同，不得违背国家法律、法规规定和本合同约定。</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第二十三条</w:t>
      </w:r>
      <w:r>
        <w:rPr>
          <w:rFonts w:hint="eastAsia" w:hAnsi="宋体" w:cs="仿宋_GB2312"/>
          <w:color w:val="000000" w:themeColor="text1"/>
          <w:sz w:val="28"/>
          <w:szCs w:val="28"/>
          <w14:textFill>
            <w14:solidFill>
              <w14:schemeClr w14:val="tx1"/>
            </w14:solidFill>
          </w14:textFill>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本合同项下的全部或部分国有建设用地使用权出租后，本合同和土地登记文件中载明的权利、义务仍由受让人承担。</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第二十四条</w:t>
      </w:r>
      <w:r>
        <w:rPr>
          <w:rFonts w:hint="eastAsia" w:hAnsi="宋体" w:cs="仿宋_GB2312"/>
          <w:color w:val="000000" w:themeColor="text1"/>
          <w:sz w:val="28"/>
          <w:szCs w:val="28"/>
          <w14:textFill>
            <w14:solidFill>
              <w14:schemeClr w14:val="tx1"/>
            </w14:solidFill>
          </w14:textFill>
        </w:rPr>
        <w:t>国有建设用地使用权转让、抵押的，转让、抵押双方应持本合同和相应的转让、抵押合同及国有土地使用证，到国土资源管理部门申请办理土地变更登记。</w:t>
      </w:r>
    </w:p>
    <w:p>
      <w:pPr>
        <w:pStyle w:val="4"/>
        <w:spacing w:line="578" w:lineRule="exact"/>
        <w:ind w:firstLine="560" w:firstLineChars="200"/>
        <w:rPr>
          <w:rFonts w:hAnsi="宋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第五章期限届满</w:t>
      </w:r>
    </w:p>
    <w:p>
      <w:pPr>
        <w:pStyle w:val="4"/>
        <w:spacing w:line="578" w:lineRule="exact"/>
        <w:jc w:val="center"/>
        <w:rPr>
          <w:rFonts w:hAnsi="宋体" w:cs="黑体"/>
          <w:color w:val="000000" w:themeColor="text1"/>
          <w:sz w:val="28"/>
          <w:szCs w:val="28"/>
          <w14:textFill>
            <w14:solidFill>
              <w14:schemeClr w14:val="tx1"/>
            </w14:solidFill>
          </w14:textFill>
        </w:rPr>
      </w:pP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第二十五条</w:t>
      </w:r>
      <w:r>
        <w:rPr>
          <w:rFonts w:hint="eastAsia" w:hAnsi="宋体" w:cs="仿宋_GB2312"/>
          <w:color w:val="000000" w:themeColor="text1"/>
          <w:sz w:val="28"/>
          <w:szCs w:val="28"/>
          <w14:textFill>
            <w14:solidFill>
              <w14:schemeClr w14:val="tx1"/>
            </w14:solidFill>
          </w14:textFill>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住宅建设用地使用权期限届满的，自动续期。</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出让人同意续期的，土地使用者应当依法办理出让、租赁等有偿用地手续，重新签订出让、租赁等土地有偿使用合同，支付土地出让价款、租金等土地有偿使用费。</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第二十六条</w:t>
      </w:r>
      <w:r>
        <w:rPr>
          <w:rFonts w:hint="eastAsia" w:hAnsi="宋体" w:cs="仿宋_GB2312"/>
          <w:color w:val="000000" w:themeColor="text1"/>
          <w:sz w:val="28"/>
          <w:szCs w:val="28"/>
          <w14:textFill>
            <w14:solidFill>
              <w14:schemeClr w14:val="tx1"/>
            </w14:solidFill>
          </w14:textFill>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（一）由出让人收回地上建筑物、构筑物及其附属设施，并根据收回时地上建筑物、构筑物及其附属设施的残余价值，给予土地使用者相应补偿；</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（二）由出让人无偿收回地上建筑物、构筑物及其附属设施。</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第二十七条</w:t>
      </w:r>
      <w:r>
        <w:rPr>
          <w:rFonts w:hint="eastAsia" w:hAnsi="宋体" w:cs="仿宋_GB2312"/>
          <w:color w:val="000000" w:themeColor="text1"/>
          <w:sz w:val="28"/>
          <w:szCs w:val="28"/>
          <w14:textFill>
            <w14:solidFill>
              <w14:schemeClr w14:val="tx1"/>
            </w14:solidFill>
          </w14:textFill>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spacing w:line="578" w:lineRule="exact"/>
        <w:ind w:firstLine="645"/>
        <w:rPr>
          <w:rFonts w:hAnsi="宋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第六章不可抗力</w:t>
      </w:r>
    </w:p>
    <w:p>
      <w:pPr>
        <w:pStyle w:val="4"/>
        <w:spacing w:line="578" w:lineRule="exact"/>
        <w:ind w:firstLine="560" w:firstLineChars="200"/>
        <w:jc w:val="center"/>
        <w:rPr>
          <w:rFonts w:hAnsi="宋体"/>
          <w:color w:val="000000" w:themeColor="text1"/>
          <w:sz w:val="28"/>
          <w:szCs w:val="28"/>
          <w14:textFill>
            <w14:solidFill>
              <w14:schemeClr w14:val="tx1"/>
            </w14:solidFill>
          </w14:textFill>
        </w:rPr>
      </w:pP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第二十八条</w:t>
      </w:r>
      <w:r>
        <w:rPr>
          <w:rFonts w:hint="eastAsia" w:hAnsi="宋体" w:cs="仿宋_GB2312"/>
          <w:color w:val="000000" w:themeColor="text1"/>
          <w:sz w:val="28"/>
          <w:szCs w:val="28"/>
          <w14:textFill>
            <w14:solidFill>
              <w14:schemeClr w14:val="tx1"/>
            </w14:solidFill>
          </w14:textFill>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第二十九条</w:t>
      </w:r>
      <w:r>
        <w:rPr>
          <w:rFonts w:hint="eastAsia" w:hAnsi="宋体" w:cs="仿宋_GB2312"/>
          <w:color w:val="000000" w:themeColor="text1"/>
          <w:sz w:val="28"/>
          <w:szCs w:val="28"/>
          <w14:textFill>
            <w14:solidFill>
              <w14:schemeClr w14:val="tx1"/>
            </w14:solidFill>
          </w14:textFill>
        </w:rPr>
        <w:t>遇有不可抗力的一方，应在</w:t>
      </w:r>
      <w:r>
        <w:rPr>
          <w:rFonts w:hAnsi="宋体" w:cs="仿宋_GB2312"/>
          <w:color w:val="000000" w:themeColor="text1"/>
          <w:sz w:val="28"/>
          <w:szCs w:val="28"/>
          <w14:textFill>
            <w14:solidFill>
              <w14:schemeClr w14:val="tx1"/>
            </w14:solidFill>
          </w14:textFill>
        </w:rPr>
        <w:t>7</w:t>
      </w:r>
      <w:r>
        <w:rPr>
          <w:rFonts w:hint="eastAsia" w:hAnsi="宋体" w:cs="仿宋_GB2312"/>
          <w:color w:val="000000" w:themeColor="text1"/>
          <w:sz w:val="28"/>
          <w:szCs w:val="28"/>
          <w14:textFill>
            <w14:solidFill>
              <w14:schemeClr w14:val="tx1"/>
            </w14:solidFill>
          </w14:textFill>
        </w:rPr>
        <w:t>日内将不可抗力情况以信函、电报、传真等书面形式通知另一方，并在不可抗力发生后</w:t>
      </w:r>
      <w:r>
        <w:rPr>
          <w:rFonts w:hAnsi="宋体" w:cs="仿宋_GB2312"/>
          <w:color w:val="000000" w:themeColor="text1"/>
          <w:sz w:val="28"/>
          <w:szCs w:val="28"/>
          <w14:textFill>
            <w14:solidFill>
              <w14:schemeClr w14:val="tx1"/>
            </w14:solidFill>
          </w14:textFill>
        </w:rPr>
        <w:t>15</w:t>
      </w:r>
      <w:r>
        <w:rPr>
          <w:rFonts w:hint="eastAsia" w:hAnsi="宋体" w:cs="仿宋_GB2312"/>
          <w:color w:val="000000" w:themeColor="text1"/>
          <w:sz w:val="28"/>
          <w:szCs w:val="28"/>
          <w14:textFill>
            <w14:solidFill>
              <w14:schemeClr w14:val="tx1"/>
            </w14:solidFill>
          </w14:textFill>
        </w:rPr>
        <w:t>日内，向另一方提交本合同部分或全部不能履行或需要延期履行的报告及证明。</w:t>
      </w:r>
    </w:p>
    <w:p>
      <w:pPr>
        <w:pStyle w:val="4"/>
        <w:spacing w:line="578" w:lineRule="exact"/>
        <w:ind w:firstLine="645"/>
        <w:rPr>
          <w:rFonts w:hAnsi="宋体" w:cs="仿宋_GB2312"/>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第七章违约责任</w:t>
      </w:r>
    </w:p>
    <w:p>
      <w:pPr>
        <w:pStyle w:val="4"/>
        <w:spacing w:line="578" w:lineRule="exact"/>
        <w:jc w:val="center"/>
        <w:rPr>
          <w:rFonts w:hAnsi="宋体" w:cs="黑体"/>
          <w:color w:val="000000" w:themeColor="text1"/>
          <w:sz w:val="28"/>
          <w:szCs w:val="28"/>
          <w14:textFill>
            <w14:solidFill>
              <w14:schemeClr w14:val="tx1"/>
            </w14:solidFill>
          </w14:textFill>
        </w:rPr>
      </w:pP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第三十条</w:t>
      </w:r>
      <w:r>
        <w:rPr>
          <w:rFonts w:hint="eastAsia" w:hAnsi="宋体" w:cs="仿宋_GB2312"/>
          <w:color w:val="000000" w:themeColor="text1"/>
          <w:sz w:val="28"/>
          <w:szCs w:val="28"/>
          <w14:textFill>
            <w14:solidFill>
              <w14:schemeClr w14:val="tx1"/>
            </w14:solidFill>
          </w14:textFill>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14:textFill>
            <w14:solidFill>
              <w14:schemeClr w14:val="tx1"/>
            </w14:solidFill>
          </w14:textFill>
        </w:rPr>
        <w:t>每日按迟延支付款项</w:t>
      </w:r>
      <w:r>
        <w:rPr>
          <w:rFonts w:hint="eastAsia" w:hAnsi="宋体" w:cs="仿宋_GB2312"/>
          <w:color w:val="000000" w:themeColor="text1"/>
          <w:sz w:val="28"/>
          <w:szCs w:val="28"/>
          <w14:textFill>
            <w14:solidFill>
              <w14:schemeClr w14:val="tx1"/>
            </w14:solidFill>
          </w14:textFill>
        </w:rPr>
        <w:t>的</w:t>
      </w:r>
    </w:p>
    <w:p>
      <w:pPr>
        <w:pStyle w:val="4"/>
        <w:spacing w:line="578" w:lineRule="exact"/>
        <w:ind w:hanging="6"/>
        <w:rPr>
          <w:rFonts w:hAnsi="宋体" w:cs="仿宋_GB2312"/>
          <w:color w:val="000000" w:themeColor="text1"/>
          <w:sz w:val="28"/>
          <w:szCs w:val="28"/>
          <w:u w:val="single"/>
          <w14:textFill>
            <w14:solidFill>
              <w14:schemeClr w14:val="tx1"/>
            </w14:solidFill>
          </w14:textFill>
        </w:rPr>
      </w:pPr>
      <w:r>
        <w:rPr>
          <w:rFonts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‰向出让人缴纳违约金，延期付款超过</w:t>
      </w:r>
      <w:r>
        <w:rPr>
          <w:rFonts w:hAnsi="宋体" w:cs="仿宋_GB2312"/>
          <w:color w:val="000000" w:themeColor="text1"/>
          <w:sz w:val="28"/>
          <w:szCs w:val="28"/>
          <w14:textFill>
            <w14:solidFill>
              <w14:schemeClr w14:val="tx1"/>
            </w14:solidFill>
          </w14:textFill>
        </w:rPr>
        <w:t>60</w:t>
      </w:r>
      <w:r>
        <w:rPr>
          <w:rFonts w:hint="eastAsia" w:hAnsi="宋体" w:cs="仿宋_GB2312"/>
          <w:color w:val="000000" w:themeColor="text1"/>
          <w:sz w:val="28"/>
          <w:szCs w:val="28"/>
          <w14:textFill>
            <w14:solidFill>
              <w14:schemeClr w14:val="tx1"/>
            </w14:solidFill>
          </w14:textFill>
        </w:rPr>
        <w:t>日，经出让人催交后仍不能支付国有建设用地使用权出让价款的，出让人有权解除合同，受让人无权要求返还定金，出让人并可请求受让人赔偿损失。</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第三十一条</w:t>
      </w:r>
      <w:r>
        <w:rPr>
          <w:rFonts w:hint="eastAsia" w:hAnsi="宋体" w:cs="仿宋_GB2312"/>
          <w:color w:val="000000" w:themeColor="text1"/>
          <w:sz w:val="28"/>
          <w:szCs w:val="28"/>
          <w14:textFill>
            <w14:solidFill>
              <w14:schemeClr w14:val="tx1"/>
            </w14:solidFill>
          </w14:textFill>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spacing w:line="578" w:lineRule="exac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（一）受让人在本合同约定的开工建设日期届满一年前不少于</w:t>
      </w:r>
      <w:r>
        <w:rPr>
          <w:rFonts w:hAnsi="宋体" w:cs="仿宋_GB2312"/>
          <w:color w:val="000000" w:themeColor="text1"/>
          <w:sz w:val="28"/>
          <w:szCs w:val="28"/>
          <w14:textFill>
            <w14:solidFill>
              <w14:schemeClr w14:val="tx1"/>
            </w14:solidFill>
          </w14:textFill>
        </w:rPr>
        <w:t>60</w:t>
      </w:r>
      <w:r>
        <w:rPr>
          <w:rFonts w:hint="eastAsia" w:hAnsi="宋体" w:cs="仿宋_GB2312"/>
          <w:color w:val="000000" w:themeColor="text1"/>
          <w:sz w:val="28"/>
          <w:szCs w:val="28"/>
          <w14:textFill>
            <w14:solidFill>
              <w14:schemeClr w14:val="tx1"/>
            </w14:solidFill>
          </w14:textFill>
        </w:rPr>
        <w:t>日向出让人提出申请的，出让人在扣除定金后退还受让人已支付的国有建设用地使用权出让价款；</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（二）受让人在本合同约定的开工建设日期超过一年但未满二年，并在届满二年前不少于</w:t>
      </w:r>
      <w:r>
        <w:rPr>
          <w:rFonts w:hAnsi="宋体" w:cs="仿宋_GB2312"/>
          <w:color w:val="000000" w:themeColor="text1"/>
          <w:sz w:val="28"/>
          <w:szCs w:val="28"/>
          <w14:textFill>
            <w14:solidFill>
              <w14:schemeClr w14:val="tx1"/>
            </w14:solidFill>
          </w14:textFill>
        </w:rPr>
        <w:t>60</w:t>
      </w:r>
      <w:r>
        <w:rPr>
          <w:rFonts w:hint="eastAsia" w:hAnsi="宋体" w:cs="仿宋_GB2312"/>
          <w:color w:val="000000" w:themeColor="text1"/>
          <w:sz w:val="28"/>
          <w:szCs w:val="28"/>
          <w14:textFill>
            <w14:solidFill>
              <w14:schemeClr w14:val="tx1"/>
            </w14:solidFill>
          </w14:textFill>
        </w:rPr>
        <w:t>日向出让人提出申请的，出让人应在扣除本合同约定的定金，并按照规定征收土地闲置费后，将剩余的已付国有建设用地使用权出让价款退还受让人。</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第三十二条</w:t>
      </w:r>
      <w:r>
        <w:rPr>
          <w:rFonts w:hint="eastAsia" w:hAnsi="宋体" w:cs="仿宋_GB2312"/>
          <w:color w:val="000000" w:themeColor="text1"/>
          <w:sz w:val="28"/>
          <w:szCs w:val="28"/>
          <w14:textFill>
            <w14:solidFill>
              <w14:schemeClr w14:val="tx1"/>
            </w14:solidFill>
          </w14:textFill>
        </w:rPr>
        <w:t>受让人造成土地闲置，闲置满一年不满两年的，应依法缴纳土地闲置费；土地闲置满两年且未开工建设的，出让人有权无偿收回国有建设用地使用权。</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第三十三条</w:t>
      </w:r>
      <w:r>
        <w:rPr>
          <w:rFonts w:hint="eastAsia" w:hAnsi="宋体" w:cs="仿宋_GB2312"/>
          <w:color w:val="000000" w:themeColor="text1"/>
          <w:sz w:val="28"/>
          <w:szCs w:val="28"/>
          <w14:textFill>
            <w14:solidFill>
              <w14:schemeClr w14:val="tx1"/>
            </w14:solidFill>
          </w14:textFill>
        </w:rPr>
        <w:t>　受让人未能按照本合同约定日期或同意延建所另行约定日期开工建设的，每延期一日，应向出让人支付相当于国有建设用地使用权出让价款总额‰的违约金，出让人有权要求受让人继续履约。</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受让人未能按照本合同约定日期或同意延建所另行约定日期竣工的，每延期一日，应向出让人支付相当于国有建设用地使用权出让价款总额‰的违约金。</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第三十四条</w:t>
      </w:r>
      <w:r>
        <w:rPr>
          <w:rFonts w:hint="eastAsia" w:hAnsi="宋体" w:cs="仿宋_GB2312"/>
          <w:color w:val="000000" w:themeColor="text1"/>
          <w:sz w:val="28"/>
          <w:szCs w:val="28"/>
          <w14:textFill>
            <w14:solidFill>
              <w14:schemeClr w14:val="tx1"/>
            </w14:solidFill>
          </w14:textFill>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第三十五条</w:t>
      </w:r>
      <w:r>
        <w:rPr>
          <w:rFonts w:hint="eastAsia" w:hAnsi="宋体" w:cs="仿宋_GB2312"/>
          <w:color w:val="000000" w:themeColor="text1"/>
          <w:sz w:val="28"/>
          <w:szCs w:val="28"/>
          <w14:textFill>
            <w14:solidFill>
              <w14:schemeClr w14:val="tx1"/>
            </w14:solidFill>
          </w14:textFill>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第三十六条</w:t>
      </w:r>
      <w:r>
        <w:rPr>
          <w:rFonts w:hint="eastAsia" w:hAnsi="宋体" w:cs="仿宋_GB2312"/>
          <w:color w:val="000000" w:themeColor="text1"/>
          <w:sz w:val="28"/>
          <w:szCs w:val="28"/>
          <w14:textFill>
            <w14:solidFill>
              <w14:schemeClr w14:val="tx1"/>
            </w14:solidFill>
          </w14:textFill>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4"/>
        <w:spacing w:line="578" w:lineRule="exact"/>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第三十七条</w:t>
      </w:r>
      <w:r>
        <w:rPr>
          <w:rFonts w:hint="eastAsia" w:hAnsi="宋体" w:cs="仿宋_GB2312"/>
          <w:color w:val="000000" w:themeColor="text1"/>
          <w:sz w:val="28"/>
          <w:szCs w:val="28"/>
          <w14:textFill>
            <w14:solidFill>
              <w14:schemeClr w14:val="tx1"/>
            </w14:solidFill>
          </w14:textFill>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Pr>
          <w:rFonts w:hAnsi="宋体" w:cs="仿宋_GB2312"/>
          <w:color w:val="000000" w:themeColor="text1"/>
          <w:sz w:val="28"/>
          <w:szCs w:val="28"/>
          <w14:textFill>
            <w14:solidFill>
              <w14:schemeClr w14:val="tx1"/>
            </w14:solidFill>
          </w14:textFill>
        </w:rPr>
        <w:t>60</w:t>
      </w:r>
      <w:r>
        <w:rPr>
          <w:rFonts w:hint="eastAsia" w:hAnsi="宋体" w:cs="仿宋_GB2312"/>
          <w:color w:val="000000" w:themeColor="text1"/>
          <w:sz w:val="28"/>
          <w:szCs w:val="28"/>
          <w14:textFill>
            <w14:solidFill>
              <w14:schemeClr w14:val="tx1"/>
            </w14:solidFill>
          </w14:textFill>
        </w:rPr>
        <w:t>日，经受让人催交后仍不能交付土地的，受让人有权解除合同，出让人应当双倍返还定金，并退还已经支付国有建设用地使用权出让价款的其余部分，受让人并可请求出让人赔偿损失。</w:t>
      </w:r>
    </w:p>
    <w:p>
      <w:pPr>
        <w:pStyle w:val="4"/>
        <w:spacing w:line="578" w:lineRule="exact"/>
        <w:ind w:firstLine="645"/>
        <w:rPr>
          <w:rFonts w:hAnsi="宋体"/>
          <w:b/>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第三十八条</w:t>
      </w:r>
      <w:r>
        <w:rPr>
          <w:rFonts w:hint="eastAsia" w:hAnsi="宋体" w:cs="仿宋_GB2312"/>
          <w:color w:val="000000" w:themeColor="text1"/>
          <w:sz w:val="28"/>
          <w:szCs w:val="28"/>
          <w14:textFill>
            <w14:solidFill>
              <w14:schemeClr w14:val="tx1"/>
            </w14:solidFill>
          </w14:textFill>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spacing w:line="578" w:lineRule="exact"/>
        <w:ind w:firstLine="645"/>
        <w:rPr>
          <w:rFonts w:hAnsi="宋体"/>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第八章适用法律及争议解决</w:t>
      </w:r>
    </w:p>
    <w:p>
      <w:pPr>
        <w:pStyle w:val="4"/>
        <w:spacing w:line="578" w:lineRule="exact"/>
        <w:jc w:val="center"/>
        <w:rPr>
          <w:rFonts w:hAnsi="宋体"/>
          <w:color w:val="000000" w:themeColor="text1"/>
          <w:sz w:val="28"/>
          <w:szCs w:val="28"/>
          <w14:textFill>
            <w14:solidFill>
              <w14:schemeClr w14:val="tx1"/>
            </w14:solidFill>
          </w14:textFill>
        </w:rPr>
      </w:pP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第三十九条</w:t>
      </w:r>
      <w:r>
        <w:rPr>
          <w:rFonts w:hint="eastAsia" w:hAnsi="宋体" w:cs="仿宋_GB2312"/>
          <w:color w:val="000000" w:themeColor="text1"/>
          <w:sz w:val="28"/>
          <w:szCs w:val="28"/>
          <w14:textFill>
            <w14:solidFill>
              <w14:schemeClr w14:val="tx1"/>
            </w14:solidFill>
          </w14:textFill>
        </w:rPr>
        <w:t>本合同订立、效力、解释、履行及争议的解决，适用中华人民共和国法律。</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第四十条</w:t>
      </w:r>
      <w:r>
        <w:rPr>
          <w:rFonts w:hint="eastAsia" w:hAnsi="宋体" w:cs="仿宋_GB2312"/>
          <w:color w:val="000000" w:themeColor="text1"/>
          <w:sz w:val="28"/>
          <w:szCs w:val="28"/>
          <w14:textFill>
            <w14:solidFill>
              <w14:schemeClr w14:val="tx1"/>
            </w14:solidFill>
          </w14:textFill>
        </w:rPr>
        <w:t>因履行本合同发生争议，由争议双方协商解决，协商不成的，按本条第项约定的方式解决：</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（一）提交仲裁委员会仲裁；</w:t>
      </w:r>
    </w:p>
    <w:p>
      <w:pPr>
        <w:pStyle w:val="4"/>
        <w:spacing w:line="578" w:lineRule="exact"/>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（二）依法向人民法院起诉。</w:t>
      </w:r>
    </w:p>
    <w:p>
      <w:pPr>
        <w:pStyle w:val="4"/>
        <w:spacing w:line="578" w:lineRule="exact"/>
        <w:rPr>
          <w:rFonts w:hAnsi="宋体" w:cs="仿宋_GB2312"/>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第九章附则</w:t>
      </w:r>
    </w:p>
    <w:p>
      <w:pPr>
        <w:pStyle w:val="4"/>
        <w:spacing w:line="578" w:lineRule="exact"/>
        <w:jc w:val="center"/>
        <w:rPr>
          <w:rFonts w:hAnsi="宋体"/>
          <w:color w:val="000000" w:themeColor="text1"/>
          <w:sz w:val="28"/>
          <w:szCs w:val="28"/>
          <w14:textFill>
            <w14:solidFill>
              <w14:schemeClr w14:val="tx1"/>
            </w14:solidFill>
          </w14:textFill>
        </w:rPr>
      </w:pPr>
    </w:p>
    <w:p>
      <w:pPr>
        <w:pStyle w:val="4"/>
        <w:spacing w:line="578" w:lineRule="exact"/>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第四十一条</w:t>
      </w:r>
      <w:r>
        <w:rPr>
          <w:rFonts w:hint="eastAsia" w:hAnsi="宋体" w:cs="仿宋_GB2312"/>
          <w:color w:val="000000" w:themeColor="text1"/>
          <w:sz w:val="28"/>
          <w:szCs w:val="28"/>
          <w14:textFill>
            <w14:solidFill>
              <w14:schemeClr w14:val="tx1"/>
            </w14:solidFill>
          </w14:textFill>
        </w:rPr>
        <w:t>本合同项下宗地出让方案业经人民政府批准，本合同自双方签订之日起生效。</w:t>
      </w:r>
    </w:p>
    <w:p>
      <w:pPr>
        <w:pStyle w:val="4"/>
        <w:spacing w:line="578" w:lineRule="exact"/>
        <w:ind w:firstLine="562" w:firstLineChars="200"/>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第四十二条</w:t>
      </w:r>
      <w:r>
        <w:rPr>
          <w:rFonts w:hint="eastAsia" w:hAnsi="宋体" w:cs="仿宋_GB2312"/>
          <w:color w:val="000000" w:themeColor="text1"/>
          <w:sz w:val="28"/>
          <w:szCs w:val="28"/>
          <w14:textFill>
            <w14:solidFill>
              <w14:schemeClr w14:val="tx1"/>
            </w14:solidFill>
          </w14:textFill>
        </w:rPr>
        <w:t>本</w:t>
      </w:r>
      <w:r>
        <w:rPr>
          <w:rFonts w:hint="eastAsia" w:hAnsi="宋体" w:cs="仿宋_GB2312"/>
          <w:color w:val="000000" w:themeColor="text1"/>
          <w:kern w:val="0"/>
          <w:sz w:val="28"/>
          <w:szCs w:val="28"/>
          <w14:textFill>
            <w14:solidFill>
              <w14:schemeClr w14:val="tx1"/>
            </w14:solidFill>
          </w14:textFill>
        </w:rPr>
        <w:t>合同双方当事人均保证本合同中所填写的姓名、</w:t>
      </w:r>
      <w:r>
        <w:rPr>
          <w:rFonts w:hint="eastAsia" w:hAnsi="宋体" w:cs="仿宋_GB2312"/>
          <w:color w:val="000000" w:themeColor="text1"/>
          <w:sz w:val="28"/>
          <w:szCs w:val="28"/>
          <w14:textFill>
            <w14:solidFill>
              <w14:schemeClr w14:val="tx1"/>
            </w14:solidFill>
          </w14:textFill>
        </w:rPr>
        <w:t>通讯地址、电话、传真、开户银行、</w:t>
      </w:r>
      <w:r>
        <w:rPr>
          <w:rFonts w:hint="eastAsia" w:hAnsi="宋体" w:cs="仿宋_GB2312"/>
          <w:color w:val="000000" w:themeColor="text1"/>
          <w:kern w:val="0"/>
          <w:sz w:val="28"/>
          <w:szCs w:val="28"/>
          <w14:textFill>
            <w14:solidFill>
              <w14:schemeClr w14:val="tx1"/>
            </w14:solidFill>
          </w14:textFill>
        </w:rPr>
        <w:t>代理人等内容的真实有效，一方的信息如有变更，应于变更之日起</w:t>
      </w:r>
      <w:r>
        <w:rPr>
          <w:rFonts w:hAnsi="宋体" w:cs="仿宋_GB2312"/>
          <w:color w:val="000000" w:themeColor="text1"/>
          <w:kern w:val="0"/>
          <w:sz w:val="28"/>
          <w:szCs w:val="28"/>
          <w14:textFill>
            <w14:solidFill>
              <w14:schemeClr w14:val="tx1"/>
            </w14:solidFill>
          </w14:textFill>
        </w:rPr>
        <w:t>15</w:t>
      </w:r>
      <w:r>
        <w:rPr>
          <w:rFonts w:hint="eastAsia" w:hAnsi="宋体" w:cs="仿宋_GB2312"/>
          <w:color w:val="000000" w:themeColor="text1"/>
          <w:kern w:val="0"/>
          <w:sz w:val="28"/>
          <w:szCs w:val="28"/>
          <w14:textFill>
            <w14:solidFill>
              <w14:schemeClr w14:val="tx1"/>
            </w14:solidFill>
          </w14:textFill>
        </w:rPr>
        <w:t>日内以书面形式告知对方，否则由此引起的无法及时告知的责任由信息变更方承担。</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第四十三条</w:t>
      </w:r>
      <w:r>
        <w:rPr>
          <w:rFonts w:hint="eastAsia" w:hAnsi="宋体" w:cs="仿宋_GB2312"/>
          <w:color w:val="000000" w:themeColor="text1"/>
          <w:sz w:val="28"/>
          <w:szCs w:val="28"/>
          <w14:textFill>
            <w14:solidFill>
              <w14:schemeClr w14:val="tx1"/>
            </w14:solidFill>
          </w14:textFill>
        </w:rPr>
        <w:t>本合同和附件共页整，以中文书写为准。</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第四十四条</w:t>
      </w:r>
      <w:r>
        <w:rPr>
          <w:rFonts w:hint="eastAsia" w:hAnsi="宋体" w:cs="仿宋_GB2312"/>
          <w:color w:val="000000" w:themeColor="text1"/>
          <w:sz w:val="28"/>
          <w:szCs w:val="28"/>
          <w14:textFill>
            <w14:solidFill>
              <w14:schemeClr w14:val="tx1"/>
            </w14:solidFill>
          </w14:textFill>
        </w:rPr>
        <w:t>本合同的价款、金额、面积等项应当同时以大、小写表示，大小写数额应当一致，不一致的，以大写为准。</w:t>
      </w:r>
    </w:p>
    <w:p>
      <w:pPr>
        <w:pStyle w:val="4"/>
        <w:spacing w:line="578" w:lineRule="exact"/>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第四十五条</w:t>
      </w:r>
      <w:r>
        <w:rPr>
          <w:rFonts w:hint="eastAsia" w:hAnsi="宋体" w:cs="仿宋_GB2312"/>
          <w:color w:val="000000" w:themeColor="text1"/>
          <w:sz w:val="28"/>
          <w:szCs w:val="28"/>
          <w14:textFill>
            <w14:solidFill>
              <w14:schemeClr w14:val="tx1"/>
            </w14:solidFill>
          </w14:textFill>
        </w:rPr>
        <w:t>本合同未尽事宜，可由双方约定后作为合同附件，与本合同具有同等法律效力。</w:t>
      </w:r>
    </w:p>
    <w:p>
      <w:pPr>
        <w:pStyle w:val="4"/>
        <w:spacing w:line="578" w:lineRule="exact"/>
        <w:ind w:firstLine="562" w:firstLineChars="200"/>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第四十六条</w:t>
      </w:r>
      <w:r>
        <w:rPr>
          <w:rFonts w:hint="eastAsia" w:hAnsi="宋体" w:cs="仿宋_GB2312"/>
          <w:color w:val="000000" w:themeColor="text1"/>
          <w:sz w:val="28"/>
          <w:szCs w:val="28"/>
          <w14:textFill>
            <w14:solidFill>
              <w14:schemeClr w14:val="tx1"/>
            </w14:solidFill>
          </w14:textFill>
        </w:rPr>
        <w:t>本合同一式</w:t>
      </w:r>
      <w:r>
        <w:rPr>
          <w:rFonts w:hint="eastAsia" w:hAnsi="宋体" w:cs="仿宋_GB2312"/>
          <w:color w:val="000000" w:themeColor="text1"/>
          <w:sz w:val="28"/>
          <w:szCs w:val="28"/>
          <w:u w:val="single"/>
          <w14:textFill>
            <w14:solidFill>
              <w14:schemeClr w14:val="tx1"/>
            </w14:solidFill>
          </w14:textFill>
        </w:rPr>
        <w:t>陆</w:t>
      </w:r>
      <w:r>
        <w:rPr>
          <w:rFonts w:hint="eastAsia" w:hAnsi="宋体" w:cs="仿宋_GB2312"/>
          <w:color w:val="000000" w:themeColor="text1"/>
          <w:sz w:val="28"/>
          <w:szCs w:val="28"/>
          <w14:textFill>
            <w14:solidFill>
              <w14:schemeClr w14:val="tx1"/>
            </w14:solidFill>
          </w14:textFill>
        </w:rPr>
        <w:t>份，出让人</w:t>
      </w:r>
      <w:r>
        <w:rPr>
          <w:rFonts w:hint="eastAsia" w:hAnsi="宋体" w:cs="仿宋_GB2312"/>
          <w:color w:val="000000" w:themeColor="text1"/>
          <w:sz w:val="28"/>
          <w:szCs w:val="28"/>
          <w:u w:val="single"/>
          <w14:textFill>
            <w14:solidFill>
              <w14:schemeClr w14:val="tx1"/>
            </w14:solidFill>
          </w14:textFill>
        </w:rPr>
        <w:t>叁</w:t>
      </w:r>
      <w:r>
        <w:rPr>
          <w:rFonts w:hint="eastAsia" w:hAnsi="宋体" w:cs="仿宋_GB2312"/>
          <w:color w:val="000000" w:themeColor="text1"/>
          <w:sz w:val="28"/>
          <w:szCs w:val="28"/>
          <w14:textFill>
            <w14:solidFill>
              <w14:schemeClr w14:val="tx1"/>
            </w14:solidFill>
          </w14:textFill>
        </w:rPr>
        <w:t>份</w:t>
      </w:r>
      <w:r>
        <w:rPr>
          <w:rFonts w:hAnsi="宋体" w:cs="仿宋_GB2312"/>
          <w:color w:val="000000" w:themeColor="text1"/>
          <w:sz w:val="28"/>
          <w:szCs w:val="28"/>
          <w14:textFill>
            <w14:solidFill>
              <w14:schemeClr w14:val="tx1"/>
            </w14:solidFill>
          </w14:textFill>
        </w:rPr>
        <w:t>,</w:t>
      </w:r>
      <w:r>
        <w:rPr>
          <w:rFonts w:hint="eastAsia" w:hAnsi="宋体" w:cs="仿宋_GB2312"/>
          <w:color w:val="000000" w:themeColor="text1"/>
          <w:sz w:val="28"/>
          <w:szCs w:val="28"/>
          <w14:textFill>
            <w14:solidFill>
              <w14:schemeClr w14:val="tx1"/>
            </w14:solidFill>
          </w14:textFill>
        </w:rPr>
        <w:t>受让人</w:t>
      </w:r>
      <w:r>
        <w:rPr>
          <w:rFonts w:hint="eastAsia" w:hAnsi="宋体" w:cs="仿宋_GB2312"/>
          <w:color w:val="000000" w:themeColor="text1"/>
          <w:sz w:val="28"/>
          <w:szCs w:val="28"/>
          <w:u w:val="single"/>
          <w14:textFill>
            <w14:solidFill>
              <w14:schemeClr w14:val="tx1"/>
            </w14:solidFill>
          </w14:textFill>
        </w:rPr>
        <w:t>叁</w:t>
      </w:r>
      <w:r>
        <w:rPr>
          <w:rFonts w:hint="eastAsia" w:hAnsi="宋体" w:cs="仿宋_GB2312"/>
          <w:color w:val="000000" w:themeColor="text1"/>
          <w:sz w:val="28"/>
          <w:szCs w:val="28"/>
          <w14:textFill>
            <w14:solidFill>
              <w14:schemeClr w14:val="tx1"/>
            </w14:solidFill>
          </w14:textFill>
        </w:rPr>
        <w:t>份，具有同等法律效力。</w:t>
      </w:r>
    </w:p>
    <w:p>
      <w:pPr>
        <w:pStyle w:val="4"/>
        <w:spacing w:line="578" w:lineRule="exact"/>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补充条款</w:t>
      </w:r>
      <w:r>
        <w:rPr>
          <w:rFonts w:hAnsi="宋体" w:cs="仿宋_GB2312"/>
          <w:color w:val="000000" w:themeColor="text1"/>
          <w:sz w:val="28"/>
          <w:szCs w:val="28"/>
          <w14:textFill>
            <w14:solidFill>
              <w14:schemeClr w14:val="tx1"/>
            </w14:solidFill>
          </w14:textFill>
        </w:rPr>
        <w:t>：</w:t>
      </w:r>
    </w:p>
    <w:p>
      <w:pPr>
        <w:pStyle w:val="4"/>
        <w:spacing w:line="578" w:lineRule="exact"/>
        <w:rPr>
          <w:rFonts w:hAnsi="宋体" w:cs="仿宋_GB2312"/>
          <w:color w:val="000000" w:themeColor="text1"/>
          <w:sz w:val="28"/>
          <w:szCs w:val="28"/>
          <w14:textFill>
            <w14:solidFill>
              <w14:schemeClr w14:val="tx1"/>
            </w14:solidFill>
          </w14:textFill>
        </w:rPr>
      </w:pPr>
    </w:p>
    <w:p>
      <w:pPr>
        <w:pStyle w:val="4"/>
        <w:spacing w:line="578" w:lineRule="exact"/>
        <w:jc w:val="center"/>
        <w:rPr>
          <w:rFonts w:hAnsi="宋体" w:cs="黑体"/>
          <w:color w:val="000000" w:themeColor="text1"/>
          <w:sz w:val="28"/>
          <w:szCs w:val="28"/>
          <w14:textFill>
            <w14:solidFill>
              <w14:schemeClr w14:val="tx1"/>
            </w14:solidFill>
          </w14:textFill>
        </w:rPr>
      </w:pPr>
    </w:p>
    <w:p>
      <w:pPr>
        <w:pStyle w:val="4"/>
        <w:spacing w:line="578" w:lineRule="exact"/>
        <w:ind w:firstLine="560" w:firstLineChars="200"/>
        <w:rPr>
          <w:rFonts w:hAnsi="宋体"/>
          <w:color w:val="000000" w:themeColor="text1"/>
          <w:sz w:val="28"/>
          <w:szCs w:val="28"/>
          <w14:textFill>
            <w14:solidFill>
              <w14:schemeClr w14:val="tx1"/>
            </w14:solidFill>
          </w14:textFill>
        </w:rPr>
      </w:pPr>
    </w:p>
    <w:p>
      <w:pPr>
        <w:pStyle w:val="4"/>
        <w:spacing w:line="578" w:lineRule="exact"/>
        <w:rPr>
          <w:rFonts w:hAnsi="宋体" w:cs="仿宋_GB2312"/>
          <w:color w:val="000000" w:themeColor="text1"/>
          <w:sz w:val="28"/>
          <w:szCs w:val="28"/>
          <w14:textFill>
            <w14:solidFill>
              <w14:schemeClr w14:val="tx1"/>
            </w14:solidFill>
          </w14:textFill>
        </w:rPr>
      </w:pPr>
    </w:p>
    <w:p>
      <w:pPr>
        <w:pStyle w:val="4"/>
        <w:spacing w:line="578" w:lineRule="exac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出让人（章）：受让人（章）：</w:t>
      </w:r>
    </w:p>
    <w:p>
      <w:pPr>
        <w:pStyle w:val="4"/>
        <w:spacing w:line="578" w:lineRule="exact"/>
        <w:rPr>
          <w:rFonts w:hAnsi="宋体" w:cs="仿宋_GB2312"/>
          <w:color w:val="000000" w:themeColor="text1"/>
          <w:sz w:val="28"/>
          <w:szCs w:val="28"/>
          <w14:textFill>
            <w14:solidFill>
              <w14:schemeClr w14:val="tx1"/>
            </w14:solidFill>
          </w14:textFill>
        </w:rPr>
      </w:pPr>
    </w:p>
    <w:p>
      <w:pPr>
        <w:pStyle w:val="4"/>
        <w:spacing w:line="578" w:lineRule="exact"/>
        <w:rPr>
          <w:rFonts w:hAnsi="宋体" w:cs="仿宋_GB2312"/>
          <w:color w:val="000000" w:themeColor="text1"/>
          <w:sz w:val="28"/>
          <w:szCs w:val="28"/>
          <w14:textFill>
            <w14:solidFill>
              <w14:schemeClr w14:val="tx1"/>
            </w14:solidFill>
          </w14:textFill>
        </w:rPr>
      </w:pPr>
    </w:p>
    <w:p>
      <w:pPr>
        <w:pStyle w:val="4"/>
        <w:spacing w:line="578" w:lineRule="exac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法定代表人（委托代理人）法定代表人</w:t>
      </w:r>
      <w:r>
        <w:rPr>
          <w:rFonts w:hAnsi="宋体" w:cs="仿宋_GB2312"/>
          <w:color w:val="000000" w:themeColor="text1"/>
          <w:sz w:val="28"/>
          <w:szCs w:val="28"/>
          <w14:textFill>
            <w14:solidFill>
              <w14:schemeClr w14:val="tx1"/>
            </w14:solidFill>
          </w14:textFill>
        </w:rPr>
        <w:t>(</w:t>
      </w:r>
      <w:r>
        <w:rPr>
          <w:rFonts w:hint="eastAsia" w:hAnsi="宋体" w:cs="仿宋_GB2312"/>
          <w:color w:val="000000" w:themeColor="text1"/>
          <w:sz w:val="28"/>
          <w:szCs w:val="28"/>
          <w14:textFill>
            <w14:solidFill>
              <w14:schemeClr w14:val="tx1"/>
            </w14:solidFill>
          </w14:textFill>
        </w:rPr>
        <w:t>委托代理人</w:t>
      </w:r>
      <w:r>
        <w:rPr>
          <w:rFonts w:hAnsi="宋体" w:cs="仿宋_GB2312"/>
          <w:color w:val="000000" w:themeColor="text1"/>
          <w:sz w:val="28"/>
          <w:szCs w:val="28"/>
          <w14:textFill>
            <w14:solidFill>
              <w14:schemeClr w14:val="tx1"/>
            </w14:solidFill>
          </w14:textFill>
        </w:rPr>
        <w:t>)</w:t>
      </w:r>
      <w:r>
        <w:rPr>
          <w:rFonts w:hint="eastAsia" w:hAnsi="宋体" w:cs="仿宋_GB2312"/>
          <w:color w:val="000000" w:themeColor="text1"/>
          <w:sz w:val="28"/>
          <w:szCs w:val="28"/>
          <w14:textFill>
            <w14:solidFill>
              <w14:schemeClr w14:val="tx1"/>
            </w14:solidFill>
          </w14:textFill>
        </w:rPr>
        <w:t>：</w:t>
      </w:r>
    </w:p>
    <w:p>
      <w:pPr>
        <w:pStyle w:val="4"/>
        <w:spacing w:line="578" w:lineRule="exac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（签字）：（签字）：</w:t>
      </w:r>
    </w:p>
    <w:p>
      <w:pPr>
        <w:pStyle w:val="4"/>
        <w:spacing w:line="578" w:lineRule="exact"/>
        <w:rPr>
          <w:rFonts w:hAnsi="宋体"/>
          <w:color w:val="000000" w:themeColor="text1"/>
          <w:sz w:val="28"/>
          <w:szCs w:val="28"/>
          <w14:textFill>
            <w14:solidFill>
              <w14:schemeClr w14:val="tx1"/>
            </w14:solidFill>
          </w14:textFill>
        </w:rPr>
      </w:pPr>
    </w:p>
    <w:p>
      <w:pPr>
        <w:pStyle w:val="4"/>
        <w:spacing w:line="578" w:lineRule="exact"/>
        <w:rPr>
          <w:rFonts w:hAnsi="宋体"/>
          <w:color w:val="000000" w:themeColor="text1"/>
          <w:sz w:val="28"/>
          <w:szCs w:val="28"/>
          <w14:textFill>
            <w14:solidFill>
              <w14:schemeClr w14:val="tx1"/>
            </w14:solidFill>
          </w14:textFill>
        </w:rPr>
      </w:pPr>
    </w:p>
    <w:p>
      <w:pPr>
        <w:pStyle w:val="4"/>
        <w:ind w:firstLine="4340" w:firstLineChars="1550"/>
        <w:rPr>
          <w:rFonts w:hAnsi="宋体"/>
          <w:color w:val="000000" w:themeColor="text1"/>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二〇二〇年  月  日</w:t>
      </w:r>
    </w:p>
    <w:p>
      <w:pPr>
        <w:pStyle w:val="4"/>
        <w:spacing w:line="578" w:lineRule="exact"/>
        <w:jc w:val="right"/>
        <w:rPr>
          <w:rFonts w:hAnsi="宋体" w:cs="仿宋_GB2312"/>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12"/>
        <w:rPr>
          <w:rFonts w:ascii="黑体" w:hAnsi="宋体" w:eastAsia="黑体"/>
          <w:color w:val="000000" w:themeColor="text1"/>
          <w:sz w:val="44"/>
          <w:szCs w:val="44"/>
          <w14:textFill>
            <w14:solidFill>
              <w14:schemeClr w14:val="tx1"/>
            </w14:solidFill>
          </w14:textFill>
        </w:rPr>
      </w:pPr>
      <w:bookmarkStart w:id="20" w:name="_Toc3391981"/>
      <w:r>
        <w:rPr>
          <w:rFonts w:hint="eastAsia" w:ascii="黑体" w:hAnsi="宋体" w:eastAsia="黑体"/>
          <w:color w:val="000000" w:themeColor="text1"/>
          <w:sz w:val="44"/>
          <w:szCs w:val="44"/>
          <w14:textFill>
            <w14:solidFill>
              <w14:schemeClr w14:val="tx1"/>
            </w14:solidFill>
          </w14:textFill>
        </w:rPr>
        <w:t>国有建设用地交接地确认书</w:t>
      </w:r>
      <w:bookmarkEnd w:id="20"/>
    </w:p>
    <w:p>
      <w:pPr>
        <w:jc w:val="center"/>
        <w:rPr>
          <w:rFonts w:ascii="方正小标宋简体"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达市自然资交字〔〕号</w:t>
      </w:r>
    </w:p>
    <w:p>
      <w:pPr>
        <w:spacing w:line="560" w:lineRule="exact"/>
        <w:ind w:firstLine="640" w:firstLineChars="200"/>
        <w:rPr>
          <w:rFonts w:eastAsia="仿宋_GB2312"/>
          <w:color w:val="000000" w:themeColor="text1"/>
          <w:sz w:val="32"/>
          <w:szCs w:val="32"/>
          <w14:textFill>
            <w14:solidFill>
              <w14:schemeClr w14:val="tx1"/>
            </w14:solidFill>
          </w14:textFill>
        </w:rPr>
      </w:pPr>
    </w:p>
    <w:p>
      <w:pPr>
        <w:spacing w:line="560" w:lineRule="exact"/>
        <w:ind w:firstLine="643" w:firstLineChars="200"/>
        <w:rPr>
          <w:rFonts w:ascii="仿宋" w:hAnsi="仿宋" w:eastAsia="仿宋" w:cs="仿宋"/>
          <w:b/>
          <w:color w:val="000000" w:themeColor="text1"/>
          <w:sz w:val="32"/>
          <w:szCs w:val="32"/>
          <w:u w:val="single"/>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根据号《国有建设用地使用权出让合同》</w:t>
      </w:r>
      <w:r>
        <w:rPr>
          <w:rFonts w:ascii="仿宋" w:hAnsi="仿宋" w:eastAsia="仿宋" w:cs="仿宋"/>
          <w:b/>
          <w:color w:val="000000" w:themeColor="text1"/>
          <w:sz w:val="32"/>
          <w:szCs w:val="32"/>
          <w14:textFill>
            <w14:solidFill>
              <w14:schemeClr w14:val="tx1"/>
            </w14:solidFill>
          </w14:textFill>
        </w:rPr>
        <w:t>/</w:t>
      </w:r>
      <w:r>
        <w:rPr>
          <w:rFonts w:hint="eastAsia" w:ascii="仿宋" w:hAnsi="仿宋" w:eastAsia="仿宋" w:cs="仿宋"/>
          <w:b/>
          <w:color w:val="000000" w:themeColor="text1"/>
          <w:sz w:val="32"/>
          <w:szCs w:val="32"/>
          <w14:textFill>
            <w14:solidFill>
              <w14:schemeClr w14:val="tx1"/>
            </w14:solidFill>
          </w14:textFill>
        </w:rPr>
        <w:t>《国有建设用地使用权划拨决定书》的相关要求，</w:t>
      </w:r>
      <w:r>
        <w:rPr>
          <w:rFonts w:hint="eastAsia" w:ascii="仿宋" w:hAnsi="仿宋" w:eastAsia="仿宋" w:cs="仿宋"/>
          <w:b/>
          <w:color w:val="000000" w:themeColor="text1"/>
          <w:sz w:val="32"/>
          <w:szCs w:val="32"/>
          <w:u w:val="single"/>
          <w14:textFill>
            <w14:solidFill>
              <w14:schemeClr w14:val="tx1"/>
            </w14:solidFill>
          </w14:textFill>
        </w:rPr>
        <w:t xml:space="preserve">       </w:t>
      </w:r>
      <w:r>
        <w:rPr>
          <w:rFonts w:ascii="仿宋" w:hAnsi="仿宋" w:eastAsia="仿宋" w:cs="仿宋"/>
          <w:b/>
          <w:color w:val="000000" w:themeColor="text1"/>
          <w:sz w:val="32"/>
          <w:szCs w:val="32"/>
          <w:u w:val="single"/>
          <w14:textFill>
            <w14:solidFill>
              <w14:schemeClr w14:val="tx1"/>
            </w14:solidFill>
          </w14:textFill>
        </w:rPr>
        <w:t xml:space="preserve">   </w:t>
      </w:r>
      <w:r>
        <w:rPr>
          <w:rFonts w:hint="eastAsia" w:ascii="仿宋" w:hAnsi="仿宋" w:eastAsia="仿宋" w:cs="仿宋"/>
          <w:b/>
          <w:color w:val="000000" w:themeColor="text1"/>
          <w:sz w:val="32"/>
          <w:szCs w:val="32"/>
          <w14:textFill>
            <w14:solidFill>
              <w14:schemeClr w14:val="tx1"/>
            </w14:solidFill>
          </w14:textFill>
        </w:rPr>
        <w:t>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本确认书一式三份，局执二份，接地方执一份。</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特此确认。</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 xml:space="preserve">交地方：            </w:t>
      </w:r>
      <w:r>
        <w:rPr>
          <w:rFonts w:ascii="仿宋" w:hAnsi="仿宋" w:eastAsia="仿宋" w:cs="仿宋"/>
          <w:b/>
          <w:color w:val="000000" w:themeColor="text1"/>
          <w:sz w:val="32"/>
          <w:szCs w:val="32"/>
          <w14:textFill>
            <w14:solidFill>
              <w14:schemeClr w14:val="tx1"/>
            </w14:solidFill>
          </w14:textFill>
        </w:rPr>
        <w:t xml:space="preserve">   </w:t>
      </w:r>
      <w:r>
        <w:rPr>
          <w:rFonts w:hint="eastAsia" w:ascii="仿宋" w:hAnsi="仿宋" w:eastAsia="仿宋" w:cs="仿宋"/>
          <w:b/>
          <w:color w:val="000000" w:themeColor="text1"/>
          <w:sz w:val="32"/>
          <w:szCs w:val="32"/>
          <w14:textFill>
            <w14:solidFill>
              <w14:schemeClr w14:val="tx1"/>
            </w14:solidFill>
          </w14:textFill>
        </w:rPr>
        <w:t>（印章）</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接地方：               （印章）</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p>
    <w:p>
      <w:pPr>
        <w:spacing w:line="560" w:lineRule="exact"/>
        <w:ind w:firstLine="4176" w:firstLineChars="13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年  月  日</w:t>
      </w:r>
    </w:p>
    <w:p>
      <w:pPr>
        <w:spacing w:line="560" w:lineRule="exact"/>
        <w:rPr>
          <w:rFonts w:ascii="仿宋" w:hAnsi="仿宋" w:eastAsia="仿宋" w:cs="仿宋"/>
          <w:color w:val="000000" w:themeColor="text1"/>
          <w:sz w:val="32"/>
          <w:szCs w:val="32"/>
          <w14:textFill>
            <w14:solidFill>
              <w14:schemeClr w14:val="tx1"/>
            </w14:solidFill>
          </w14:textFill>
        </w:rPr>
      </w:pPr>
    </w:p>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注：</w:t>
      </w:r>
      <w:r>
        <w:rPr>
          <w:rFonts w:ascii="仿宋" w:hAnsi="仿宋" w:eastAsia="仿宋" w:cs="仿宋"/>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接地方须为受让方；</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接地方到场人员须持受让方的委托书，委托书须现场交给交地方；</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4.</w:t>
      </w:r>
      <w:r>
        <w:rPr>
          <w:rFonts w:hint="eastAsia" w:ascii="仿宋" w:hAnsi="仿宋" w:eastAsia="仿宋" w:cs="仿宋"/>
          <w:color w:val="000000" w:themeColor="text1"/>
          <w:sz w:val="32"/>
          <w:szCs w:val="32"/>
          <w14:textFill>
            <w14:solidFill>
              <w14:schemeClr w14:val="tx1"/>
            </w14:solidFill>
          </w14:textFill>
        </w:rPr>
        <w:t>三份确认书中只二份加盖接地方印章。</w:t>
      </w:r>
    </w:p>
    <w:p>
      <w:pPr>
        <w:spacing w:line="560" w:lineRule="exact"/>
        <w:ind w:firstLine="645"/>
        <w:rPr>
          <w:rFonts w:ascii="仿宋" w:hAnsi="仿宋" w:eastAsia="仿宋" w:cs="仿宋"/>
          <w:color w:val="000000" w:themeColor="text1"/>
          <w:sz w:val="32"/>
          <w:szCs w:val="32"/>
          <w14:textFill>
            <w14:solidFill>
              <w14:schemeClr w14:val="tx1"/>
            </w14:solidFill>
          </w14:textFill>
        </w:rPr>
      </w:pPr>
    </w:p>
    <w:p>
      <w:pPr>
        <w:spacing w:line="560" w:lineRule="exact"/>
        <w:ind w:firstLine="645"/>
        <w:rPr>
          <w:rFonts w:ascii="仿宋" w:hAnsi="仿宋" w:eastAsia="仿宋" w:cs="仿宋"/>
          <w:color w:val="000000" w:themeColor="text1"/>
          <w:sz w:val="32"/>
          <w:szCs w:val="32"/>
          <w14:textFill>
            <w14:solidFill>
              <w14:schemeClr w14:val="tx1"/>
            </w14:solidFill>
          </w14:textFill>
        </w:rPr>
      </w:pPr>
    </w:p>
    <w:p>
      <w:pPr>
        <w:spacing w:line="560" w:lineRule="exact"/>
        <w:jc w:val="center"/>
        <w:rPr>
          <w:rFonts w:ascii="黑体" w:hAnsi="黑体" w:eastAsia="黑体" w:cs="仿宋"/>
          <w:color w:val="000000" w:themeColor="text1"/>
          <w:sz w:val="44"/>
          <w:szCs w:val="44"/>
          <w14:textFill>
            <w14:solidFill>
              <w14:schemeClr w14:val="tx1"/>
            </w14:solidFill>
          </w14:textFill>
        </w:rPr>
      </w:pPr>
    </w:p>
    <w:p>
      <w:pPr>
        <w:spacing w:line="560" w:lineRule="exact"/>
        <w:jc w:val="center"/>
        <w:rPr>
          <w:rFonts w:ascii="黑体" w:hAnsi="黑体" w:eastAsia="黑体" w:cs="仿宋"/>
          <w:color w:val="000000" w:themeColor="text1"/>
          <w:sz w:val="44"/>
          <w:szCs w:val="44"/>
          <w14:textFill>
            <w14:solidFill>
              <w14:schemeClr w14:val="tx1"/>
            </w14:solidFill>
          </w14:textFill>
        </w:rPr>
      </w:pPr>
      <w:r>
        <w:rPr>
          <w:rFonts w:hint="eastAsia" w:ascii="黑体" w:hAnsi="黑体" w:eastAsia="黑体" w:cs="仿宋"/>
          <w:color w:val="000000" w:themeColor="text1"/>
          <w:sz w:val="44"/>
          <w:szCs w:val="44"/>
          <w14:textFill>
            <w14:solidFill>
              <w14:schemeClr w14:val="tx1"/>
            </w14:solidFill>
          </w14:textFill>
        </w:rPr>
        <w:t>国有建设用地交接地现场人员签到表</w:t>
      </w:r>
    </w:p>
    <w:p>
      <w:pPr>
        <w:spacing w:line="560" w:lineRule="exact"/>
        <w:ind w:firstLine="645"/>
        <w:rPr>
          <w:rFonts w:ascii="仿宋" w:hAnsi="仿宋" w:eastAsia="仿宋" w:cs="仿宋"/>
          <w:color w:val="000000" w:themeColor="text1"/>
          <w:sz w:val="32"/>
          <w:szCs w:val="32"/>
          <w14:textFill>
            <w14:solidFill>
              <w14:schemeClr w14:val="tx1"/>
            </w14:solidFill>
          </w14:textFill>
        </w:rPr>
      </w:pP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时间：</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地块名称或编号：</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人员：</w:t>
      </w:r>
    </w:p>
    <w:tbl>
      <w:tblPr>
        <w:tblStyle w:val="13"/>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姓名</w:t>
            </w:r>
          </w:p>
        </w:tc>
        <w:tc>
          <w:tcPr>
            <w:tcW w:w="2736" w:type="dxa"/>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工作单位</w:t>
            </w:r>
          </w:p>
        </w:tc>
        <w:tc>
          <w:tcPr>
            <w:tcW w:w="1604" w:type="dxa"/>
            <w:vAlign w:val="center"/>
          </w:tcPr>
          <w:p>
            <w:pPr>
              <w:spacing w:line="3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职务</w:t>
            </w:r>
          </w:p>
          <w:p>
            <w:pPr>
              <w:spacing w:line="360" w:lineRule="exact"/>
              <w:jc w:val="center"/>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color w:val="000000" w:themeColor="text1"/>
                <w:sz w:val="32"/>
                <w:szCs w:val="32"/>
                <w14:textFill>
                  <w14:solidFill>
                    <w14:schemeClr w14:val="tx1"/>
                  </w14:solidFill>
                </w14:textFill>
              </w:rPr>
              <w:t>(</w:t>
            </w:r>
            <w:r>
              <w:rPr>
                <w:rFonts w:hint="eastAsia" w:ascii="仿宋" w:hAnsi="仿宋" w:eastAsia="仿宋" w:cs="仿宋"/>
                <w:b/>
                <w:color w:val="000000" w:themeColor="text1"/>
                <w:sz w:val="32"/>
                <w:szCs w:val="32"/>
                <w14:textFill>
                  <w14:solidFill>
                    <w14:schemeClr w14:val="tx1"/>
                  </w14:solidFill>
                </w14:textFill>
              </w:rPr>
              <w:t>或职称</w:t>
            </w:r>
            <w:r>
              <w:rPr>
                <w:rFonts w:ascii="仿宋" w:hAnsi="仿宋" w:eastAsia="仿宋" w:cs="仿宋"/>
                <w:b/>
                <w:color w:val="000000" w:themeColor="text1"/>
                <w:sz w:val="32"/>
                <w:szCs w:val="32"/>
                <w14:textFill>
                  <w14:solidFill>
                    <w14:schemeClr w14:val="tx1"/>
                  </w14:solidFill>
                </w14:textFill>
              </w:rPr>
              <w:t>)</w:t>
            </w:r>
          </w:p>
        </w:tc>
        <w:tc>
          <w:tcPr>
            <w:tcW w:w="2263" w:type="dxa"/>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联系电话</w:t>
            </w:r>
          </w:p>
        </w:tc>
        <w:tc>
          <w:tcPr>
            <w:tcW w:w="1093" w:type="dxa"/>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bl>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注：</w:t>
      </w:r>
      <w:r>
        <w:rPr>
          <w:rFonts w:ascii="仿宋" w:hAnsi="仿宋" w:eastAsia="仿宋" w:cs="仿宋"/>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表格内容须由现场人员亲自填写；</w:t>
      </w:r>
    </w:p>
    <w:p>
      <w:pPr>
        <w:spacing w:line="560" w:lineRule="exact"/>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 xml:space="preserve">    2.</w:t>
      </w:r>
      <w:r>
        <w:rPr>
          <w:rFonts w:hint="eastAsia" w:ascii="仿宋" w:hAnsi="仿宋" w:eastAsia="仿宋" w:cs="仿宋"/>
          <w:color w:val="000000" w:themeColor="text1"/>
          <w:sz w:val="32"/>
          <w:szCs w:val="32"/>
          <w14:textFill>
            <w14:solidFill>
              <w14:schemeClr w14:val="tx1"/>
            </w14:solidFill>
          </w14:textFill>
        </w:rPr>
        <w:t>接地方主要代表须现场按手印。</w:t>
      </w:r>
    </w:p>
    <w:p>
      <w:pPr>
        <w:pStyle w:val="4"/>
        <w:ind w:left="-141" w:leftChars="-67" w:right="480"/>
        <w:jc w:val="center"/>
        <w:rPr>
          <w:rFonts w:ascii="黑体" w:hAnsi="宋体" w:eastAsia="黑体"/>
          <w:color w:val="000000" w:themeColor="text1"/>
          <w:sz w:val="44"/>
          <w:szCs w:val="44"/>
          <w14:textFill>
            <w14:solidFill>
              <w14:schemeClr w14:val="tx1"/>
            </w14:solidFill>
          </w14:textFill>
        </w:rPr>
      </w:pPr>
    </w:p>
    <w:p>
      <w:pPr>
        <w:pStyle w:val="4"/>
        <w:ind w:left="-141" w:leftChars="-67" w:right="480"/>
        <w:jc w:val="center"/>
        <w:rPr>
          <w:rFonts w:ascii="黑体" w:hAnsi="宋体" w:eastAsia="黑体"/>
          <w:color w:val="000000" w:themeColor="text1"/>
          <w:sz w:val="44"/>
          <w:szCs w:val="44"/>
          <w14:textFill>
            <w14:solidFill>
              <w14:schemeClr w14:val="tx1"/>
            </w14:solidFill>
          </w14:textFill>
        </w:rPr>
      </w:pPr>
      <w:r>
        <w:rPr>
          <w:rFonts w:hint="eastAsia" w:ascii="黑体" w:hAnsi="宋体" w:eastAsia="黑体"/>
          <w:color w:val="000000" w:themeColor="text1"/>
          <w:sz w:val="44"/>
          <w:szCs w:val="44"/>
          <w14:textFill>
            <w14:solidFill>
              <w14:schemeClr w14:val="tx1"/>
            </w14:solidFill>
          </w14:textFill>
        </w:rPr>
        <w:t>建设项目动工开发申报书</w:t>
      </w:r>
    </w:p>
    <w:p>
      <w:pPr>
        <w:pStyle w:val="4"/>
        <w:ind w:left="-141" w:leftChars="-67" w:right="480"/>
        <w:jc w:val="left"/>
        <w:rPr>
          <w:rFonts w:hAnsi="宋体"/>
          <w:color w:val="000000" w:themeColor="text1"/>
          <w14:textFill>
            <w14:solidFill>
              <w14:schemeClr w14:val="tx1"/>
            </w14:solidFill>
          </w14:textFill>
        </w:rPr>
      </w:pPr>
    </w:p>
    <w:p>
      <w:pPr>
        <w:pStyle w:val="4"/>
        <w:ind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×××局：</w:t>
      </w:r>
    </w:p>
    <w:p>
      <w:pPr>
        <w:pStyle w:val="4"/>
        <w:ind w:left="-141" w:leftChars="-67" w:right="480" w:firstLine="480" w:firstLineChars="150"/>
        <w:jc w:val="left"/>
        <w:rPr>
          <w:rFonts w:hAnsi="宋体"/>
          <w:color w:val="000000" w:themeColor="text1"/>
          <w:u w:val="single"/>
          <w14:textFill>
            <w14:solidFill>
              <w14:schemeClr w14:val="tx1"/>
            </w14:solidFill>
          </w14:textFill>
        </w:rPr>
      </w:pPr>
      <w:r>
        <w:rPr>
          <w:rFonts w:hint="eastAsia" w:hAnsi="宋体"/>
          <w:color w:val="000000" w:themeColor="text1"/>
          <w14:textFill>
            <w14:solidFill>
              <w14:schemeClr w14:val="tx1"/>
            </w14:solidFill>
          </w14:textFill>
        </w:rPr>
        <w:t>你局与我方签定的国有建设用地使用权出让合同，合同电子监管号为（你局向我方核发的国有建设用地划拨决定书电子监管号为），宗地四至为，面积为平方米，约定动工日期为 年 月 日，土地权利证号</w:t>
      </w:r>
      <w:r>
        <w:rPr>
          <w:rFonts w:hint="eastAsia" w:hAnsi="宋体"/>
          <w:color w:val="000000" w:themeColor="text1"/>
          <w:u w:val="single"/>
          <w14:textFill>
            <w14:solidFill>
              <w14:schemeClr w14:val="tx1"/>
            </w14:solidFill>
          </w14:textFill>
        </w:rPr>
        <w:t>。</w:t>
      </w:r>
    </w:p>
    <w:p>
      <w:pPr>
        <w:pStyle w:val="4"/>
        <w:ind w:left="-141" w:leftChars="-67" w:right="480" w:firstLine="480" w:firstLineChars="15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我方拟在上述宗地建设项目，目前已取得部分（全部）的建设施工许可证（编号为：），并于  年  月 日已达到动工标准。请予检查复核。</w:t>
      </w:r>
    </w:p>
    <w:p>
      <w:pPr>
        <w:pStyle w:val="4"/>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特此申报。</w:t>
      </w:r>
    </w:p>
    <w:p>
      <w:pPr>
        <w:pStyle w:val="4"/>
        <w:ind w:left="-141" w:leftChars="-67" w:right="480"/>
        <w:jc w:val="left"/>
        <w:rPr>
          <w:rFonts w:hAnsi="宋体"/>
          <w:color w:val="000000" w:themeColor="text1"/>
          <w14:textFill>
            <w14:solidFill>
              <w14:schemeClr w14:val="tx1"/>
            </w14:solidFill>
          </w14:textFill>
        </w:rPr>
      </w:pPr>
    </w:p>
    <w:p>
      <w:pPr>
        <w:pStyle w:val="4"/>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单位（印章）</w:t>
      </w:r>
      <w:r>
        <w:rPr>
          <w:rFonts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个人：</w:t>
      </w:r>
    </w:p>
    <w:p>
      <w:pPr>
        <w:pStyle w:val="4"/>
        <w:wordWrap w:val="0"/>
        <w:ind w:left="-141" w:leftChars="-67" w:right="800"/>
        <w:jc w:val="righ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年 月 日</w:t>
      </w:r>
    </w:p>
    <w:p>
      <w:pPr>
        <w:pStyle w:val="4"/>
        <w:ind w:left="-141" w:leftChars="-67" w:right="480"/>
        <w:jc w:val="left"/>
        <w:rPr>
          <w:rFonts w:hAnsi="宋体"/>
          <w:color w:val="000000" w:themeColor="text1"/>
          <w14:textFill>
            <w14:solidFill>
              <w14:schemeClr w14:val="tx1"/>
            </w14:solidFill>
          </w14:textFill>
        </w:rPr>
      </w:pPr>
    </w:p>
    <w:p>
      <w:pPr>
        <w:pStyle w:val="4"/>
        <w:spacing w:line="578" w:lineRule="atLeast"/>
        <w:ind w:left="-141" w:leftChars="-67" w:right="482"/>
        <w:jc w:val="center"/>
        <w:rPr>
          <w:rFonts w:ascii="方正小标宋简体" w:hAnsi="宋体" w:eastAsia="方正小标宋简体"/>
          <w:sz w:val="44"/>
          <w:szCs w:val="44"/>
        </w:rPr>
      </w:pPr>
      <w:r>
        <w:rPr>
          <w:rFonts w:hAnsi="宋体"/>
          <w:color w:val="000000" w:themeColor="text1"/>
          <w14:textFill>
            <w14:solidFill>
              <w14:schemeClr w14:val="tx1"/>
            </w14:solidFill>
          </w14:textFill>
        </w:rPr>
        <w:br w:type="page"/>
      </w:r>
      <w:r>
        <w:rPr>
          <w:rFonts w:hint="eastAsia" w:ascii="方正小标宋简体" w:hAnsi="宋体" w:eastAsia="方正小标宋简体"/>
          <w:sz w:val="44"/>
          <w:szCs w:val="44"/>
        </w:rPr>
        <w:t>建设项目国土规划核验（实）申请书</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r>
        <w:rPr>
          <w:rFonts w:hint="eastAsia" w:ascii="仿宋_GB2312" w:hAnsi="宋体" w:eastAsia="仿宋_GB2312"/>
          <w:u w:val="single"/>
        </w:rPr>
        <w:t xml:space="preserve">         </w:t>
      </w:r>
      <w:r>
        <w:rPr>
          <w:rFonts w:hint="eastAsia" w:ascii="仿宋_GB2312" w:hAnsi="宋体" w:eastAsia="仿宋_GB2312"/>
        </w:rPr>
        <w:t>局：</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你局与我方签订的国有建设用地使用权出让合同，合同电子监管号为</w:t>
      </w:r>
      <w:r>
        <w:rPr>
          <w:rFonts w:hint="eastAsia" w:ascii="仿宋_GB2312" w:hAnsi="宋体" w:eastAsia="仿宋_GB2312"/>
          <w:u w:val="single"/>
        </w:rPr>
        <w:t xml:space="preserve">            </w:t>
      </w:r>
      <w:r>
        <w:rPr>
          <w:rFonts w:hint="eastAsia" w:ascii="仿宋_GB2312" w:hAnsi="宋体" w:eastAsia="仿宋_GB2312"/>
        </w:rPr>
        <w:t>（你局向我方核发的国有建设用地划拨决定书，划拨决定书电子监管号为</w:t>
      </w:r>
      <w:r>
        <w:rPr>
          <w:rFonts w:hint="eastAsia" w:ascii="仿宋_GB2312" w:hAnsi="宋体" w:eastAsia="仿宋_GB2312"/>
          <w:u w:val="single"/>
        </w:rPr>
        <w:t xml:space="preserve">         </w:t>
      </w:r>
      <w:r>
        <w:rPr>
          <w:rFonts w:hint="eastAsia" w:ascii="仿宋_GB2312" w:hAnsi="宋体" w:eastAsia="仿宋_GB2312"/>
        </w:rPr>
        <w:t>），宗地四至为</w:t>
      </w:r>
      <w:r>
        <w:rPr>
          <w:rFonts w:hint="eastAsia" w:ascii="仿宋_GB2312" w:hAnsi="宋体" w:eastAsia="仿宋_GB2312"/>
          <w:u w:val="single"/>
        </w:rPr>
        <w:t xml:space="preserve">            </w:t>
      </w:r>
      <w:r>
        <w:rPr>
          <w:rFonts w:hint="eastAsia" w:ascii="仿宋_GB2312" w:hAnsi="宋体" w:eastAsia="仿宋_GB2312"/>
        </w:rPr>
        <w:t>，面积为</w:t>
      </w:r>
      <w:r>
        <w:rPr>
          <w:rFonts w:hint="eastAsia" w:ascii="仿宋_GB2312" w:hAnsi="宋体" w:eastAsia="仿宋_GB2312"/>
          <w:u w:val="single"/>
        </w:rPr>
        <w:t xml:space="preserve">           </w:t>
      </w:r>
      <w:r>
        <w:rPr>
          <w:rFonts w:hint="eastAsia" w:ascii="仿宋_GB2312" w:hAnsi="宋体" w:eastAsia="仿宋_GB2312"/>
        </w:rPr>
        <w:t>平方米，约定动工日期为</w:t>
      </w:r>
      <w:r>
        <w:rPr>
          <w:rFonts w:hint="eastAsia" w:ascii="仿宋_GB2312" w:hAnsi="宋体" w:eastAsia="仿宋_GB2312"/>
          <w:u w:val="single"/>
        </w:rPr>
        <w:t xml:space="preserve">   </w:t>
      </w:r>
      <w:r>
        <w:rPr>
          <w:rFonts w:hint="eastAsia" w:ascii="仿宋_GB2312" w:hAnsi="宋体" w:eastAsia="仿宋_GB2312"/>
        </w:rPr>
        <w:t>年</w:t>
      </w:r>
      <w:r>
        <w:rPr>
          <w:rFonts w:hint="eastAsia" w:ascii="仿宋_GB2312" w:hAnsi="宋体" w:eastAsia="仿宋_GB2312"/>
          <w:u w:val="single"/>
        </w:rPr>
        <w:t xml:space="preserve">   </w:t>
      </w:r>
      <w:r>
        <w:rPr>
          <w:rFonts w:hint="eastAsia" w:ascii="仿宋_GB2312" w:hAnsi="宋体" w:eastAsia="仿宋_GB2312"/>
        </w:rPr>
        <w:t>月</w:t>
      </w:r>
      <w:r>
        <w:rPr>
          <w:rFonts w:hint="eastAsia" w:ascii="仿宋_GB2312" w:hAnsi="宋体" w:eastAsia="仿宋_GB2312"/>
          <w:u w:val="single"/>
        </w:rPr>
        <w:t xml:space="preserve">   </w:t>
      </w:r>
      <w:r>
        <w:rPr>
          <w:rFonts w:hint="eastAsia" w:ascii="仿宋_GB2312" w:hAnsi="宋体" w:eastAsia="仿宋_GB2312"/>
        </w:rPr>
        <w:t>日，土地权利证号</w:t>
      </w:r>
      <w:r>
        <w:rPr>
          <w:rFonts w:hint="eastAsia" w:ascii="仿宋_GB2312" w:hAnsi="宋体" w:eastAsia="仿宋_GB2312"/>
          <w:u w:val="single"/>
        </w:rPr>
        <w:t xml:space="preserve">       </w:t>
      </w:r>
      <w:r>
        <w:rPr>
          <w:rFonts w:hint="eastAsia" w:ascii="仿宋_GB2312" w:hAnsi="宋体" w:eastAsia="仿宋_GB2312"/>
        </w:rPr>
        <w:t>。</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我方在上述宗地按</w:t>
      </w:r>
      <w:r>
        <w:rPr>
          <w:rFonts w:hint="eastAsia" w:ascii="仿宋_GB2312" w:hAnsi="宋体" w:eastAsia="仿宋_GB2312"/>
          <w:u w:val="single"/>
        </w:rPr>
        <w:t xml:space="preserve">      </w:t>
      </w:r>
      <w:r>
        <w:rPr>
          <w:rFonts w:hint="eastAsia" w:ascii="仿宋_GB2312" w:hAnsi="宋体" w:eastAsia="仿宋_GB2312"/>
        </w:rPr>
        <w:t>号《建设工程规划许可证》要求建设了</w:t>
      </w:r>
      <w:r>
        <w:rPr>
          <w:rFonts w:hint="eastAsia" w:ascii="仿宋_GB2312" w:hAnsi="宋体" w:eastAsia="仿宋_GB2312"/>
          <w:u w:val="single"/>
        </w:rPr>
        <w:t xml:space="preserve">            </w:t>
      </w:r>
      <w:r>
        <w:rPr>
          <w:rFonts w:hint="eastAsia" w:ascii="仿宋_GB2312" w:hAnsi="宋体" w:eastAsia="仿宋_GB2312"/>
        </w:rPr>
        <w:t>项目，已于</w:t>
      </w:r>
      <w:r>
        <w:rPr>
          <w:rFonts w:hint="eastAsia" w:ascii="仿宋_GB2312" w:hAnsi="宋体" w:eastAsia="仿宋_GB2312"/>
          <w:u w:val="single"/>
        </w:rPr>
        <w:t xml:space="preserve">   </w:t>
      </w:r>
      <w:r>
        <w:rPr>
          <w:rFonts w:hint="eastAsia" w:ascii="仿宋_GB2312" w:hAnsi="宋体" w:eastAsia="仿宋_GB2312"/>
        </w:rPr>
        <w:t>年</w:t>
      </w:r>
      <w:r>
        <w:rPr>
          <w:rFonts w:hint="eastAsia" w:ascii="仿宋_GB2312" w:hAnsi="宋体" w:eastAsia="仿宋_GB2312"/>
          <w:u w:val="single"/>
        </w:rPr>
        <w:t xml:space="preserve">   </w:t>
      </w:r>
      <w:r>
        <w:rPr>
          <w:rFonts w:hint="eastAsia" w:ascii="仿宋_GB2312" w:hAnsi="宋体" w:eastAsia="仿宋_GB2312"/>
        </w:rPr>
        <w:t>月</w:t>
      </w:r>
      <w:r>
        <w:rPr>
          <w:rFonts w:hint="eastAsia" w:ascii="仿宋_GB2312" w:hAnsi="宋体" w:eastAsia="仿宋_GB2312"/>
          <w:u w:val="single"/>
        </w:rPr>
        <w:t xml:space="preserve">   </w:t>
      </w:r>
      <w:r>
        <w:rPr>
          <w:rFonts w:hint="eastAsia" w:ascii="仿宋_GB2312" w:hAnsi="宋体" w:eastAsia="仿宋_GB2312"/>
        </w:rPr>
        <w:t>日竣工，完成出让合同（划拨决定书）规定的规划建设内容。请予校验核实。</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特此申请。</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right"/>
        <w:rPr>
          <w:rFonts w:ascii="仿宋_GB2312" w:hAnsi="宋体" w:eastAsia="仿宋_GB2312"/>
        </w:rPr>
      </w:pPr>
      <w:r>
        <w:rPr>
          <w:rFonts w:hint="eastAsia" w:ascii="仿宋_GB2312" w:hAnsi="宋体" w:eastAsia="仿宋_GB2312"/>
        </w:rPr>
        <w:t>单位（印章）/个人</w:t>
      </w:r>
    </w:p>
    <w:p>
      <w:pPr>
        <w:pStyle w:val="4"/>
        <w:spacing w:line="578" w:lineRule="atLeast"/>
        <w:ind w:left="-141" w:leftChars="-67" w:right="802"/>
        <w:jc w:val="right"/>
        <w:rPr>
          <w:rFonts w:ascii="仿宋_GB2312" w:hAnsi="宋体" w:eastAsia="仿宋_GB2312"/>
        </w:rPr>
      </w:pPr>
      <w:r>
        <w:rPr>
          <w:rFonts w:hint="eastAsia" w:ascii="仿宋_GB2312" w:hAnsi="宋体" w:eastAsia="仿宋_GB2312"/>
        </w:rPr>
        <w:t>年   月   日</w:t>
      </w:r>
    </w:p>
    <w:p>
      <w:pPr>
        <w:pStyle w:val="4"/>
        <w:ind w:left="-141" w:leftChars="-67" w:right="480"/>
        <w:jc w:val="left"/>
        <w:rPr>
          <w:rFonts w:hAnsi="宋体"/>
          <w:color w:val="000000" w:themeColor="text1"/>
          <w14:textFill>
            <w14:solidFill>
              <w14:schemeClr w14:val="tx1"/>
            </w14:solidFill>
          </w14:textFill>
        </w:rPr>
      </w:pPr>
    </w:p>
    <w:p>
      <w:pPr>
        <w:jc w:val="left"/>
        <w:rPr>
          <w:rFonts w:ascii="宋体"/>
          <w:color w:val="000000" w:themeColor="text1"/>
          <w:w w:val="90"/>
          <w:sz w:val="32"/>
          <w:szCs w:val="32"/>
          <w14:textFill>
            <w14:solidFill>
              <w14:schemeClr w14:val="tx1"/>
            </w14:solidFill>
          </w14:textFill>
        </w:rPr>
      </w:pPr>
    </w:p>
    <w:p>
      <w:pPr>
        <w:jc w:val="left"/>
        <w:rPr>
          <w:rFonts w:ascii="宋体"/>
          <w:color w:val="000000" w:themeColor="text1"/>
          <w:w w:val="90"/>
          <w:sz w:val="32"/>
          <w:szCs w:val="32"/>
          <w14:textFill>
            <w14:solidFill>
              <w14:schemeClr w14:val="tx1"/>
            </w14:solidFill>
          </w14:textFill>
        </w:rPr>
      </w:pPr>
    </w:p>
    <w:p>
      <w:pPr>
        <w:jc w:val="left"/>
        <w:rPr>
          <w:rFonts w:ascii="宋体"/>
          <w:color w:val="000000" w:themeColor="text1"/>
          <w:w w:val="90"/>
          <w:sz w:val="32"/>
          <w:szCs w:val="32"/>
          <w14:textFill>
            <w14:solidFill>
              <w14:schemeClr w14:val="tx1"/>
            </w14:solidFill>
          </w14:textFill>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Cambria">
    <w:altName w:val="Segoe Print"/>
    <w:panose1 w:val="02040503050406030204"/>
    <w:charset w:val="00"/>
    <w:family w:val="roman"/>
    <w:pitch w:val="default"/>
    <w:sig w:usb0="00000000" w:usb1="00000000" w:usb2="02000000" w:usb3="00000000" w:csb0="2000019F" w:csb1="00000000"/>
  </w:font>
  <w:font w:name="方正小标宋简体">
    <w:altName w:val="黑体"/>
    <w:panose1 w:val="03000509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Dotum">
    <w:altName w:val="Times New Roman"/>
    <w:panose1 w:val="020B0600000101010101"/>
    <w:charset w:val="81"/>
    <w:family w:val="modern"/>
    <w:pitch w:val="default"/>
    <w:sig w:usb0="00000000" w:usb1="00000000" w:usb2="00000010" w:usb3="00000000" w:csb0="0008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56192" behindDoc="0" locked="0" layoutInCell="1" allowOverlap="1">
              <wp:simplePos x="0" y="0"/>
              <wp:positionH relativeFrom="margin">
                <wp:align>right</wp:align>
              </wp:positionH>
              <wp:positionV relativeFrom="paragraph">
                <wp:posOffset>0</wp:posOffset>
              </wp:positionV>
              <wp:extent cx="57785" cy="131445"/>
              <wp:effectExtent l="0" t="0" r="0" b="0"/>
              <wp:wrapNone/>
              <wp:docPr id="8"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6" o:spid="_x0000_s1026" o:spt="202" type="#_x0000_t202" style="position:absolute;left:0pt;margin-top:0pt;height:10.35pt;width:4.55pt;mso-position-horizontal:right;mso-position-horizontal-relative:margin;mso-wrap-style:none;z-index:25165619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g0G0EAIAABAEAAAOAAAAAAAAAAEAIAAA&#10;AB8BAABkcnMvZTJvRG9jLnhtbFBLBQYAAAAABgAGAFkBAAChBQAAAAA=&#10;">
              <v:fill on="f" focussize="0,0"/>
              <v:stroke on="f"/>
              <v:imagedata o:title=""/>
              <o:lock v:ext="edit" aspectratio="f"/>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mc:Fallback>
      </mc:AlternateContent>
    </w:r>
  </w:p>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57785" cy="131445"/>
              <wp:effectExtent l="0" t="0" r="0" b="0"/>
              <wp:wrapNone/>
              <wp:docPr id="15"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6</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7" o:spid="_x0000_s1026" o:spt="202" type="#_x0000_t202" style="position:absolute;left:0pt;margin-top:0pt;height:10.35pt;width:4.55pt;mso-position-horizontal:right;mso-position-horizontal-relative:margin;mso-wrap-style:none;z-index:25166131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BWuFWDEAIAABEEAAAOAAAAAAAAAAEAIAAA&#10;AB8BAABkcnMvZTJvRG9jLnhtbFBLBQYAAAAABgAGAFkBAAChBQAAAAA=&#10;">
              <v:fill on="f" focussize="0,0"/>
              <v:stroke on="f"/>
              <v:imagedata o:title=""/>
              <o:lock v:ext="edit" aspectratio="f"/>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6</w:t>
                    </w:r>
                    <w:r>
                      <w:rPr>
                        <w:lang w:val="zh-CN"/>
                      </w:rPr>
                      <w:fldChar w:fldCharType="end"/>
                    </w:r>
                  </w:p>
                </w:txbxContent>
              </v:textbox>
            </v:shape>
          </w:pict>
        </mc:Fallback>
      </mc:AlternateConten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14935" cy="131445"/>
              <wp:effectExtent l="0" t="0" r="0" b="0"/>
              <wp:wrapNone/>
              <wp:docPr id="9"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24</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8" o:spid="_x0000_s1026" o:spt="202" type="#_x0000_t202" style="position:absolute;left:0pt;margin-top:0pt;height:10.35pt;width:9.05pt;mso-position-horizontal:right;mso-position-horizontal-relative:margin;mso-wrap-style:none;z-index:25165824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GB9R3EAIAABEEAAAOAAAAAAAAAAEAIAAA&#10;AB8BAABkcnMvZTJvRG9jLnhtbFBLBQYAAAAABgAGAFkBAAChBQAAAAA=&#10;">
              <v:fill on="f" focussize="0,0"/>
              <v:stroke on="f"/>
              <v:imagedata o:title=""/>
              <o:lock v:ext="edit" aspectratio="f"/>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24</w:t>
                    </w:r>
                    <w:r>
                      <w:rPr>
                        <w:lang w:val="zh-CN"/>
                      </w:rPr>
                      <w:fldChar w:fldCharType="end"/>
                    </w:r>
                  </w:p>
                </w:txbxContent>
              </v:textbox>
            </v:shape>
          </w:pict>
        </mc:Fallback>
      </mc:AlternateConten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14935" cy="131445"/>
              <wp:effectExtent l="0" t="0" r="0" b="0"/>
              <wp:wrapNone/>
              <wp:docPr id="14"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6"/>
                          </w:pPr>
                          <w:r>
                            <w:fldChar w:fldCharType="begin"/>
                          </w:r>
                          <w:r>
                            <w:instrText xml:space="preserve"> PAGE  \* MERGEFORMAT </w:instrText>
                          </w:r>
                          <w:r>
                            <w:fldChar w:fldCharType="separate"/>
                          </w:r>
                          <w:r>
                            <w:t>49</w:t>
                          </w:r>
                          <w:r>
                            <w:fldChar w:fldCharType="end"/>
                          </w:r>
                        </w:p>
                      </w:txbxContent>
                    </wps:txbx>
                    <wps:bodyPr rot="0" vert="horz" wrap="none" lIns="0" tIns="0" rIns="0" bIns="0" anchor="t" anchorCtr="0" upright="1">
                      <a:spAutoFit/>
                    </wps:bodyPr>
                  </wps:wsp>
                </a:graphicData>
              </a:graphic>
            </wp:anchor>
          </w:drawing>
        </mc:Choice>
        <mc:Fallback>
          <w:pict>
            <v:shape id="文本框 19" o:spid="_x0000_s1026" o:spt="202" type="#_x0000_t202" style="position:absolute;left:0pt;margin-top:0pt;height:10.35pt;width:9.05pt;mso-position-horizontal:right;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nOO6vEAIAABIEAAAOAAAAAAAAAAEAIAAA&#10;AB8BAABkcnMvZTJvRG9jLnhtbFBLBQYAAAAABgAGAFkBAACh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49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1EC776F7"/>
    <w:multiLevelType w:val="multilevel"/>
    <w:tmpl w:val="1EC776F7"/>
    <w:lvl w:ilvl="0" w:tentative="0">
      <w:start w:val="1"/>
      <w:numFmt w:val="japaneseCounting"/>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D7D"/>
    <w:rsid w:val="00005CB8"/>
    <w:rsid w:val="0001446D"/>
    <w:rsid w:val="0001456E"/>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230A"/>
    <w:rsid w:val="000A26D3"/>
    <w:rsid w:val="000A5F2E"/>
    <w:rsid w:val="000B272F"/>
    <w:rsid w:val="000B3325"/>
    <w:rsid w:val="000B3D29"/>
    <w:rsid w:val="000C512D"/>
    <w:rsid w:val="000D17E6"/>
    <w:rsid w:val="000D28F8"/>
    <w:rsid w:val="000D3955"/>
    <w:rsid w:val="000E3493"/>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13CB"/>
    <w:rsid w:val="00171736"/>
    <w:rsid w:val="00176BEE"/>
    <w:rsid w:val="00177F59"/>
    <w:rsid w:val="00182674"/>
    <w:rsid w:val="001849B2"/>
    <w:rsid w:val="0019277E"/>
    <w:rsid w:val="001927B6"/>
    <w:rsid w:val="00192F08"/>
    <w:rsid w:val="001972E9"/>
    <w:rsid w:val="00197CCD"/>
    <w:rsid w:val="001A20DE"/>
    <w:rsid w:val="001B1530"/>
    <w:rsid w:val="001B25BB"/>
    <w:rsid w:val="001B3C9A"/>
    <w:rsid w:val="001B6B40"/>
    <w:rsid w:val="001C0C0A"/>
    <w:rsid w:val="001C0F29"/>
    <w:rsid w:val="001C3A38"/>
    <w:rsid w:val="001C43DD"/>
    <w:rsid w:val="001C7DA8"/>
    <w:rsid w:val="001D1C4D"/>
    <w:rsid w:val="001D3F39"/>
    <w:rsid w:val="001D7321"/>
    <w:rsid w:val="001E62A7"/>
    <w:rsid w:val="001E7746"/>
    <w:rsid w:val="001F03A5"/>
    <w:rsid w:val="001F0745"/>
    <w:rsid w:val="001F1022"/>
    <w:rsid w:val="001F207D"/>
    <w:rsid w:val="001F3381"/>
    <w:rsid w:val="001F3CAE"/>
    <w:rsid w:val="001F53E4"/>
    <w:rsid w:val="00202093"/>
    <w:rsid w:val="00203818"/>
    <w:rsid w:val="002043D0"/>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72B3"/>
    <w:rsid w:val="00243717"/>
    <w:rsid w:val="00253807"/>
    <w:rsid w:val="0025569D"/>
    <w:rsid w:val="00256765"/>
    <w:rsid w:val="00260DEB"/>
    <w:rsid w:val="00265FCB"/>
    <w:rsid w:val="00270033"/>
    <w:rsid w:val="00271597"/>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41B1"/>
    <w:rsid w:val="002D7C12"/>
    <w:rsid w:val="002E2DC6"/>
    <w:rsid w:val="002E40B4"/>
    <w:rsid w:val="002E6E46"/>
    <w:rsid w:val="002F3378"/>
    <w:rsid w:val="002F3788"/>
    <w:rsid w:val="003026FD"/>
    <w:rsid w:val="003055EA"/>
    <w:rsid w:val="00310264"/>
    <w:rsid w:val="00311336"/>
    <w:rsid w:val="003235F6"/>
    <w:rsid w:val="00324175"/>
    <w:rsid w:val="00327996"/>
    <w:rsid w:val="00330403"/>
    <w:rsid w:val="0033062A"/>
    <w:rsid w:val="003349CC"/>
    <w:rsid w:val="0034122B"/>
    <w:rsid w:val="0034334B"/>
    <w:rsid w:val="003509FA"/>
    <w:rsid w:val="00356351"/>
    <w:rsid w:val="00357146"/>
    <w:rsid w:val="00362478"/>
    <w:rsid w:val="00362C25"/>
    <w:rsid w:val="00364A66"/>
    <w:rsid w:val="00366006"/>
    <w:rsid w:val="0036696E"/>
    <w:rsid w:val="0037094F"/>
    <w:rsid w:val="00372A5B"/>
    <w:rsid w:val="003807EA"/>
    <w:rsid w:val="00381A67"/>
    <w:rsid w:val="00381D7D"/>
    <w:rsid w:val="0038397F"/>
    <w:rsid w:val="00383D67"/>
    <w:rsid w:val="00384828"/>
    <w:rsid w:val="003865B1"/>
    <w:rsid w:val="003878D6"/>
    <w:rsid w:val="00387A36"/>
    <w:rsid w:val="0039354C"/>
    <w:rsid w:val="003958D5"/>
    <w:rsid w:val="00396103"/>
    <w:rsid w:val="00396F3F"/>
    <w:rsid w:val="00397C01"/>
    <w:rsid w:val="003A0A02"/>
    <w:rsid w:val="003A0D10"/>
    <w:rsid w:val="003A2D99"/>
    <w:rsid w:val="003B1DDA"/>
    <w:rsid w:val="003B4F54"/>
    <w:rsid w:val="003C36E9"/>
    <w:rsid w:val="003C3B99"/>
    <w:rsid w:val="003C4FC2"/>
    <w:rsid w:val="003C5F96"/>
    <w:rsid w:val="003D45E8"/>
    <w:rsid w:val="003D6ADC"/>
    <w:rsid w:val="003D7E6D"/>
    <w:rsid w:val="003E59A8"/>
    <w:rsid w:val="003E5D4C"/>
    <w:rsid w:val="003E78F8"/>
    <w:rsid w:val="003F0CB9"/>
    <w:rsid w:val="003F7096"/>
    <w:rsid w:val="00403F5C"/>
    <w:rsid w:val="00404620"/>
    <w:rsid w:val="004051A9"/>
    <w:rsid w:val="004053CC"/>
    <w:rsid w:val="00411519"/>
    <w:rsid w:val="00413AE8"/>
    <w:rsid w:val="00415951"/>
    <w:rsid w:val="004173EA"/>
    <w:rsid w:val="00417927"/>
    <w:rsid w:val="00420668"/>
    <w:rsid w:val="004243A2"/>
    <w:rsid w:val="004252F2"/>
    <w:rsid w:val="00426100"/>
    <w:rsid w:val="00434234"/>
    <w:rsid w:val="00437E6F"/>
    <w:rsid w:val="00445175"/>
    <w:rsid w:val="00447C97"/>
    <w:rsid w:val="00447DE7"/>
    <w:rsid w:val="00453F39"/>
    <w:rsid w:val="00454B2E"/>
    <w:rsid w:val="00457421"/>
    <w:rsid w:val="0046082D"/>
    <w:rsid w:val="0046186E"/>
    <w:rsid w:val="00461FAB"/>
    <w:rsid w:val="00465846"/>
    <w:rsid w:val="0046770E"/>
    <w:rsid w:val="00467912"/>
    <w:rsid w:val="00473DBF"/>
    <w:rsid w:val="004742E7"/>
    <w:rsid w:val="00476150"/>
    <w:rsid w:val="00476358"/>
    <w:rsid w:val="00483A0F"/>
    <w:rsid w:val="004851CE"/>
    <w:rsid w:val="004935C4"/>
    <w:rsid w:val="004A0672"/>
    <w:rsid w:val="004A1B6A"/>
    <w:rsid w:val="004A29A7"/>
    <w:rsid w:val="004A39A5"/>
    <w:rsid w:val="004B0B4C"/>
    <w:rsid w:val="004B41A6"/>
    <w:rsid w:val="004B5459"/>
    <w:rsid w:val="004B5F1C"/>
    <w:rsid w:val="004B7005"/>
    <w:rsid w:val="004B7400"/>
    <w:rsid w:val="004C0748"/>
    <w:rsid w:val="004C1A60"/>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485"/>
    <w:rsid w:val="00511D32"/>
    <w:rsid w:val="0051204E"/>
    <w:rsid w:val="0051287F"/>
    <w:rsid w:val="00514998"/>
    <w:rsid w:val="0052113C"/>
    <w:rsid w:val="00523EAD"/>
    <w:rsid w:val="00524E38"/>
    <w:rsid w:val="005308EF"/>
    <w:rsid w:val="00530B1F"/>
    <w:rsid w:val="00533D25"/>
    <w:rsid w:val="005348A9"/>
    <w:rsid w:val="00536417"/>
    <w:rsid w:val="00554A0F"/>
    <w:rsid w:val="00555FE0"/>
    <w:rsid w:val="00563CCD"/>
    <w:rsid w:val="0057687B"/>
    <w:rsid w:val="00577714"/>
    <w:rsid w:val="00580358"/>
    <w:rsid w:val="00580E05"/>
    <w:rsid w:val="005946D7"/>
    <w:rsid w:val="005963A4"/>
    <w:rsid w:val="00596871"/>
    <w:rsid w:val="005A0412"/>
    <w:rsid w:val="005A39E7"/>
    <w:rsid w:val="005A3A15"/>
    <w:rsid w:val="005A3BAE"/>
    <w:rsid w:val="005A4C2A"/>
    <w:rsid w:val="005A7F23"/>
    <w:rsid w:val="005B038C"/>
    <w:rsid w:val="005B2CBB"/>
    <w:rsid w:val="005B2EEF"/>
    <w:rsid w:val="005B7258"/>
    <w:rsid w:val="005C77E6"/>
    <w:rsid w:val="005D062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1B13"/>
    <w:rsid w:val="00601EA4"/>
    <w:rsid w:val="006072B2"/>
    <w:rsid w:val="00607C4B"/>
    <w:rsid w:val="00610EDC"/>
    <w:rsid w:val="00611265"/>
    <w:rsid w:val="00614130"/>
    <w:rsid w:val="006144F9"/>
    <w:rsid w:val="00616642"/>
    <w:rsid w:val="00616A5A"/>
    <w:rsid w:val="00617AA1"/>
    <w:rsid w:val="006216F0"/>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5AAD"/>
    <w:rsid w:val="0066625D"/>
    <w:rsid w:val="00671872"/>
    <w:rsid w:val="006746D5"/>
    <w:rsid w:val="00690289"/>
    <w:rsid w:val="0069191F"/>
    <w:rsid w:val="00691AAD"/>
    <w:rsid w:val="00697A08"/>
    <w:rsid w:val="006A35D3"/>
    <w:rsid w:val="006A3807"/>
    <w:rsid w:val="006A4F5F"/>
    <w:rsid w:val="006A6687"/>
    <w:rsid w:val="006A718E"/>
    <w:rsid w:val="006B079A"/>
    <w:rsid w:val="006B1277"/>
    <w:rsid w:val="006B2DF6"/>
    <w:rsid w:val="006B4991"/>
    <w:rsid w:val="006B54CB"/>
    <w:rsid w:val="006B6F97"/>
    <w:rsid w:val="006B76F7"/>
    <w:rsid w:val="006C0987"/>
    <w:rsid w:val="006C336D"/>
    <w:rsid w:val="006C5540"/>
    <w:rsid w:val="006C58F0"/>
    <w:rsid w:val="006D58D2"/>
    <w:rsid w:val="006E3F71"/>
    <w:rsid w:val="006E4100"/>
    <w:rsid w:val="006E462A"/>
    <w:rsid w:val="006E4D01"/>
    <w:rsid w:val="006E6F1A"/>
    <w:rsid w:val="006F0FC4"/>
    <w:rsid w:val="00705DD8"/>
    <w:rsid w:val="007070A8"/>
    <w:rsid w:val="00713E08"/>
    <w:rsid w:val="00721ECA"/>
    <w:rsid w:val="007241C8"/>
    <w:rsid w:val="00734FE1"/>
    <w:rsid w:val="00736E1D"/>
    <w:rsid w:val="00741212"/>
    <w:rsid w:val="0074570F"/>
    <w:rsid w:val="00745DAF"/>
    <w:rsid w:val="00746AE7"/>
    <w:rsid w:val="00747AFB"/>
    <w:rsid w:val="00750647"/>
    <w:rsid w:val="00754D53"/>
    <w:rsid w:val="007575F2"/>
    <w:rsid w:val="00757855"/>
    <w:rsid w:val="0077022B"/>
    <w:rsid w:val="00781EAD"/>
    <w:rsid w:val="00786746"/>
    <w:rsid w:val="00786963"/>
    <w:rsid w:val="007933DA"/>
    <w:rsid w:val="00796228"/>
    <w:rsid w:val="00796BCF"/>
    <w:rsid w:val="007A25EF"/>
    <w:rsid w:val="007A4F2F"/>
    <w:rsid w:val="007A61CF"/>
    <w:rsid w:val="007B0ECF"/>
    <w:rsid w:val="007B4CD9"/>
    <w:rsid w:val="007C083D"/>
    <w:rsid w:val="007C0910"/>
    <w:rsid w:val="007C1CC7"/>
    <w:rsid w:val="007C2D9D"/>
    <w:rsid w:val="007C545F"/>
    <w:rsid w:val="007C7D14"/>
    <w:rsid w:val="007D2A4D"/>
    <w:rsid w:val="007D3752"/>
    <w:rsid w:val="007D5974"/>
    <w:rsid w:val="007F2305"/>
    <w:rsid w:val="007F2568"/>
    <w:rsid w:val="00804172"/>
    <w:rsid w:val="0080624C"/>
    <w:rsid w:val="00811EF7"/>
    <w:rsid w:val="0081446E"/>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676D"/>
    <w:rsid w:val="00897D2E"/>
    <w:rsid w:val="008A124F"/>
    <w:rsid w:val="008A24D1"/>
    <w:rsid w:val="008A5BFF"/>
    <w:rsid w:val="008A5C9E"/>
    <w:rsid w:val="008A5F24"/>
    <w:rsid w:val="008A6AB4"/>
    <w:rsid w:val="008B0DDE"/>
    <w:rsid w:val="008B261E"/>
    <w:rsid w:val="008B4CA0"/>
    <w:rsid w:val="008C1D25"/>
    <w:rsid w:val="008C3B9B"/>
    <w:rsid w:val="008C4B3C"/>
    <w:rsid w:val="008C7754"/>
    <w:rsid w:val="008D0522"/>
    <w:rsid w:val="008D0E33"/>
    <w:rsid w:val="008D109B"/>
    <w:rsid w:val="008D1470"/>
    <w:rsid w:val="008D331A"/>
    <w:rsid w:val="008D3B54"/>
    <w:rsid w:val="008D79C1"/>
    <w:rsid w:val="008E53D0"/>
    <w:rsid w:val="008F0331"/>
    <w:rsid w:val="008F2775"/>
    <w:rsid w:val="008F7205"/>
    <w:rsid w:val="00904D15"/>
    <w:rsid w:val="00905C13"/>
    <w:rsid w:val="00906353"/>
    <w:rsid w:val="009116AC"/>
    <w:rsid w:val="009207C8"/>
    <w:rsid w:val="00921CF5"/>
    <w:rsid w:val="00921E02"/>
    <w:rsid w:val="0092224F"/>
    <w:rsid w:val="009244B6"/>
    <w:rsid w:val="0092591E"/>
    <w:rsid w:val="00937BC4"/>
    <w:rsid w:val="009453C1"/>
    <w:rsid w:val="00946FE0"/>
    <w:rsid w:val="00947BCF"/>
    <w:rsid w:val="00950D95"/>
    <w:rsid w:val="0095603D"/>
    <w:rsid w:val="0095642C"/>
    <w:rsid w:val="009605ED"/>
    <w:rsid w:val="00962E09"/>
    <w:rsid w:val="00963318"/>
    <w:rsid w:val="00964C8A"/>
    <w:rsid w:val="00965A46"/>
    <w:rsid w:val="00970555"/>
    <w:rsid w:val="0097220F"/>
    <w:rsid w:val="009823D2"/>
    <w:rsid w:val="009824F1"/>
    <w:rsid w:val="00987EF8"/>
    <w:rsid w:val="00990ECB"/>
    <w:rsid w:val="00991688"/>
    <w:rsid w:val="00993F29"/>
    <w:rsid w:val="00994A8D"/>
    <w:rsid w:val="009955F0"/>
    <w:rsid w:val="009A0DF1"/>
    <w:rsid w:val="009A1C61"/>
    <w:rsid w:val="009A6B81"/>
    <w:rsid w:val="009B3B2C"/>
    <w:rsid w:val="009B4BBA"/>
    <w:rsid w:val="009B56A4"/>
    <w:rsid w:val="009C010F"/>
    <w:rsid w:val="009C0BF9"/>
    <w:rsid w:val="009C3A17"/>
    <w:rsid w:val="009C5366"/>
    <w:rsid w:val="009D7829"/>
    <w:rsid w:val="009E21FF"/>
    <w:rsid w:val="009E2EDB"/>
    <w:rsid w:val="009E502E"/>
    <w:rsid w:val="009E78C7"/>
    <w:rsid w:val="009F0745"/>
    <w:rsid w:val="009F249F"/>
    <w:rsid w:val="009F32EE"/>
    <w:rsid w:val="009F35C6"/>
    <w:rsid w:val="009F3F08"/>
    <w:rsid w:val="009F5BFB"/>
    <w:rsid w:val="009F740F"/>
    <w:rsid w:val="00A00BCC"/>
    <w:rsid w:val="00A012DE"/>
    <w:rsid w:val="00A04FDF"/>
    <w:rsid w:val="00A0561C"/>
    <w:rsid w:val="00A104B8"/>
    <w:rsid w:val="00A12205"/>
    <w:rsid w:val="00A127E5"/>
    <w:rsid w:val="00A169A8"/>
    <w:rsid w:val="00A21B04"/>
    <w:rsid w:val="00A23C18"/>
    <w:rsid w:val="00A33953"/>
    <w:rsid w:val="00A34857"/>
    <w:rsid w:val="00A41050"/>
    <w:rsid w:val="00A459F9"/>
    <w:rsid w:val="00A45ACA"/>
    <w:rsid w:val="00A469BB"/>
    <w:rsid w:val="00A56A0A"/>
    <w:rsid w:val="00A56CFB"/>
    <w:rsid w:val="00A575CA"/>
    <w:rsid w:val="00A57825"/>
    <w:rsid w:val="00A71758"/>
    <w:rsid w:val="00A72A79"/>
    <w:rsid w:val="00A74F29"/>
    <w:rsid w:val="00A76546"/>
    <w:rsid w:val="00A81454"/>
    <w:rsid w:val="00A82414"/>
    <w:rsid w:val="00A87045"/>
    <w:rsid w:val="00A9398B"/>
    <w:rsid w:val="00A9578E"/>
    <w:rsid w:val="00A95A39"/>
    <w:rsid w:val="00A95ADC"/>
    <w:rsid w:val="00A96098"/>
    <w:rsid w:val="00A96370"/>
    <w:rsid w:val="00A97109"/>
    <w:rsid w:val="00AA1989"/>
    <w:rsid w:val="00AA1C15"/>
    <w:rsid w:val="00AA242A"/>
    <w:rsid w:val="00AA3FA9"/>
    <w:rsid w:val="00AA4032"/>
    <w:rsid w:val="00AA493D"/>
    <w:rsid w:val="00AA7696"/>
    <w:rsid w:val="00AB1099"/>
    <w:rsid w:val="00AB68BC"/>
    <w:rsid w:val="00AB7F39"/>
    <w:rsid w:val="00AC1AF4"/>
    <w:rsid w:val="00AC1C3A"/>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228FE"/>
    <w:rsid w:val="00B35EF3"/>
    <w:rsid w:val="00B409CB"/>
    <w:rsid w:val="00B40AC7"/>
    <w:rsid w:val="00B4222B"/>
    <w:rsid w:val="00B44699"/>
    <w:rsid w:val="00B44FE8"/>
    <w:rsid w:val="00B47BA0"/>
    <w:rsid w:val="00B50B2D"/>
    <w:rsid w:val="00B53000"/>
    <w:rsid w:val="00B53020"/>
    <w:rsid w:val="00B53911"/>
    <w:rsid w:val="00B5486C"/>
    <w:rsid w:val="00B62E69"/>
    <w:rsid w:val="00B64C4C"/>
    <w:rsid w:val="00B7283A"/>
    <w:rsid w:val="00B733D7"/>
    <w:rsid w:val="00B738FB"/>
    <w:rsid w:val="00B76519"/>
    <w:rsid w:val="00B77DD4"/>
    <w:rsid w:val="00B80355"/>
    <w:rsid w:val="00B922C1"/>
    <w:rsid w:val="00B949A2"/>
    <w:rsid w:val="00B97469"/>
    <w:rsid w:val="00BA026F"/>
    <w:rsid w:val="00BB0038"/>
    <w:rsid w:val="00BB371C"/>
    <w:rsid w:val="00BB54F9"/>
    <w:rsid w:val="00BB55DA"/>
    <w:rsid w:val="00BC0563"/>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63AB"/>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6EE8"/>
    <w:rsid w:val="00C616C5"/>
    <w:rsid w:val="00C636B6"/>
    <w:rsid w:val="00C672B5"/>
    <w:rsid w:val="00C7096B"/>
    <w:rsid w:val="00C7517C"/>
    <w:rsid w:val="00C7582F"/>
    <w:rsid w:val="00C75D92"/>
    <w:rsid w:val="00C76511"/>
    <w:rsid w:val="00C842D1"/>
    <w:rsid w:val="00C85C75"/>
    <w:rsid w:val="00C87A9A"/>
    <w:rsid w:val="00C94633"/>
    <w:rsid w:val="00C95338"/>
    <w:rsid w:val="00C9774E"/>
    <w:rsid w:val="00CA0BE6"/>
    <w:rsid w:val="00CA15BD"/>
    <w:rsid w:val="00CA18AF"/>
    <w:rsid w:val="00CA2135"/>
    <w:rsid w:val="00CB1156"/>
    <w:rsid w:val="00CC1A44"/>
    <w:rsid w:val="00CC28C8"/>
    <w:rsid w:val="00CC4CC1"/>
    <w:rsid w:val="00CC62FF"/>
    <w:rsid w:val="00CC6EB2"/>
    <w:rsid w:val="00CD3DB7"/>
    <w:rsid w:val="00CE00D6"/>
    <w:rsid w:val="00CE28C5"/>
    <w:rsid w:val="00CE4A09"/>
    <w:rsid w:val="00CE61B2"/>
    <w:rsid w:val="00CE6C09"/>
    <w:rsid w:val="00CF24CB"/>
    <w:rsid w:val="00CF5254"/>
    <w:rsid w:val="00D027AD"/>
    <w:rsid w:val="00D02A5E"/>
    <w:rsid w:val="00D033D6"/>
    <w:rsid w:val="00D04275"/>
    <w:rsid w:val="00D07BFC"/>
    <w:rsid w:val="00D16877"/>
    <w:rsid w:val="00D2163E"/>
    <w:rsid w:val="00D21B59"/>
    <w:rsid w:val="00D34BFE"/>
    <w:rsid w:val="00D37EFE"/>
    <w:rsid w:val="00D502DD"/>
    <w:rsid w:val="00D54BD2"/>
    <w:rsid w:val="00D61FE4"/>
    <w:rsid w:val="00D6514B"/>
    <w:rsid w:val="00D65217"/>
    <w:rsid w:val="00D71F65"/>
    <w:rsid w:val="00D724A2"/>
    <w:rsid w:val="00D728BF"/>
    <w:rsid w:val="00D731EF"/>
    <w:rsid w:val="00D73D5C"/>
    <w:rsid w:val="00D74E83"/>
    <w:rsid w:val="00D75282"/>
    <w:rsid w:val="00D75534"/>
    <w:rsid w:val="00D81510"/>
    <w:rsid w:val="00D827EB"/>
    <w:rsid w:val="00D8565B"/>
    <w:rsid w:val="00D859E6"/>
    <w:rsid w:val="00D902F6"/>
    <w:rsid w:val="00D9643B"/>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5170"/>
    <w:rsid w:val="00DF65D3"/>
    <w:rsid w:val="00E15713"/>
    <w:rsid w:val="00E15DD9"/>
    <w:rsid w:val="00E17607"/>
    <w:rsid w:val="00E229C4"/>
    <w:rsid w:val="00E32FA9"/>
    <w:rsid w:val="00E35121"/>
    <w:rsid w:val="00E366C7"/>
    <w:rsid w:val="00E36781"/>
    <w:rsid w:val="00E41CF0"/>
    <w:rsid w:val="00E42045"/>
    <w:rsid w:val="00E4311B"/>
    <w:rsid w:val="00E467BA"/>
    <w:rsid w:val="00E4752B"/>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7CA6"/>
    <w:rsid w:val="00EC0B3D"/>
    <w:rsid w:val="00EC1570"/>
    <w:rsid w:val="00EC3320"/>
    <w:rsid w:val="00ED3AC3"/>
    <w:rsid w:val="00ED4CC4"/>
    <w:rsid w:val="00ED4E76"/>
    <w:rsid w:val="00ED6307"/>
    <w:rsid w:val="00ED6BDE"/>
    <w:rsid w:val="00ED7FA5"/>
    <w:rsid w:val="00EE1AF2"/>
    <w:rsid w:val="00EE445A"/>
    <w:rsid w:val="00EE503F"/>
    <w:rsid w:val="00EE5414"/>
    <w:rsid w:val="00EF0BF7"/>
    <w:rsid w:val="00EF778C"/>
    <w:rsid w:val="00F00A4C"/>
    <w:rsid w:val="00F02FD2"/>
    <w:rsid w:val="00F03066"/>
    <w:rsid w:val="00F069E9"/>
    <w:rsid w:val="00F10224"/>
    <w:rsid w:val="00F10ADD"/>
    <w:rsid w:val="00F11623"/>
    <w:rsid w:val="00F1162F"/>
    <w:rsid w:val="00F14636"/>
    <w:rsid w:val="00F16AE0"/>
    <w:rsid w:val="00F334C0"/>
    <w:rsid w:val="00F375E2"/>
    <w:rsid w:val="00F522C4"/>
    <w:rsid w:val="00F56FC9"/>
    <w:rsid w:val="00F576BB"/>
    <w:rsid w:val="00F600BD"/>
    <w:rsid w:val="00F61870"/>
    <w:rsid w:val="00F638A7"/>
    <w:rsid w:val="00F6541D"/>
    <w:rsid w:val="00F65BAE"/>
    <w:rsid w:val="00F6767D"/>
    <w:rsid w:val="00F74BA6"/>
    <w:rsid w:val="00F77BA9"/>
    <w:rsid w:val="00F831BD"/>
    <w:rsid w:val="00F86296"/>
    <w:rsid w:val="00F871B6"/>
    <w:rsid w:val="00F92F5F"/>
    <w:rsid w:val="00F93AAF"/>
    <w:rsid w:val="00F94E1E"/>
    <w:rsid w:val="00F97C26"/>
    <w:rsid w:val="00FA15CE"/>
    <w:rsid w:val="00FA4D29"/>
    <w:rsid w:val="00FB0064"/>
    <w:rsid w:val="00FB0B96"/>
    <w:rsid w:val="00FB6B3E"/>
    <w:rsid w:val="00FC5906"/>
    <w:rsid w:val="00FD0152"/>
    <w:rsid w:val="00FD17E6"/>
    <w:rsid w:val="00FD19A5"/>
    <w:rsid w:val="00FD268D"/>
    <w:rsid w:val="00FD3163"/>
    <w:rsid w:val="00FD3832"/>
    <w:rsid w:val="00FD68AF"/>
    <w:rsid w:val="00FE0D35"/>
    <w:rsid w:val="00FE153F"/>
    <w:rsid w:val="00FE5D43"/>
    <w:rsid w:val="00FE7476"/>
    <w:rsid w:val="00FF0451"/>
    <w:rsid w:val="00FF17A3"/>
    <w:rsid w:val="00FF3B64"/>
    <w:rsid w:val="029972DE"/>
    <w:rsid w:val="03AA19C7"/>
    <w:rsid w:val="03B74AF0"/>
    <w:rsid w:val="03DE645D"/>
    <w:rsid w:val="05E1083F"/>
    <w:rsid w:val="06FA7189"/>
    <w:rsid w:val="07C85206"/>
    <w:rsid w:val="09563133"/>
    <w:rsid w:val="0B1A4AB9"/>
    <w:rsid w:val="0C497608"/>
    <w:rsid w:val="0CD833D2"/>
    <w:rsid w:val="0E2D6DD1"/>
    <w:rsid w:val="0E5731F5"/>
    <w:rsid w:val="10C679D7"/>
    <w:rsid w:val="11797BE6"/>
    <w:rsid w:val="132F26C0"/>
    <w:rsid w:val="13ED13EF"/>
    <w:rsid w:val="14E16390"/>
    <w:rsid w:val="16801789"/>
    <w:rsid w:val="1DCF1CAD"/>
    <w:rsid w:val="1EAE1A51"/>
    <w:rsid w:val="202662CF"/>
    <w:rsid w:val="20C02E3B"/>
    <w:rsid w:val="20E5353A"/>
    <w:rsid w:val="21300BE1"/>
    <w:rsid w:val="21916B72"/>
    <w:rsid w:val="21AD621F"/>
    <w:rsid w:val="22B4258F"/>
    <w:rsid w:val="249F1FCC"/>
    <w:rsid w:val="250840B1"/>
    <w:rsid w:val="26AF0309"/>
    <w:rsid w:val="28AF3A48"/>
    <w:rsid w:val="2959300C"/>
    <w:rsid w:val="2DAB3E8A"/>
    <w:rsid w:val="2DFB7CF8"/>
    <w:rsid w:val="2F246B5F"/>
    <w:rsid w:val="2F3436B1"/>
    <w:rsid w:val="31070868"/>
    <w:rsid w:val="327B74C9"/>
    <w:rsid w:val="33853158"/>
    <w:rsid w:val="35D85810"/>
    <w:rsid w:val="365111B7"/>
    <w:rsid w:val="37DA4387"/>
    <w:rsid w:val="3B373BF0"/>
    <w:rsid w:val="3BF5424D"/>
    <w:rsid w:val="3CAC0CBC"/>
    <w:rsid w:val="3CED456F"/>
    <w:rsid w:val="3D1179C2"/>
    <w:rsid w:val="3DF86F11"/>
    <w:rsid w:val="3E4C593B"/>
    <w:rsid w:val="3E637C3C"/>
    <w:rsid w:val="3EB30628"/>
    <w:rsid w:val="44036F51"/>
    <w:rsid w:val="44336E6F"/>
    <w:rsid w:val="452C62DB"/>
    <w:rsid w:val="47EF2633"/>
    <w:rsid w:val="48000CA4"/>
    <w:rsid w:val="48C65B68"/>
    <w:rsid w:val="49862F88"/>
    <w:rsid w:val="49E179D3"/>
    <w:rsid w:val="4A3D01D8"/>
    <w:rsid w:val="4A985E05"/>
    <w:rsid w:val="4CBB71D4"/>
    <w:rsid w:val="4CC20504"/>
    <w:rsid w:val="4D692582"/>
    <w:rsid w:val="503B5814"/>
    <w:rsid w:val="507D52C1"/>
    <w:rsid w:val="51C06615"/>
    <w:rsid w:val="536415F1"/>
    <w:rsid w:val="544A2F78"/>
    <w:rsid w:val="55253541"/>
    <w:rsid w:val="55BA7C2C"/>
    <w:rsid w:val="55E81647"/>
    <w:rsid w:val="5F5C11C0"/>
    <w:rsid w:val="5FBF30CA"/>
    <w:rsid w:val="5FCD01EE"/>
    <w:rsid w:val="601B7A0C"/>
    <w:rsid w:val="62F8125D"/>
    <w:rsid w:val="64A518E4"/>
    <w:rsid w:val="67B25079"/>
    <w:rsid w:val="67ED50B4"/>
    <w:rsid w:val="687E1002"/>
    <w:rsid w:val="692D7E27"/>
    <w:rsid w:val="69784A22"/>
    <w:rsid w:val="72997548"/>
    <w:rsid w:val="745C561E"/>
    <w:rsid w:val="745D03BD"/>
    <w:rsid w:val="75493809"/>
    <w:rsid w:val="772C4780"/>
    <w:rsid w:val="7B0074E6"/>
    <w:rsid w:val="7B256E54"/>
    <w:rsid w:val="7B3D5FC0"/>
    <w:rsid w:val="7B5363E1"/>
    <w:rsid w:val="7BE65DC2"/>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nhideWhenUsed="0" w:uiPriority="99" w:semiHidden="0"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9"/>
    <w:pPr>
      <w:keepNext/>
      <w:keepLines/>
      <w:spacing w:before="340" w:after="330" w:line="559" w:lineRule="auto"/>
      <w:outlineLvl w:val="0"/>
    </w:pPr>
    <w:rPr>
      <w:rFonts w:eastAsia="华文中宋"/>
      <w:b/>
      <w:bCs/>
      <w:kern w:val="44"/>
      <w:sz w:val="44"/>
      <w:szCs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4">
    <w:name w:val="Plain Text"/>
    <w:basedOn w:val="1"/>
    <w:link w:val="26"/>
    <w:qFormat/>
    <w:uiPriority w:val="99"/>
    <w:rPr>
      <w:rFonts w:ascii="宋体" w:hAnsi="Courier New"/>
      <w:sz w:val="32"/>
      <w:szCs w:val="20"/>
    </w:rPr>
  </w:style>
  <w:style w:type="paragraph" w:styleId="5">
    <w:name w:val="Balloon Text"/>
    <w:basedOn w:val="1"/>
    <w:link w:val="20"/>
    <w:qFormat/>
    <w:uiPriority w:val="99"/>
    <w:rPr>
      <w:sz w:val="18"/>
      <w:szCs w:val="18"/>
    </w:rPr>
  </w:style>
  <w:style w:type="paragraph" w:styleId="6">
    <w:name w:val="footer"/>
    <w:basedOn w:val="1"/>
    <w:link w:val="21"/>
    <w:qFormat/>
    <w:uiPriority w:val="99"/>
    <w:pPr>
      <w:tabs>
        <w:tab w:val="center" w:pos="4153"/>
        <w:tab w:val="right" w:pos="8306"/>
      </w:tabs>
      <w:snapToGrid w:val="0"/>
      <w:jc w:val="left"/>
    </w:pPr>
    <w:rPr>
      <w:sz w:val="18"/>
      <w:szCs w:val="18"/>
    </w:rPr>
  </w:style>
  <w:style w:type="paragraph" w:styleId="7">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99"/>
    <w:pPr>
      <w:widowControl/>
      <w:spacing w:after="100" w:line="259" w:lineRule="auto"/>
      <w:jc w:val="left"/>
    </w:pPr>
    <w:rPr>
      <w:rFonts w:ascii="Calibri" w:hAnsi="Calibri"/>
      <w:kern w:val="0"/>
      <w:sz w:val="22"/>
      <w:szCs w:val="22"/>
    </w:rPr>
  </w:style>
  <w:style w:type="paragraph" w:styleId="9">
    <w:name w:val="Subtitle"/>
    <w:basedOn w:val="1"/>
    <w:next w:val="1"/>
    <w:link w:val="23"/>
    <w:qFormat/>
    <w:uiPriority w:val="99"/>
    <w:pPr>
      <w:spacing w:before="240" w:after="60" w:line="312" w:lineRule="auto"/>
      <w:jc w:val="center"/>
      <w:outlineLvl w:val="1"/>
    </w:pPr>
    <w:rPr>
      <w:rFonts w:ascii="Calibri" w:hAnsi="Calibri"/>
      <w:b/>
      <w:bCs/>
      <w:kern w:val="28"/>
      <w:sz w:val="32"/>
      <w:szCs w:val="32"/>
    </w:rPr>
  </w:style>
  <w:style w:type="paragraph" w:styleId="10">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24"/>
    <w:qFormat/>
    <w:uiPriority w:val="99"/>
    <w:pPr>
      <w:spacing w:before="240" w:after="60"/>
      <w:jc w:val="center"/>
      <w:outlineLvl w:val="0"/>
    </w:pPr>
    <w:rPr>
      <w:rFonts w:ascii="Cambria" w:hAnsi="Cambria" w:eastAsia="华文中宋"/>
      <w:b/>
      <w:bCs/>
      <w:sz w:val="36"/>
      <w:szCs w:val="32"/>
    </w:rPr>
  </w:style>
  <w:style w:type="character" w:styleId="15">
    <w:name w:val="page number"/>
    <w:qFormat/>
    <w:uiPriority w:val="99"/>
    <w:rPr>
      <w:rFonts w:cs="Times New Roman"/>
    </w:rPr>
  </w:style>
  <w:style w:type="character" w:styleId="16">
    <w:name w:val="FollowedHyperlink"/>
    <w:basedOn w:val="14"/>
    <w:semiHidden/>
    <w:unhideWhenUsed/>
    <w:qFormat/>
    <w:locked/>
    <w:uiPriority w:val="99"/>
    <w:rPr>
      <w:color w:val="333333"/>
      <w:u w:val="none"/>
    </w:rPr>
  </w:style>
  <w:style w:type="character" w:styleId="17">
    <w:name w:val="Hyperlink"/>
    <w:qFormat/>
    <w:uiPriority w:val="99"/>
    <w:rPr>
      <w:rFonts w:cs="Times New Roman"/>
      <w:color w:val="0000FF"/>
      <w:u w:val="single"/>
    </w:rPr>
  </w:style>
  <w:style w:type="character" w:customStyle="1" w:styleId="18">
    <w:name w:val="标题 1 Char"/>
    <w:link w:val="2"/>
    <w:qFormat/>
    <w:locked/>
    <w:uiPriority w:val="99"/>
    <w:rPr>
      <w:rFonts w:eastAsia="华文中宋" w:cs="Times New Roman"/>
      <w:b/>
      <w:bCs/>
      <w:kern w:val="44"/>
      <w:sz w:val="44"/>
      <w:szCs w:val="44"/>
    </w:rPr>
  </w:style>
  <w:style w:type="character" w:customStyle="1" w:styleId="19">
    <w:name w:val="Plain Text Char"/>
    <w:qFormat/>
    <w:locked/>
    <w:uiPriority w:val="99"/>
    <w:rPr>
      <w:rFonts w:ascii="宋体" w:hAnsi="Courier New" w:cs="Times New Roman"/>
      <w:kern w:val="2"/>
      <w:sz w:val="32"/>
    </w:rPr>
  </w:style>
  <w:style w:type="character" w:customStyle="1" w:styleId="20">
    <w:name w:val="批注框文本 Char"/>
    <w:link w:val="5"/>
    <w:qFormat/>
    <w:locked/>
    <w:uiPriority w:val="99"/>
    <w:rPr>
      <w:rFonts w:cs="Times New Roman"/>
      <w:kern w:val="2"/>
      <w:sz w:val="18"/>
      <w:szCs w:val="18"/>
    </w:rPr>
  </w:style>
  <w:style w:type="character" w:customStyle="1" w:styleId="21">
    <w:name w:val="页脚 Char"/>
    <w:link w:val="6"/>
    <w:qFormat/>
    <w:locked/>
    <w:uiPriority w:val="99"/>
    <w:rPr>
      <w:rFonts w:eastAsia="宋体" w:cs="Times New Roman"/>
      <w:kern w:val="2"/>
      <w:sz w:val="18"/>
      <w:lang w:val="en-US" w:eastAsia="zh-CN"/>
    </w:rPr>
  </w:style>
  <w:style w:type="character" w:customStyle="1" w:styleId="22">
    <w:name w:val="页眉 Char"/>
    <w:link w:val="7"/>
    <w:qFormat/>
    <w:locked/>
    <w:uiPriority w:val="99"/>
    <w:rPr>
      <w:rFonts w:eastAsia="宋体" w:cs="Times New Roman"/>
      <w:kern w:val="2"/>
      <w:sz w:val="18"/>
      <w:lang w:val="en-US" w:eastAsia="zh-CN"/>
    </w:rPr>
  </w:style>
  <w:style w:type="character" w:customStyle="1" w:styleId="23">
    <w:name w:val="副标题 Char"/>
    <w:link w:val="9"/>
    <w:qFormat/>
    <w:locked/>
    <w:uiPriority w:val="99"/>
    <w:rPr>
      <w:rFonts w:ascii="Calibri" w:hAnsi="Calibri" w:eastAsia="宋体" w:cs="Times New Roman"/>
      <w:b/>
      <w:bCs/>
      <w:kern w:val="28"/>
      <w:sz w:val="32"/>
      <w:szCs w:val="32"/>
    </w:rPr>
  </w:style>
  <w:style w:type="character" w:customStyle="1" w:styleId="24">
    <w:name w:val="标题 Char"/>
    <w:link w:val="12"/>
    <w:qFormat/>
    <w:locked/>
    <w:uiPriority w:val="99"/>
    <w:rPr>
      <w:rFonts w:ascii="Cambria" w:hAnsi="Cambria" w:eastAsia="华文中宋" w:cs="Times New Roman"/>
      <w:b/>
      <w:bCs/>
      <w:kern w:val="2"/>
      <w:sz w:val="32"/>
      <w:szCs w:val="32"/>
    </w:rPr>
  </w:style>
  <w:style w:type="paragraph" w:customStyle="1" w:styleId="25">
    <w:name w:val="p0"/>
    <w:basedOn w:val="1"/>
    <w:qFormat/>
    <w:uiPriority w:val="99"/>
    <w:pPr>
      <w:widowControl/>
      <w:spacing w:line="365" w:lineRule="atLeast"/>
      <w:ind w:left="1"/>
    </w:pPr>
    <w:rPr>
      <w:kern w:val="0"/>
      <w:sz w:val="20"/>
      <w:szCs w:val="20"/>
    </w:rPr>
  </w:style>
  <w:style w:type="character" w:customStyle="1" w:styleId="26">
    <w:name w:val="纯文本 Char"/>
    <w:link w:val="4"/>
    <w:semiHidden/>
    <w:qFormat/>
    <w:locked/>
    <w:uiPriority w:val="99"/>
    <w:rPr>
      <w:rFonts w:ascii="宋体" w:hAnsi="Courier New" w:cs="Courier New"/>
      <w:sz w:val="21"/>
      <w:szCs w:val="21"/>
    </w:rPr>
  </w:style>
  <w:style w:type="character" w:customStyle="1" w:styleId="27">
    <w:name w:val="纯文本 Char1"/>
    <w:qFormat/>
    <w:uiPriority w:val="99"/>
    <w:rPr>
      <w:rFonts w:ascii="宋体" w:hAnsi="Courier New" w:cs="Courier New"/>
      <w:kern w:val="2"/>
      <w:sz w:val="21"/>
      <w:szCs w:val="21"/>
    </w:rPr>
  </w:style>
  <w:style w:type="paragraph" w:customStyle="1" w:styleId="28">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2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40447C-2095-47EE-B46C-569CE2AC4B2B}">
  <ds:schemaRefs/>
</ds:datastoreItem>
</file>

<file path=docProps/app.xml><?xml version="1.0" encoding="utf-8"?>
<Properties xmlns="http://schemas.openxmlformats.org/officeDocument/2006/extended-properties" xmlns:vt="http://schemas.openxmlformats.org/officeDocument/2006/docPropsVTypes">
  <Template>Normal.dotm</Template>
  <Company>MSCD龙帝国技术社区 Htpp://Bbs.Mscode.Cc</Company>
  <Pages>49</Pages>
  <Words>3070</Words>
  <Characters>17504</Characters>
  <Lines>145</Lines>
  <Paragraphs>41</Paragraphs>
  <TotalTime>1</TotalTime>
  <ScaleCrop>false</ScaleCrop>
  <LinksUpToDate>false</LinksUpToDate>
  <CharactersWithSpaces>20533</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2020-12-30T07:35:00Z</dcterms:created>
  <dc:creator>Administrator</dc:creator>
  <cp:lastModifiedBy>NTKO</cp:lastModifiedBy>
  <cp:lastPrinted>2021-03-17T01:33:00Z</cp:lastPrinted>
  <dcterms:modified xsi:type="dcterms:W3CDTF">2021-03-17T07:22:13Z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