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853440</wp:posOffset>
                </wp:positionH>
                <wp:positionV relativeFrom="page">
                  <wp:posOffset>1583055</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微软雅黑" w:hAnsi="微软雅黑" w:eastAsia="微软雅黑" w:cs="微软雅黑"/>
                                <w:color w:val="000000" w:themeColor="text1"/>
                                <w:szCs w:val="21"/>
                                <w14:textFill>
                                  <w14:solidFill>
                                    <w14:schemeClr w14:val="tx1"/>
                                  </w14:solidFill>
                                </w14:textFill>
                              </w:rPr>
                              <w:t>DST(P)[2021]</w:t>
                            </w:r>
                            <w:r>
                              <w:rPr>
                                <w:rFonts w:hint="eastAsia" w:ascii="微软雅黑" w:hAnsi="微软雅黑" w:eastAsia="微软雅黑" w:cs="微软雅黑"/>
                                <w:color w:val="000000" w:themeColor="text1"/>
                                <w:szCs w:val="21"/>
                                <w14:textFill>
                                  <w14:solidFill>
                                    <w14:schemeClr w14:val="tx1"/>
                                  </w14:solidFill>
                                </w14:textFill>
                              </w:rPr>
                              <w:t>8</w:t>
                            </w:r>
                            <w:r>
                              <w:rPr>
                                <w:rFonts w:ascii="微软雅黑" w:hAnsi="微软雅黑" w:eastAsia="微软雅黑" w:cs="微软雅黑"/>
                                <w:color w:val="000000" w:themeColor="text1"/>
                                <w:szCs w:val="21"/>
                                <w14:textFill>
                                  <w14:solidFill>
                                    <w14:schemeClr w14:val="tx1"/>
                                  </w14:solidFill>
                                </w14:textFill>
                              </w:rPr>
                              <w:t>号</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67.2pt;margin-top:124.65pt;height:31.2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微软雅黑" w:hAnsi="微软雅黑" w:eastAsia="微软雅黑" w:cs="微软雅黑"/>
                          <w:color w:val="000000" w:themeColor="text1"/>
                          <w:szCs w:val="21"/>
                          <w14:textFill>
                            <w14:solidFill>
                              <w14:schemeClr w14:val="tx1"/>
                            </w14:solidFill>
                          </w14:textFill>
                        </w:rPr>
                        <w:t>DST(P)[2021]</w:t>
                      </w:r>
                      <w:r>
                        <w:rPr>
                          <w:rFonts w:hint="eastAsia" w:ascii="微软雅黑" w:hAnsi="微软雅黑" w:eastAsia="微软雅黑" w:cs="微软雅黑"/>
                          <w:color w:val="000000" w:themeColor="text1"/>
                          <w:szCs w:val="21"/>
                          <w14:textFill>
                            <w14:solidFill>
                              <w14:schemeClr w14:val="tx1"/>
                            </w14:solidFill>
                          </w14:textFill>
                        </w:rPr>
                        <w:t>8</w:t>
                      </w:r>
                      <w:r>
                        <w:rPr>
                          <w:rFonts w:ascii="微软雅黑" w:hAnsi="微软雅黑" w:eastAsia="微软雅黑" w:cs="微软雅黑"/>
                          <w:color w:val="000000" w:themeColor="text1"/>
                          <w:szCs w:val="21"/>
                          <w14:textFill>
                            <w14:solidFill>
                              <w14:schemeClr w14:val="tx1"/>
                            </w14:solidFill>
                          </w14:textFill>
                        </w:rPr>
                        <w:t>号</w:t>
                      </w:r>
                    </w:p>
                    <w:p>
                      <w:pPr>
                        <w:snapToGrid w:val="0"/>
                        <w:spacing w:line="289" w:lineRule="atLeast"/>
                      </w:pPr>
                    </w:p>
                    <w:p>
                      <w:pPr>
                        <w:snapToGrid w:val="0"/>
                        <w:spacing w:line="538" w:lineRule="atLeast"/>
                      </w:pPr>
                    </w:p>
                    <w:p/>
                  </w:txbxContent>
                </v:textbox>
              </v:shape>
            </w:pict>
          </mc:Fallback>
        </mc:AlternateContent>
      </w:r>
    </w:p>
    <w:p>
      <w:pPr>
        <w:jc w:val="left"/>
        <w:rPr>
          <w:color w:val="000000" w:themeColor="text1"/>
          <w:sz w:val="44"/>
          <w14:textFill>
            <w14:solidFill>
              <w14:schemeClr w14:val="tx1"/>
            </w14:solidFill>
          </w14:textFill>
        </w:rPr>
      </w:pPr>
    </w:p>
    <w:p>
      <w:pPr>
        <w:ind w:left="273" w:hanging="260" w:hangingChars="50"/>
        <w:jc w:val="center"/>
        <w:rPr>
          <w:rFonts w:hint="eastAsia" w:ascii="方正小标宋简体" w:hAnsi="微软雅黑" w:eastAsia="方正小标宋简体"/>
          <w:sz w:val="52"/>
          <w:szCs w:val="52"/>
        </w:rPr>
      </w:pPr>
      <w:r>
        <w:rPr>
          <w:rFonts w:hint="eastAsia" w:ascii="方正小标宋简体" w:hAnsi="微软雅黑" w:eastAsia="方正小标宋简体"/>
          <w:sz w:val="52"/>
          <w:szCs w:val="52"/>
        </w:rPr>
        <w:t>通川区环城路沿线片区01-A-03-10</w:t>
      </w:r>
    </w:p>
    <w:p>
      <w:pPr>
        <w:ind w:left="273" w:hanging="260" w:hangingChars="50"/>
        <w:jc w:val="center"/>
        <w:rPr>
          <w:rFonts w:hint="eastAsia" w:ascii="方正小标宋简体" w:hAnsi="微软雅黑" w:eastAsia="方正小标宋简体"/>
          <w:color w:val="000000" w:themeColor="text1"/>
          <w:sz w:val="52"/>
          <w:szCs w:val="52"/>
          <w14:textFill>
            <w14:solidFill>
              <w14:schemeClr w14:val="tx1"/>
            </w14:solidFill>
          </w14:textFill>
        </w:rPr>
      </w:pPr>
      <w:r>
        <w:rPr>
          <w:rFonts w:hint="eastAsia" w:ascii="方正小标宋简体" w:hAnsi="微软雅黑" w:eastAsia="方正小标宋简体"/>
          <w:sz w:val="52"/>
          <w:szCs w:val="52"/>
        </w:rPr>
        <w:t>地块</w:t>
      </w:r>
      <w:r>
        <w:rPr>
          <w:rFonts w:hint="eastAsia" w:ascii="方正小标宋简体" w:hAnsi="微软雅黑" w:eastAsia="方正小标宋简体"/>
          <w:color w:val="000000" w:themeColor="text1"/>
          <w:sz w:val="52"/>
          <w:szCs w:val="52"/>
          <w14:textFill>
            <w14:solidFill>
              <w14:schemeClr w14:val="tx1"/>
            </w14:solidFill>
          </w14:textFill>
        </w:rPr>
        <w:t>国有建设用地使用权拍卖出让</w:t>
      </w:r>
    </w:p>
    <w:p>
      <w:pPr>
        <w:ind w:left="273" w:hanging="260" w:hangingChars="50"/>
        <w:jc w:val="center"/>
        <w:rPr>
          <w:rFonts w:hint="eastAsia" w:ascii="方正小标宋简体" w:hAnsi="微软雅黑" w:eastAsia="方正小标宋简体"/>
          <w:color w:val="000000" w:themeColor="text1"/>
          <w:sz w:val="52"/>
          <w:szCs w:val="52"/>
          <w:lang w:val="en-US" w:eastAsia="zh-CN"/>
          <w14:textFill>
            <w14:solidFill>
              <w14:schemeClr w14:val="tx1"/>
            </w14:solidFill>
          </w14:textFill>
        </w:rPr>
      </w:pPr>
      <w:r>
        <w:rPr>
          <w:rFonts w:hint="eastAsia" w:ascii="方正小标宋简体" w:hAnsi="微软雅黑" w:eastAsia="方正小标宋简体"/>
          <w:color w:val="000000" w:themeColor="text1"/>
          <w:sz w:val="52"/>
          <w:szCs w:val="52"/>
          <w:lang w:val="en-US" w:eastAsia="zh-CN"/>
          <w14:textFill>
            <w14:solidFill>
              <w14:schemeClr w14:val="tx1"/>
            </w14:solidFill>
          </w14:textFill>
        </w:rPr>
        <w:t>文件</w:t>
      </w:r>
    </w:p>
    <w:p>
      <w:pPr>
        <w:ind w:left="273" w:hanging="260" w:hangingChars="50"/>
        <w:jc w:val="center"/>
        <w:rPr>
          <w:rFonts w:ascii="方正小标宋简体" w:hAnsi="微软雅黑" w:eastAsia="方正小标宋简体"/>
          <w:color w:val="000000" w:themeColor="text1"/>
          <w:sz w:val="52"/>
          <w:szCs w:val="52"/>
          <w14:textFill>
            <w14:solidFill>
              <w14:schemeClr w14:val="tx1"/>
            </w14:solidFill>
          </w14:textFill>
        </w:rPr>
      </w:pPr>
    </w:p>
    <w:p>
      <w:pPr>
        <w:ind w:left="273" w:hanging="260" w:hangingChars="50"/>
        <w:jc w:val="center"/>
        <w:rPr>
          <w:rFonts w:ascii="方正小标宋简体" w:hAnsi="微软雅黑" w:eastAsia="方正小标宋简体"/>
          <w:color w:val="000000" w:themeColor="text1"/>
          <w:sz w:val="52"/>
          <w:szCs w:val="52"/>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2336;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rFonts w:ascii="黑体" w:hAnsi="黑体" w:eastAsia="黑体"/>
          <w:bCs/>
          <w:color w:val="000000" w:themeColor="text1"/>
          <w:w w:val="80"/>
          <w:sz w:val="44"/>
          <w14:textFill>
            <w14:solidFill>
              <w14:schemeClr w14:val="tx1"/>
            </w14:solidFill>
          </w14:textFill>
        </w:rPr>
      </w:pPr>
      <w:r>
        <w:rPr>
          <w:color w:val="000000" w:themeColor="text1"/>
          <w:sz w:val="44"/>
          <w14:textFill>
            <w14:solidFill>
              <w14:schemeClr w14:val="tx1"/>
            </w14:solidFill>
          </w14:textFill>
        </w:rPr>
        <w:br w:type="page"/>
      </w:r>
      <w:r>
        <w:rPr>
          <w:rFonts w:hint="eastAsia" w:ascii="黑体" w:hAnsi="黑体" w:eastAsia="黑体"/>
          <w:bCs/>
          <w:color w:val="000000" w:themeColor="text1"/>
          <w:w w:val="80"/>
          <w:sz w:val="44"/>
          <w14:textFill>
            <w14:solidFill>
              <w14:schemeClr w14:val="tx1"/>
            </w14:solidFill>
          </w14:textFill>
        </w:rPr>
        <w:t>目</w:t>
      </w:r>
      <w:r>
        <w:rPr>
          <w:rFonts w:hint="eastAsia" w:ascii="黑体" w:hAnsi="黑体" w:eastAsia="黑体"/>
          <w:bCs/>
          <w:color w:val="000000" w:themeColor="text1"/>
          <w:w w:val="80"/>
          <w:sz w:val="44"/>
          <w:lang w:val="en-US" w:eastAsia="zh-CN"/>
          <w14:textFill>
            <w14:solidFill>
              <w14:schemeClr w14:val="tx1"/>
            </w14:solidFill>
          </w14:textFill>
        </w:rPr>
        <w:t xml:space="preserve">  </w:t>
      </w:r>
      <w:r>
        <w:rPr>
          <w:rFonts w:hint="eastAsia" w:ascii="黑体" w:hAnsi="黑体" w:eastAsia="黑体"/>
          <w:bCs/>
          <w:color w:val="000000" w:themeColor="text1"/>
          <w:w w:val="80"/>
          <w:sz w:val="44"/>
          <w14:textFill>
            <w14:solidFill>
              <w14:schemeClr w14:val="tx1"/>
            </w14:solidFill>
          </w14:textFill>
        </w:rPr>
        <w:t>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TOC \o "1-1" \h \z \u </w:instrText>
      </w:r>
      <w:r>
        <w:rPr>
          <w:rFonts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14:textFill>
            <w14:solidFill>
              <w14:schemeClr w14:val="tx1"/>
            </w14:solidFill>
          </w14:textFill>
        </w:rPr>
        <w:t>拍卖出让公告</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PAGEREF _Toc3391970 \h </w:instrText>
      </w:r>
      <w:r>
        <w:rPr>
          <w:rFonts w:ascii="宋体" w:hAnsi="宋体"/>
          <w:color w:val="000000" w:themeColor="text1"/>
          <w:w w:val="66"/>
          <w:sz w:val="32"/>
          <w:szCs w:val="32"/>
          <w14:textFill>
            <w14:solidFill>
              <w14:schemeClr w14:val="tx1"/>
            </w14:solidFill>
          </w14:textFill>
        </w:rPr>
        <w:fldChar w:fldCharType="separate"/>
      </w:r>
      <w:r>
        <w:rPr>
          <w:rFonts w:ascii="宋体" w:hAnsi="宋体"/>
          <w:color w:val="000000" w:themeColor="text1"/>
          <w:w w:val="66"/>
          <w:sz w:val="32"/>
          <w:szCs w:val="32"/>
          <w14:textFill>
            <w14:solidFill>
              <w14:schemeClr w14:val="tx1"/>
            </w14:solidFill>
          </w14:textFill>
        </w:rPr>
        <w:t>3</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"_Toc3391971"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国有建设用地使用权拍卖出让须知</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6</w:t>
      </w:r>
      <w:r>
        <w:rPr>
          <w:rFonts w:ascii="宋体"/>
          <w:color w:val="000000" w:themeColor="text1"/>
          <w:sz w:val="32"/>
          <w:szCs w:val="32"/>
          <w14:textFill>
            <w14:solidFill>
              <w14:schemeClr w14:val="tx1"/>
            </w14:solidFill>
          </w14:textFill>
        </w:rPr>
        <w:t>-</w:t>
      </w:r>
      <w:r>
        <w:rPr>
          <w:rFonts w:ascii="宋体" w:hAnsi="宋体"/>
          <w:color w:val="000000" w:themeColor="text1"/>
          <w:sz w:val="32"/>
          <w:szCs w:val="32"/>
          <w14:textFill>
            <w14:solidFill>
              <w14:schemeClr w14:val="tx1"/>
            </w14:solidFill>
          </w14:textFill>
        </w:rPr>
        <w:t>17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"_Toc3391972" </w:instrText>
      </w:r>
      <w:r>
        <w:fldChar w:fldCharType="separate"/>
      </w:r>
      <w:r>
        <w:rPr>
          <w:rFonts w:hint="eastAsia" w:ascii="宋体" w:hAnsi="宋体"/>
          <w:color w:val="000000" w:themeColor="text1"/>
          <w:w w:val="66"/>
          <w:sz w:val="32"/>
          <w:szCs w:val="32"/>
          <w14:textFill>
            <w14:solidFill>
              <w14:schemeClr w14:val="tx1"/>
            </w14:solidFill>
          </w14:textFill>
        </w:rPr>
        <w:t>地块规划条件相关资料</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18-21</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"_Toc3391973" </w:instrText>
      </w:r>
      <w:r>
        <w:fldChar w:fldCharType="separate"/>
      </w:r>
      <w:r>
        <w:rPr>
          <w:rFonts w:hint="eastAsia" w:ascii="宋体" w:hAnsi="宋体"/>
          <w:color w:val="000000" w:themeColor="text1"/>
          <w:w w:val="66"/>
          <w:sz w:val="32"/>
          <w:szCs w:val="32"/>
          <w14:textFill>
            <w14:solidFill>
              <w14:schemeClr w14:val="tx1"/>
            </w14:solidFill>
          </w14:textFill>
        </w:rPr>
        <w:t>用地红线图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22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"_Toc3391974" </w:instrText>
      </w:r>
      <w:r>
        <w:fldChar w:fldCharType="separate"/>
      </w:r>
      <w:r>
        <w:rPr>
          <w:rFonts w:hint="eastAsia" w:ascii="宋体" w:hAnsi="宋体"/>
          <w:color w:val="000000" w:themeColor="text1"/>
          <w:w w:val="66"/>
          <w:sz w:val="32"/>
          <w:szCs w:val="32"/>
          <w14:textFill>
            <w14:solidFill>
              <w14:schemeClr w14:val="tx1"/>
            </w14:solidFill>
          </w14:textFill>
        </w:rPr>
        <w:t>宗地平面界址图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"_Toc3391975" </w:instrText>
      </w:r>
      <w:r>
        <w:fldChar w:fldCharType="separate"/>
      </w:r>
      <w:r>
        <w:rPr>
          <w:rFonts w:hint="eastAsia" w:ascii="宋体" w:hAnsi="宋体"/>
          <w:color w:val="000000" w:themeColor="text1"/>
          <w:w w:val="66"/>
          <w:sz w:val="32"/>
          <w:szCs w:val="32"/>
          <w14:textFill>
            <w14:solidFill>
              <w14:schemeClr w14:val="tx1"/>
            </w14:solidFill>
          </w14:textFill>
        </w:rPr>
        <w:t>竞买申请书（样本）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"_Toc3391976" </w:instrText>
      </w:r>
      <w:r>
        <w:fldChar w:fldCharType="separate"/>
      </w:r>
      <w:r>
        <w:rPr>
          <w:rFonts w:hint="eastAsia" w:ascii="宋体" w:hAnsi="宋体"/>
          <w:color w:val="000000" w:themeColor="text1"/>
          <w:w w:val="66"/>
          <w:sz w:val="32"/>
          <w:szCs w:val="32"/>
          <w14:textFill>
            <w14:solidFill>
              <w14:schemeClr w14:val="tx1"/>
            </w14:solidFill>
          </w14:textFill>
        </w:rPr>
        <w:t>保证金承诺书（样本）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"_Toc3391977" </w:instrText>
      </w:r>
      <w:r>
        <w:fldChar w:fldCharType="separate"/>
      </w:r>
      <w:r>
        <w:rPr>
          <w:rFonts w:hint="eastAsia" w:ascii="宋体" w:hAnsi="宋体"/>
          <w:color w:val="000000" w:themeColor="text1"/>
          <w:w w:val="66"/>
          <w:sz w:val="32"/>
          <w:szCs w:val="32"/>
          <w14:textFill>
            <w14:solidFill>
              <w14:schemeClr w14:val="tx1"/>
            </w14:solidFill>
          </w14:textFill>
        </w:rPr>
        <w:t>法定代表人身份证明书（样本）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"_Toc3391978" </w:instrText>
      </w:r>
      <w:r>
        <w:fldChar w:fldCharType="separate"/>
      </w:r>
      <w:r>
        <w:rPr>
          <w:rFonts w:hint="eastAsia" w:ascii="宋体" w:hAnsi="宋体"/>
          <w:color w:val="000000" w:themeColor="text1"/>
          <w:w w:val="66"/>
          <w:sz w:val="32"/>
          <w:szCs w:val="32"/>
          <w14:textFill>
            <w14:solidFill>
              <w14:schemeClr w14:val="tx1"/>
            </w14:solidFill>
          </w14:textFill>
        </w:rPr>
        <w:t>授权委托书（样本）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"_Toc3391979" </w:instrText>
      </w:r>
      <w:r>
        <w:fldChar w:fldCharType="separate"/>
      </w:r>
      <w:r>
        <w:rPr>
          <w:rFonts w:hint="eastAsia" w:ascii="宋体" w:hAnsi="宋体"/>
          <w:color w:val="000000" w:themeColor="text1"/>
          <w:w w:val="66"/>
          <w:sz w:val="32"/>
          <w:szCs w:val="32"/>
          <w14:textFill>
            <w14:solidFill>
              <w14:schemeClr w14:val="tx1"/>
            </w14:solidFill>
          </w14:textFill>
        </w:rPr>
        <w:t>成交确认书（样本）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"_Toc3391980"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国有建设用地使用权出让合同（样本）</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29-43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"_Toc3391981" </w:instrText>
      </w:r>
      <w:r>
        <w:fldChar w:fldCharType="separate"/>
      </w:r>
      <w:r>
        <w:rPr>
          <w:rFonts w:hint="eastAsia" w:ascii="宋体" w:hAnsi="宋体"/>
          <w:color w:val="000000" w:themeColor="text1"/>
          <w:w w:val="66"/>
          <w:sz w:val="32"/>
          <w:szCs w:val="32"/>
          <w14:textFill>
            <w14:solidFill>
              <w14:schemeClr w14:val="tx1"/>
            </w14:solidFill>
          </w14:textFill>
        </w:rPr>
        <w:t>其他相关文件</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44-4</w:t>
      </w:r>
      <w:r>
        <w:rPr>
          <w:rFonts w:hint="eastAsia" w:ascii="宋体" w:hAnsi="宋体"/>
          <w:color w:val="000000" w:themeColor="text1"/>
          <w:w w:val="66"/>
          <w:sz w:val="32"/>
          <w:szCs w:val="32"/>
          <w:lang w:val="en-US" w:eastAsia="zh-CN"/>
          <w14:textFill>
            <w14:solidFill>
              <w14:schemeClr w14:val="tx1"/>
            </w14:solidFill>
          </w14:textFill>
        </w:rPr>
        <w:t>5</w:t>
      </w:r>
    </w:p>
    <w:p>
      <w:pPr>
        <w:rPr>
          <w:rFonts w:ascii="黑体" w:eastAsia="黑体"/>
          <w:color w:val="000000" w:themeColor="text1"/>
          <w:sz w:val="48"/>
          <w:szCs w:val="48"/>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5"/>
        <w:spacing w:line="492" w:lineRule="atLeast"/>
        <w:ind w:left="0"/>
        <w:rPr>
          <w:rFonts w:ascii="Dotum" w:eastAsia="Dotum" w:cs="Dotum"/>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0" w:name="_Toc3391741"/>
      <w:bookmarkStart w:id="1" w:name="_Toc3391970"/>
      <w:bookmarkStart w:id="2" w:name="_Toc3391971"/>
      <w:bookmarkStart w:id="3" w:name="_Toc3391742"/>
      <w:r>
        <w:rPr>
          <w:rFonts w:hint="eastAsia" w:ascii="方正小标宋简体" w:hAnsi="宋体" w:eastAsia="方正小标宋简体" w:cs="宋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pStyle w:val="12"/>
        <w:spacing w:before="0" w:after="0" w:line="600" w:lineRule="exact"/>
        <w:rPr>
          <w:rFonts w:ascii="方正小标宋简体" w:eastAsia="方正小标宋简体"/>
          <w:b w:val="0"/>
          <w:color w:val="000000" w:themeColor="text1"/>
          <w:sz w:val="44"/>
          <w:szCs w:val="44"/>
          <w14:textFill>
            <w14:solidFill>
              <w14:schemeClr w14:val="tx1"/>
            </w14:solidFill>
          </w14:textFill>
        </w:rPr>
      </w:pPr>
      <w:r>
        <w:rPr>
          <w:rFonts w:hint="eastAsia" w:ascii="方正小标宋简体" w:eastAsia="方正小标宋简体"/>
          <w:b w:val="0"/>
          <w:color w:val="000000" w:themeColor="text1"/>
          <w:sz w:val="44"/>
          <w:szCs w:val="44"/>
          <w14:textFill>
            <w14:solidFill>
              <w14:schemeClr w14:val="tx1"/>
            </w14:solidFill>
          </w14:textFill>
        </w:rPr>
        <w:t>国有建设用地使用权拍卖出让公告</w:t>
      </w:r>
      <w:bookmarkEnd w:id="0"/>
      <w:bookmarkEnd w:id="1"/>
    </w:p>
    <w:p>
      <w:pPr>
        <w:snapToGrid w:val="0"/>
        <w:spacing w:line="600" w:lineRule="exact"/>
        <w:jc w:val="center"/>
        <w:rPr>
          <w:rFonts w:ascii="宋体" w:cs="宋体"/>
          <w:color w:val="000000" w:themeColor="text1"/>
          <w:sz w:val="28"/>
          <w:szCs w:val="28"/>
          <w14:textFill>
            <w14:solidFill>
              <w14:schemeClr w14:val="tx1"/>
            </w14:solidFill>
          </w14:textFill>
        </w:rPr>
      </w:pPr>
    </w:p>
    <w:p>
      <w:pPr>
        <w:snapToGrid w:val="0"/>
        <w:spacing w:line="600" w:lineRule="exact"/>
        <w:jc w:val="center"/>
        <w:rPr>
          <w:rFonts w:ascii="宋体" w:hAnsi="宋体" w:cs="宋体"/>
          <w:color w:val="FF0000"/>
          <w:sz w:val="28"/>
          <w:szCs w:val="28"/>
        </w:rPr>
      </w:pPr>
      <w:r>
        <w:rPr>
          <w:rFonts w:ascii="宋体" w:hAnsi="宋体" w:cs="宋体"/>
          <w:color w:val="FF0000"/>
          <w:sz w:val="28"/>
          <w:szCs w:val="28"/>
        </w:rPr>
        <w:t>DST(P)[2021]</w:t>
      </w:r>
      <w:r>
        <w:rPr>
          <w:rFonts w:hint="eastAsia" w:ascii="宋体" w:hAnsi="宋体" w:cs="宋体"/>
          <w:color w:val="FF0000"/>
          <w:sz w:val="28"/>
          <w:szCs w:val="28"/>
        </w:rPr>
        <w:t>8</w:t>
      </w:r>
      <w:r>
        <w:rPr>
          <w:rFonts w:ascii="宋体" w:hAnsi="宋体" w:cs="宋体"/>
          <w:color w:val="FF0000"/>
          <w:sz w:val="28"/>
          <w:szCs w:val="28"/>
        </w:rPr>
        <w:t>号</w:t>
      </w:r>
    </w:p>
    <w:p>
      <w:pPr>
        <w:widowControl/>
        <w:wordWrap w:val="0"/>
        <w:ind w:firstLine="560" w:firstLineChars="200"/>
        <w:jc w:val="left"/>
        <w:rPr>
          <w:rFonts w:hint="eastAsia" w:ascii="宋体" w:hAnsi="宋体" w:cs="宋体"/>
          <w:color w:val="000000" w:themeColor="text1"/>
          <w:sz w:val="28"/>
          <w:szCs w:val="28"/>
          <w14:textFill>
            <w14:solidFill>
              <w14:schemeClr w14:val="tx1"/>
            </w14:solidFill>
          </w14:textFill>
        </w:rPr>
      </w:pP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14:textFill>
            <w14:solidFill>
              <w14:schemeClr w14:val="tx1"/>
            </w14:solidFill>
          </w14:textFill>
        </w:rPr>
        <w:t>经</w:t>
      </w:r>
      <w:r>
        <w:rPr>
          <w:rFonts w:hint="eastAsia" w:ascii="宋体" w:hAnsi="宋体" w:cs="宋体"/>
          <w:color w:val="000000" w:themeColor="text1"/>
          <w:sz w:val="28"/>
          <w:szCs w:val="28"/>
          <w:u w:val="single"/>
          <w14:textFill>
            <w14:solidFill>
              <w14:schemeClr w14:val="tx1"/>
            </w14:solidFill>
          </w14:textFill>
        </w:rPr>
        <w:t>达州市人民政府</w:t>
      </w:r>
      <w:r>
        <w:rPr>
          <w:rFonts w:hint="eastAsia" w:ascii="宋体" w:hAnsi="宋体" w:cs="宋体"/>
          <w:color w:val="000000" w:themeColor="text1"/>
          <w:sz w:val="28"/>
          <w:szCs w:val="28"/>
          <w14:textFill>
            <w14:solidFill>
              <w14:schemeClr w14:val="tx1"/>
            </w14:solidFill>
          </w14:textFill>
        </w:rPr>
        <w:t>批准</w:t>
      </w:r>
      <w:r>
        <w:rPr>
          <w:rFonts w:hint="eastAsia" w:ascii="宋体" w:hAnsi="宋体" w:cs="宋体"/>
          <w:color w:val="000000" w:themeColor="text1"/>
          <w:sz w:val="28"/>
          <w:szCs w:val="28"/>
          <w:u w:val="single"/>
          <w14:textFill>
            <w14:solidFill>
              <w14:schemeClr w14:val="tx1"/>
            </w14:solidFill>
          </w14:textFill>
        </w:rPr>
        <w:t>，达州市自然资源和规划局</w:t>
      </w:r>
      <w:r>
        <w:rPr>
          <w:rFonts w:hint="eastAsia" w:ascii="宋体" w:hAnsi="宋体" w:cs="宋体"/>
          <w:color w:val="000000" w:themeColor="text1"/>
          <w:sz w:val="28"/>
          <w:szCs w:val="28"/>
          <w14:textFill>
            <w14:solidFill>
              <w14:schemeClr w14:val="tx1"/>
            </w14:solidFill>
          </w14:textFill>
        </w:rPr>
        <w:t>决定以拍卖方式出让</w:t>
      </w:r>
      <w:r>
        <w:rPr>
          <w:rFonts w:hint="eastAsia" w:ascii="宋体" w:hAnsi="宋体" w:cs="宋体"/>
          <w:color w:val="000000" w:themeColor="text1"/>
          <w:sz w:val="28"/>
          <w:szCs w:val="28"/>
          <w:u w:val="single"/>
          <w14:textFill>
            <w14:solidFill>
              <w14:schemeClr w14:val="tx1"/>
            </w14:solidFill>
          </w14:textFill>
        </w:rPr>
        <w:t>达川区小河嘴片区A01-05/01、A01-06/01地块，通川区环城路沿线片区01-A-03-10地块等2宗地块</w:t>
      </w:r>
      <w:r>
        <w:rPr>
          <w:rFonts w:hint="eastAsia" w:ascii="宋体" w:hAnsi="宋体" w:cs="宋体"/>
          <w:color w:val="000000" w:themeColor="text1"/>
          <w:sz w:val="28"/>
          <w:szCs w:val="28"/>
          <w14:textFill>
            <w14:solidFill>
              <w14:schemeClr w14:val="tx1"/>
            </w14:solidFill>
          </w14:textFill>
        </w:rPr>
        <w:t>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ascii="宋体" w:hAnsi="宋体" w:cs="宋体"/>
          <w:color w:val="000000" w:themeColor="text1"/>
          <w:sz w:val="28"/>
          <w:szCs w:val="28"/>
          <w14:textFill>
            <w14:solidFill>
              <w14:schemeClr w14:val="tx1"/>
            </w14:solidFill>
          </w14:textFill>
        </w:rPr>
        <w:t>受出让人委托对</w:t>
      </w:r>
      <w:r>
        <w:rPr>
          <w:rFonts w:hint="eastAsia" w:ascii="宋体" w:hAnsi="宋体" w:cs="宋体"/>
          <w:color w:val="000000" w:themeColor="text1"/>
          <w:kern w:val="0"/>
          <w:sz w:val="28"/>
          <w:szCs w:val="28"/>
          <w14:textFill>
            <w14:solidFill>
              <w14:schemeClr w14:val="tx1"/>
            </w14:solidFill>
          </w14:textFill>
        </w:rPr>
        <w:t>该地块</w:t>
      </w:r>
      <w:r>
        <w:rPr>
          <w:rFonts w:hint="eastAsia" w:ascii="宋体" w:hAnsi="宋体" w:cs="宋体"/>
          <w:color w:val="000000" w:themeColor="text1"/>
          <w:sz w:val="28"/>
          <w:szCs w:val="28"/>
          <w14:textFill>
            <w14:solidFill>
              <w14:schemeClr w14:val="tx1"/>
            </w14:solidFill>
          </w14:textFill>
        </w:rPr>
        <w:t>组织拍卖。现将有关事项公告如下：</w:t>
      </w:r>
    </w:p>
    <w:p>
      <w:pPr>
        <w:numPr>
          <w:ilvl w:val="0"/>
          <w:numId w:val="2"/>
        </w:numPr>
        <w:snapToGrid w:val="0"/>
        <w:spacing w:line="600" w:lineRule="exac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拍卖出让地块的基本情况和规划指标要求：</w:t>
      </w:r>
    </w:p>
    <w:tbl>
      <w:tblPr>
        <w:tblStyle w:val="13"/>
        <w:tblW w:w="54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7"/>
        <w:gridCol w:w="601"/>
        <w:gridCol w:w="339"/>
        <w:gridCol w:w="494"/>
        <w:gridCol w:w="532"/>
        <w:gridCol w:w="442"/>
        <w:gridCol w:w="469"/>
        <w:gridCol w:w="559"/>
        <w:gridCol w:w="517"/>
        <w:gridCol w:w="1564"/>
        <w:gridCol w:w="1952"/>
        <w:gridCol w:w="558"/>
        <w:gridCol w:w="443"/>
        <w:gridCol w:w="510"/>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58"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序号</w:t>
            </w:r>
          </w:p>
        </w:tc>
        <w:tc>
          <w:tcPr>
            <w:tcW w:w="309"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地块</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编号</w:t>
            </w:r>
          </w:p>
        </w:tc>
        <w:tc>
          <w:tcPr>
            <w:tcW w:w="175"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位置</w:t>
            </w:r>
          </w:p>
        </w:tc>
        <w:tc>
          <w:tcPr>
            <w:tcW w:w="25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土地出让面积</w:t>
            </w:r>
            <w:r>
              <w:rPr>
                <w:rFonts w:ascii="黑体" w:hAnsi="黑体" w:eastAsia="黑体" w:cs="宋体"/>
                <w:color w:val="000000" w:themeColor="text1"/>
                <w:sz w:val="13"/>
                <w:szCs w:val="13"/>
                <w14:textFill>
                  <w14:solidFill>
                    <w14:schemeClr w14:val="tx1"/>
                  </w14:solidFill>
                </w14:textFill>
              </w:rPr>
              <w:t>(</w:t>
            </w:r>
            <w:r>
              <w:rPr>
                <w:rFonts w:hint="eastAsia" w:ascii="黑体" w:hAnsi="黑体" w:eastAsia="黑体" w:cs="宋体"/>
                <w:color w:val="000000" w:themeColor="text1"/>
                <w:sz w:val="13"/>
                <w:szCs w:val="13"/>
                <w14:textFill>
                  <w14:solidFill>
                    <w14:schemeClr w14:val="tx1"/>
                  </w14:solidFill>
                </w14:textFill>
              </w:rPr>
              <w:t>㎡）</w:t>
            </w:r>
          </w:p>
        </w:tc>
        <w:tc>
          <w:tcPr>
            <w:tcW w:w="27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用途</w:t>
            </w:r>
          </w:p>
        </w:tc>
        <w:tc>
          <w:tcPr>
            <w:tcW w:w="2837"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规划指标要求</w:t>
            </w:r>
          </w:p>
        </w:tc>
        <w:tc>
          <w:tcPr>
            <w:tcW w:w="28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出让</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年限</w:t>
            </w:r>
          </w:p>
        </w:tc>
        <w:tc>
          <w:tcPr>
            <w:tcW w:w="228"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起拍价</w:t>
            </w:r>
          </w:p>
        </w:tc>
        <w:tc>
          <w:tcPr>
            <w:tcW w:w="262"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增价</w:t>
            </w:r>
          </w:p>
          <w:p>
            <w:pPr>
              <w:jc w:val="center"/>
              <w:rPr>
                <w:rFonts w:ascii="黑体" w:hAnsi="黑体" w:eastAsia="黑体"/>
                <w:color w:val="000000" w:themeColor="text1"/>
                <w:spacing w:val="-32"/>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幅度</w:t>
            </w:r>
          </w:p>
        </w:tc>
        <w:tc>
          <w:tcPr>
            <w:tcW w:w="211"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竞买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58"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309"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175"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5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7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28"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容积率</w:t>
            </w:r>
          </w:p>
        </w:tc>
        <w:tc>
          <w:tcPr>
            <w:tcW w:w="242"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密度</w:t>
            </w:r>
          </w:p>
        </w:tc>
        <w:tc>
          <w:tcPr>
            <w:tcW w:w="28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绿地率</w:t>
            </w:r>
          </w:p>
        </w:tc>
        <w:tc>
          <w:tcPr>
            <w:tcW w:w="266"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限高</w:t>
            </w:r>
          </w:p>
        </w:tc>
        <w:tc>
          <w:tcPr>
            <w:tcW w:w="806"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olor w:val="000000" w:themeColor="text1"/>
                <w:sz w:val="13"/>
                <w:szCs w:val="13"/>
                <w14:textFill>
                  <w14:solidFill>
                    <w14:schemeClr w14:val="tx1"/>
                  </w14:solidFill>
                </w14:textFill>
              </w:rPr>
              <w:t>配套设施</w:t>
            </w:r>
          </w:p>
        </w:tc>
        <w:tc>
          <w:tcPr>
            <w:tcW w:w="1006"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其他规划指标</w:t>
            </w:r>
          </w:p>
        </w:tc>
        <w:tc>
          <w:tcPr>
            <w:tcW w:w="28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28"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6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pacing w:val="-32"/>
                <w:sz w:val="13"/>
                <w:szCs w:val="13"/>
                <w14:textFill>
                  <w14:solidFill>
                    <w14:schemeClr w14:val="tx1"/>
                  </w14:solidFill>
                </w14:textFill>
              </w:rPr>
            </w:pPr>
          </w:p>
        </w:tc>
        <w:tc>
          <w:tcPr>
            <w:tcW w:w="211"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8" w:type="pct"/>
            <w:tcBorders>
              <w:left w:val="single" w:color="000000" w:sz="4" w:space="0"/>
            </w:tcBorders>
            <w:vAlign w:val="center"/>
          </w:tcPr>
          <w:p>
            <w:pPr>
              <w:jc w:val="center"/>
              <w:rPr>
                <w:rFonts w:ascii="黑体" w:hAnsi="黑体" w:eastAsia="黑体" w:cs="宋体"/>
                <w:sz w:val="13"/>
                <w:szCs w:val="13"/>
              </w:rPr>
            </w:pPr>
            <w:r>
              <w:rPr>
                <w:rFonts w:ascii="黑体" w:hAnsi="黑体" w:eastAsia="黑体" w:cs="宋体"/>
                <w:sz w:val="13"/>
                <w:szCs w:val="13"/>
              </w:rPr>
              <w:t>1</w:t>
            </w:r>
          </w:p>
        </w:tc>
        <w:tc>
          <w:tcPr>
            <w:tcW w:w="309" w:type="pct"/>
            <w:tcBorders>
              <w:right w:val="single" w:color="000000" w:sz="4" w:space="0"/>
            </w:tcBorders>
            <w:vAlign w:val="center"/>
          </w:tcPr>
          <w:p>
            <w:pPr>
              <w:snapToGrid w:val="0"/>
              <w:spacing w:line="289" w:lineRule="atLeast"/>
              <w:rPr>
                <w:rFonts w:ascii="黑体" w:hAnsi="黑体" w:eastAsia="黑体" w:cs="宋体"/>
                <w:sz w:val="13"/>
                <w:szCs w:val="13"/>
              </w:rPr>
            </w:pPr>
            <w:r>
              <w:rPr>
                <w:rFonts w:hint="eastAsia" w:ascii="黑体" w:hAnsi="黑体" w:eastAsia="黑体" w:cs="宋体"/>
                <w:sz w:val="13"/>
                <w:szCs w:val="13"/>
              </w:rPr>
              <w:t>达川区小河嘴片区A01-05/01、A01-06/01地块</w:t>
            </w:r>
          </w:p>
          <w:p>
            <w:pPr>
              <w:snapToGrid w:val="0"/>
              <w:spacing w:line="289" w:lineRule="atLeast"/>
              <w:jc w:val="center"/>
              <w:rPr>
                <w:rFonts w:ascii="黑体" w:hAnsi="黑体" w:eastAsia="黑体" w:cs="宋体"/>
                <w:sz w:val="13"/>
                <w:szCs w:val="13"/>
              </w:rPr>
            </w:pPr>
          </w:p>
        </w:tc>
        <w:tc>
          <w:tcPr>
            <w:tcW w:w="175"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达川区小河嘴片区（临东辰学校）</w:t>
            </w:r>
            <w:r>
              <w:rPr>
                <w:rFonts w:ascii="黑体" w:hAnsi="黑体" w:eastAsia="黑体" w:cs="宋体"/>
                <w:sz w:val="13"/>
                <w:szCs w:val="13"/>
              </w:rPr>
              <w:t xml:space="preserve"> </w:t>
            </w:r>
          </w:p>
          <w:p>
            <w:pPr>
              <w:snapToGrid w:val="0"/>
              <w:spacing w:line="289" w:lineRule="atLeast"/>
              <w:jc w:val="center"/>
              <w:rPr>
                <w:rFonts w:ascii="黑体" w:hAnsi="黑体" w:eastAsia="黑体" w:cs="宋体"/>
                <w:sz w:val="13"/>
                <w:szCs w:val="13"/>
              </w:rPr>
            </w:pPr>
          </w:p>
        </w:tc>
        <w:tc>
          <w:tcPr>
            <w:tcW w:w="254"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12015.04</w:t>
            </w:r>
            <w:r>
              <w:rPr>
                <w:rFonts w:hint="eastAsia" w:ascii="黑体" w:hAnsi="黑体" w:eastAsia="黑体" w:cs="宋体"/>
                <w:sz w:val="13"/>
                <w:szCs w:val="13"/>
              </w:rPr>
              <w:t>平方米(</w:t>
            </w:r>
            <w:r>
              <w:rPr>
                <w:rFonts w:ascii="黑体" w:hAnsi="黑体" w:eastAsia="黑体" w:cs="宋体"/>
                <w:sz w:val="13"/>
                <w:szCs w:val="13"/>
              </w:rPr>
              <w:t>18.0226</w:t>
            </w:r>
            <w:r>
              <w:rPr>
                <w:rFonts w:hint="eastAsia" w:ascii="黑体" w:hAnsi="黑体" w:eastAsia="黑体" w:cs="宋体"/>
                <w:sz w:val="13"/>
                <w:szCs w:val="13"/>
              </w:rPr>
              <w:t>亩）</w:t>
            </w:r>
          </w:p>
        </w:tc>
        <w:tc>
          <w:tcPr>
            <w:tcW w:w="274"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 </w:t>
            </w:r>
          </w:p>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住宅</w:t>
            </w:r>
          </w:p>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用地</w:t>
            </w:r>
            <w:r>
              <w:rPr>
                <w:rFonts w:ascii="黑体" w:hAnsi="黑体" w:eastAsia="黑体" w:cs="宋体"/>
                <w:sz w:val="13"/>
                <w:szCs w:val="13"/>
              </w:rPr>
              <w:t xml:space="preserve"> </w:t>
            </w:r>
          </w:p>
          <w:p>
            <w:pPr>
              <w:snapToGrid w:val="0"/>
              <w:spacing w:line="289" w:lineRule="atLeast"/>
              <w:jc w:val="center"/>
              <w:rPr>
                <w:rFonts w:ascii="黑体" w:hAnsi="黑体" w:eastAsia="黑体" w:cs="宋体"/>
                <w:sz w:val="13"/>
                <w:szCs w:val="13"/>
              </w:rPr>
            </w:pPr>
          </w:p>
        </w:tc>
        <w:tc>
          <w:tcPr>
            <w:tcW w:w="228"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lang w:val="en-US" w:eastAsia="zh-CN"/>
              </w:rPr>
              <w:t>1</w:t>
            </w:r>
            <w:r>
              <w:rPr>
                <w:rFonts w:ascii="黑体" w:hAnsi="黑体" w:eastAsia="黑体" w:cs="宋体"/>
                <w:sz w:val="13"/>
                <w:szCs w:val="13"/>
                <w:lang w:val="en-US" w:eastAsia="zh-CN"/>
              </w:rPr>
              <w:t>＜</w:t>
            </w:r>
          </w:p>
          <w:p>
            <w:pPr>
              <w:snapToGrid w:val="0"/>
              <w:spacing w:line="289" w:lineRule="atLeast"/>
              <w:jc w:val="center"/>
              <w:rPr>
                <w:rFonts w:ascii="黑体" w:hAnsi="黑体" w:eastAsia="黑体" w:cs="宋体"/>
                <w:sz w:val="13"/>
                <w:szCs w:val="13"/>
              </w:rPr>
            </w:pPr>
            <w:r>
              <w:rPr>
                <w:rFonts w:ascii="黑体" w:hAnsi="黑体" w:eastAsia="黑体" w:cs="宋体"/>
                <w:sz w:val="13"/>
                <w:szCs w:val="13"/>
              </w:rPr>
              <w:t>F≤</w:t>
            </w:r>
            <w:r>
              <w:rPr>
                <w:rFonts w:hint="eastAsia" w:ascii="黑体" w:hAnsi="黑体" w:eastAsia="黑体" w:cs="宋体"/>
                <w:sz w:val="13"/>
                <w:szCs w:val="13"/>
                <w:lang w:val="en-US" w:eastAsia="zh-CN"/>
              </w:rPr>
              <w:t>2</w:t>
            </w:r>
            <w:r>
              <w:rPr>
                <w:rFonts w:ascii="黑体" w:hAnsi="黑体" w:eastAsia="黑体" w:cs="宋体"/>
                <w:sz w:val="13"/>
                <w:szCs w:val="13"/>
              </w:rPr>
              <w:t>.5</w:t>
            </w:r>
          </w:p>
          <w:p>
            <w:pPr>
              <w:snapToGrid w:val="0"/>
              <w:spacing w:line="289" w:lineRule="atLeast"/>
              <w:jc w:val="center"/>
              <w:rPr>
                <w:rFonts w:ascii="黑体" w:hAnsi="黑体" w:eastAsia="黑体" w:cs="宋体"/>
                <w:sz w:val="13"/>
                <w:szCs w:val="13"/>
              </w:rPr>
            </w:pPr>
          </w:p>
        </w:tc>
        <w:tc>
          <w:tcPr>
            <w:tcW w:w="242" w:type="pct"/>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B≤22% </w:t>
            </w:r>
          </w:p>
          <w:p>
            <w:pPr>
              <w:snapToGrid w:val="0"/>
              <w:spacing w:line="289" w:lineRule="atLeast"/>
              <w:jc w:val="center"/>
              <w:rPr>
                <w:rFonts w:ascii="黑体" w:hAnsi="黑体" w:eastAsia="黑体" w:cs="宋体"/>
                <w:sz w:val="13"/>
                <w:szCs w:val="13"/>
              </w:rPr>
            </w:pPr>
          </w:p>
        </w:tc>
        <w:tc>
          <w:tcPr>
            <w:tcW w:w="288" w:type="pct"/>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G≥35% </w:t>
            </w:r>
          </w:p>
          <w:p>
            <w:pPr>
              <w:snapToGrid w:val="0"/>
              <w:spacing w:line="289" w:lineRule="atLeast"/>
              <w:jc w:val="center"/>
              <w:rPr>
                <w:rFonts w:ascii="黑体" w:hAnsi="黑体" w:eastAsia="黑体" w:cs="宋体"/>
                <w:sz w:val="13"/>
                <w:szCs w:val="13"/>
              </w:rPr>
            </w:pPr>
          </w:p>
        </w:tc>
        <w:tc>
          <w:tcPr>
            <w:tcW w:w="266" w:type="pct"/>
            <w:vAlign w:val="center"/>
          </w:tcPr>
          <w:p>
            <w:pPr>
              <w:widowControl/>
              <w:jc w:val="left"/>
            </w:pPr>
            <w:r>
              <w:rPr>
                <w:rFonts w:ascii="黑体" w:hAnsi="黑体" w:eastAsia="黑体" w:cs="宋体"/>
                <w:sz w:val="13"/>
                <w:szCs w:val="13"/>
              </w:rPr>
              <w:t>HL≤54 米</w:t>
            </w:r>
            <w:r>
              <w:rPr>
                <w:rFonts w:ascii="仿宋_GB2312" w:hAnsi="宋体" w:eastAsia="仿宋_GB2312" w:cs="仿宋_GB2312"/>
                <w:kern w:val="0"/>
                <w:sz w:val="22"/>
                <w:szCs w:val="22"/>
              </w:rPr>
              <w:t xml:space="preserve"> </w:t>
            </w:r>
          </w:p>
          <w:p>
            <w:pPr>
              <w:snapToGrid w:val="0"/>
              <w:spacing w:line="289" w:lineRule="atLeast"/>
              <w:jc w:val="center"/>
              <w:rPr>
                <w:rFonts w:ascii="黑体" w:hAnsi="黑体" w:eastAsia="黑体" w:cs="宋体"/>
                <w:sz w:val="13"/>
                <w:szCs w:val="13"/>
              </w:rPr>
            </w:pPr>
          </w:p>
        </w:tc>
        <w:tc>
          <w:tcPr>
            <w:tcW w:w="806" w:type="pct"/>
            <w:vAlign w:val="center"/>
          </w:tcPr>
          <w:p>
            <w:pPr>
              <w:snapToGrid w:val="0"/>
              <w:spacing w:line="289" w:lineRule="atLeast"/>
              <w:rPr>
                <w:rFonts w:ascii="黑体" w:hAnsi="黑体" w:eastAsia="黑体" w:cs="宋体"/>
                <w:sz w:val="13"/>
                <w:szCs w:val="13"/>
              </w:rPr>
            </w:pPr>
            <w:r>
              <w:rPr>
                <w:rFonts w:hint="eastAsia" w:ascii="黑体" w:hAnsi="黑体" w:eastAsia="黑体" w:cs="宋体"/>
                <w:sz w:val="13"/>
                <w:szCs w:val="13"/>
              </w:rPr>
              <w:t>按照计容住宅建筑面积 3‰的比例无偿配建一个不低于 150 平方米的社区综合服务设施。社区</w:t>
            </w:r>
          </w:p>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综合服务设施的建筑面积不计入项目容积率，其不动产权和使用权归地方政府</w:t>
            </w:r>
          </w:p>
          <w:p>
            <w:pPr>
              <w:snapToGrid w:val="0"/>
              <w:spacing w:line="289" w:lineRule="atLeast"/>
              <w:jc w:val="center"/>
              <w:rPr>
                <w:rFonts w:ascii="黑体" w:hAnsi="黑体" w:eastAsia="黑体" w:cs="宋体"/>
                <w:sz w:val="13"/>
                <w:szCs w:val="13"/>
              </w:rPr>
            </w:pPr>
          </w:p>
        </w:tc>
        <w:tc>
          <w:tcPr>
            <w:tcW w:w="1006" w:type="pct"/>
            <w:tcBorders>
              <w:right w:val="single" w:color="000000" w:sz="4" w:space="0"/>
            </w:tcBorders>
            <w:vAlign w:val="center"/>
          </w:tcPr>
          <w:p>
            <w:pPr>
              <w:snapToGrid w:val="0"/>
              <w:spacing w:line="289" w:lineRule="atLeast"/>
              <w:jc w:val="left"/>
              <w:rPr>
                <w:rFonts w:ascii="黑体" w:hAnsi="黑体" w:eastAsia="黑体" w:cs="宋体"/>
                <w:sz w:val="13"/>
                <w:szCs w:val="13"/>
              </w:rPr>
            </w:pPr>
            <w:r>
              <w:rPr>
                <w:rFonts w:hint="eastAsia" w:ascii="黑体" w:hAnsi="黑体" w:eastAsia="黑体" w:cs="宋体"/>
                <w:sz w:val="13"/>
                <w:szCs w:val="13"/>
              </w:rPr>
              <w:t>详见《达州市达川区小河嘴片区 A01-05/01、A01-06/01 地块规划条件》.</w:t>
            </w:r>
          </w:p>
        </w:tc>
        <w:tc>
          <w:tcPr>
            <w:tcW w:w="287"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住宅用地70年</w:t>
            </w:r>
          </w:p>
        </w:tc>
        <w:tc>
          <w:tcPr>
            <w:tcW w:w="228"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210万元/亩 </w:t>
            </w:r>
          </w:p>
          <w:p>
            <w:pPr>
              <w:snapToGrid w:val="0"/>
              <w:spacing w:line="289" w:lineRule="atLeast"/>
              <w:jc w:val="center"/>
              <w:rPr>
                <w:rFonts w:ascii="黑体" w:hAnsi="黑体" w:eastAsia="黑体" w:cs="宋体"/>
                <w:sz w:val="13"/>
                <w:szCs w:val="13"/>
              </w:rPr>
            </w:pPr>
          </w:p>
        </w:tc>
        <w:tc>
          <w:tcPr>
            <w:tcW w:w="262"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5 万元/亩或 5 万元/亩 </w:t>
            </w:r>
          </w:p>
          <w:p>
            <w:pPr>
              <w:snapToGrid w:val="0"/>
              <w:spacing w:line="289" w:lineRule="atLeast"/>
              <w:jc w:val="center"/>
              <w:rPr>
                <w:rFonts w:ascii="黑体" w:hAnsi="黑体" w:eastAsia="黑体" w:cs="宋体"/>
                <w:sz w:val="13"/>
                <w:szCs w:val="13"/>
              </w:rPr>
            </w:pPr>
            <w:r>
              <w:rPr>
                <w:rFonts w:ascii="黑体" w:hAnsi="黑体" w:eastAsia="黑体" w:cs="宋体"/>
                <w:sz w:val="13"/>
                <w:szCs w:val="13"/>
              </w:rPr>
              <w:t>的整数倍</w:t>
            </w:r>
          </w:p>
          <w:p>
            <w:pPr>
              <w:snapToGrid w:val="0"/>
              <w:spacing w:line="289" w:lineRule="atLeast"/>
              <w:jc w:val="center"/>
              <w:rPr>
                <w:rFonts w:ascii="黑体" w:hAnsi="黑体" w:eastAsia="黑体" w:cs="宋体"/>
                <w:sz w:val="13"/>
                <w:szCs w:val="13"/>
              </w:rPr>
            </w:pPr>
          </w:p>
        </w:tc>
        <w:tc>
          <w:tcPr>
            <w:tcW w:w="211"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1</w:t>
            </w:r>
            <w:r>
              <w:rPr>
                <w:rFonts w:ascii="黑体" w:hAnsi="黑体" w:eastAsia="黑体" w:cs="宋体"/>
                <w:sz w:val="13"/>
                <w:szCs w:val="13"/>
              </w:rPr>
              <w:t>140</w:t>
            </w:r>
            <w:r>
              <w:rPr>
                <w:rFonts w:hint="eastAsia" w:ascii="黑体" w:hAnsi="黑体" w:eastAsia="黑体" w:cs="宋体"/>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8" w:type="pct"/>
            <w:tcBorders>
              <w:left w:val="single" w:color="000000" w:sz="4" w:space="0"/>
            </w:tcBorders>
            <w:vAlign w:val="center"/>
          </w:tcPr>
          <w:p>
            <w:pPr>
              <w:jc w:val="center"/>
              <w:rPr>
                <w:rFonts w:ascii="黑体" w:hAnsi="黑体" w:eastAsia="黑体" w:cs="宋体"/>
                <w:sz w:val="13"/>
                <w:szCs w:val="13"/>
              </w:rPr>
            </w:pPr>
            <w:r>
              <w:rPr>
                <w:rFonts w:hint="eastAsia" w:ascii="黑体" w:hAnsi="黑体" w:eastAsia="黑体" w:cs="宋体"/>
                <w:sz w:val="13"/>
                <w:szCs w:val="13"/>
              </w:rPr>
              <w:t>2</w:t>
            </w:r>
          </w:p>
        </w:tc>
        <w:tc>
          <w:tcPr>
            <w:tcW w:w="309"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通川区环城</w:t>
            </w:r>
            <w:r>
              <w:rPr>
                <w:rFonts w:hint="eastAsia" w:ascii="黑体" w:hAnsi="黑体" w:eastAsia="黑体" w:cs="宋体"/>
                <w:sz w:val="13"/>
                <w:szCs w:val="13"/>
                <w:lang w:val="en-US" w:eastAsia="zh-CN"/>
              </w:rPr>
              <w:t>路</w:t>
            </w:r>
            <w:r>
              <w:rPr>
                <w:rFonts w:hint="eastAsia" w:ascii="黑体" w:hAnsi="黑体" w:eastAsia="黑体" w:cs="宋体"/>
                <w:sz w:val="13"/>
                <w:szCs w:val="13"/>
              </w:rPr>
              <w:t>沿线片区01-A-03-10地块</w:t>
            </w:r>
          </w:p>
        </w:tc>
        <w:tc>
          <w:tcPr>
            <w:tcW w:w="175"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通川区双龙镇双丰社区</w:t>
            </w:r>
          </w:p>
          <w:p>
            <w:pPr>
              <w:snapToGrid w:val="0"/>
              <w:spacing w:line="289" w:lineRule="atLeast"/>
              <w:jc w:val="center"/>
              <w:rPr>
                <w:rFonts w:ascii="黑体" w:hAnsi="黑体" w:eastAsia="黑体" w:cs="宋体"/>
                <w:sz w:val="13"/>
                <w:szCs w:val="13"/>
              </w:rPr>
            </w:pPr>
          </w:p>
        </w:tc>
        <w:tc>
          <w:tcPr>
            <w:tcW w:w="254"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5127.2</w:t>
            </w:r>
            <w:r>
              <w:rPr>
                <w:rFonts w:hint="eastAsia" w:ascii="黑体" w:hAnsi="黑体" w:eastAsia="黑体" w:cs="宋体"/>
                <w:sz w:val="13"/>
                <w:szCs w:val="13"/>
              </w:rPr>
              <w:t>平方米(</w:t>
            </w:r>
            <w:r>
              <w:rPr>
                <w:rFonts w:ascii="黑体" w:hAnsi="黑体" w:eastAsia="黑体" w:cs="宋体"/>
                <w:sz w:val="13"/>
                <w:szCs w:val="13"/>
              </w:rPr>
              <w:t>7.69</w:t>
            </w:r>
            <w:r>
              <w:rPr>
                <w:rFonts w:hint="eastAsia" w:ascii="黑体" w:hAnsi="黑体" w:eastAsia="黑体" w:cs="宋体"/>
                <w:sz w:val="13"/>
                <w:szCs w:val="13"/>
              </w:rPr>
              <w:t>亩）</w:t>
            </w:r>
          </w:p>
        </w:tc>
        <w:tc>
          <w:tcPr>
            <w:tcW w:w="274"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 </w:t>
            </w:r>
          </w:p>
          <w:p>
            <w:pPr>
              <w:snapToGrid w:val="0"/>
              <w:spacing w:line="289" w:lineRule="atLeast"/>
              <w:rPr>
                <w:rFonts w:ascii="黑体" w:hAnsi="黑体" w:eastAsia="黑体" w:cs="宋体"/>
                <w:sz w:val="13"/>
                <w:szCs w:val="13"/>
              </w:rPr>
            </w:pPr>
            <w:r>
              <w:rPr>
                <w:rFonts w:hint="eastAsia" w:ascii="黑体" w:hAnsi="黑体" w:eastAsia="黑体" w:cs="宋体"/>
                <w:sz w:val="13"/>
                <w:szCs w:val="13"/>
              </w:rPr>
              <w:t>商业用地（加油加气站用地）</w:t>
            </w:r>
            <w:r>
              <w:rPr>
                <w:rFonts w:ascii="黑体" w:hAnsi="黑体" w:eastAsia="黑体" w:cs="宋体"/>
                <w:sz w:val="13"/>
                <w:szCs w:val="13"/>
              </w:rPr>
              <w:t xml:space="preserve"> </w:t>
            </w:r>
          </w:p>
          <w:p>
            <w:pPr>
              <w:snapToGrid w:val="0"/>
              <w:spacing w:line="289" w:lineRule="atLeast"/>
              <w:jc w:val="center"/>
              <w:rPr>
                <w:rFonts w:ascii="黑体" w:hAnsi="黑体" w:eastAsia="黑体" w:cs="宋体"/>
                <w:sz w:val="13"/>
                <w:szCs w:val="13"/>
              </w:rPr>
            </w:pPr>
          </w:p>
        </w:tc>
        <w:tc>
          <w:tcPr>
            <w:tcW w:w="228" w:type="pct"/>
            <w:tcBorders>
              <w:right w:val="single" w:color="000000" w:sz="4" w:space="0"/>
            </w:tcBorders>
            <w:vAlign w:val="center"/>
          </w:tcPr>
          <w:p>
            <w:pPr>
              <w:snapToGrid w:val="0"/>
              <w:spacing w:line="289" w:lineRule="atLeast"/>
              <w:jc w:val="center"/>
              <w:rPr>
                <w:rFonts w:ascii="黑体" w:hAnsi="黑体" w:eastAsia="黑体" w:cs="宋体"/>
                <w:color w:val="FF0000"/>
                <w:sz w:val="13"/>
                <w:szCs w:val="13"/>
              </w:rPr>
            </w:pPr>
          </w:p>
        </w:tc>
        <w:tc>
          <w:tcPr>
            <w:tcW w:w="242" w:type="pct"/>
            <w:vAlign w:val="center"/>
          </w:tcPr>
          <w:p>
            <w:pPr>
              <w:snapToGrid w:val="0"/>
              <w:spacing w:line="289" w:lineRule="atLeast"/>
              <w:jc w:val="center"/>
              <w:rPr>
                <w:rFonts w:ascii="黑体" w:hAnsi="黑体" w:eastAsia="黑体" w:cs="宋体"/>
                <w:color w:val="FF0000"/>
                <w:sz w:val="13"/>
                <w:szCs w:val="13"/>
              </w:rPr>
            </w:pPr>
          </w:p>
        </w:tc>
        <w:tc>
          <w:tcPr>
            <w:tcW w:w="288" w:type="pct"/>
            <w:vAlign w:val="center"/>
          </w:tcPr>
          <w:p>
            <w:pPr>
              <w:snapToGrid w:val="0"/>
              <w:spacing w:line="289" w:lineRule="atLeast"/>
              <w:jc w:val="center"/>
              <w:rPr>
                <w:rFonts w:ascii="黑体" w:hAnsi="黑体" w:eastAsia="黑体" w:cs="宋体"/>
                <w:color w:val="FF0000"/>
                <w:sz w:val="13"/>
                <w:szCs w:val="13"/>
              </w:rPr>
            </w:pPr>
          </w:p>
        </w:tc>
        <w:tc>
          <w:tcPr>
            <w:tcW w:w="266" w:type="pct"/>
            <w:vAlign w:val="center"/>
          </w:tcPr>
          <w:p>
            <w:pPr>
              <w:widowControl/>
              <w:jc w:val="left"/>
            </w:pPr>
            <w:r>
              <w:rPr>
                <w:rFonts w:ascii="黑体" w:hAnsi="黑体" w:eastAsia="黑体" w:cs="宋体"/>
                <w:sz w:val="13"/>
                <w:szCs w:val="13"/>
              </w:rPr>
              <w:t>HL≤9 米</w:t>
            </w:r>
            <w:r>
              <w:rPr>
                <w:rFonts w:ascii="仿宋_GB2312" w:hAnsi="宋体" w:eastAsia="仿宋_GB2312" w:cs="仿宋_GB2312"/>
                <w:kern w:val="0"/>
                <w:sz w:val="22"/>
                <w:szCs w:val="22"/>
              </w:rPr>
              <w:t xml:space="preserve"> </w:t>
            </w:r>
          </w:p>
          <w:p>
            <w:pPr>
              <w:snapToGrid w:val="0"/>
              <w:spacing w:line="289" w:lineRule="atLeast"/>
              <w:jc w:val="center"/>
              <w:rPr>
                <w:rFonts w:ascii="黑体" w:hAnsi="黑体" w:eastAsia="黑体" w:cs="宋体"/>
                <w:sz w:val="13"/>
                <w:szCs w:val="13"/>
              </w:rPr>
            </w:pPr>
          </w:p>
        </w:tc>
        <w:tc>
          <w:tcPr>
            <w:tcW w:w="806" w:type="pct"/>
            <w:vAlign w:val="center"/>
          </w:tcPr>
          <w:p>
            <w:pPr>
              <w:snapToGrid w:val="0"/>
              <w:spacing w:line="289" w:lineRule="atLeast"/>
              <w:jc w:val="left"/>
              <w:rPr>
                <w:rFonts w:ascii="黑体" w:hAnsi="黑体" w:eastAsia="黑体" w:cs="宋体"/>
                <w:sz w:val="13"/>
                <w:szCs w:val="13"/>
              </w:rPr>
            </w:pPr>
            <w:r>
              <w:rPr>
                <w:rFonts w:hint="eastAsia" w:ascii="黑体" w:hAnsi="黑体" w:eastAsia="黑体" w:cs="宋体"/>
                <w:sz w:val="13"/>
                <w:szCs w:val="13"/>
              </w:rPr>
              <w:t>应满足《达州市城市规划管理技术规定》（2019 版）及其修改补充规定、《汽车加油加气站设计与施工规范》（GB50156-2002）等规范及文件的相关规定。</w:t>
            </w:r>
            <w:r>
              <w:rPr>
                <w:rFonts w:ascii="黑体" w:hAnsi="黑体" w:eastAsia="黑体" w:cs="宋体"/>
                <w:sz w:val="13"/>
                <w:szCs w:val="13"/>
              </w:rPr>
              <w:cr/>
            </w:r>
          </w:p>
          <w:p>
            <w:pPr>
              <w:snapToGrid w:val="0"/>
              <w:spacing w:line="289" w:lineRule="atLeast"/>
              <w:jc w:val="center"/>
              <w:rPr>
                <w:rFonts w:ascii="黑体" w:hAnsi="黑体" w:eastAsia="黑体" w:cs="宋体"/>
                <w:sz w:val="13"/>
                <w:szCs w:val="13"/>
              </w:rPr>
            </w:pPr>
          </w:p>
        </w:tc>
        <w:tc>
          <w:tcPr>
            <w:tcW w:w="1006" w:type="pct"/>
            <w:tcBorders>
              <w:right w:val="single" w:color="000000" w:sz="4" w:space="0"/>
            </w:tcBorders>
            <w:vAlign w:val="center"/>
          </w:tcPr>
          <w:p>
            <w:pPr>
              <w:snapToGrid w:val="0"/>
              <w:spacing w:line="289" w:lineRule="atLeast"/>
              <w:jc w:val="left"/>
              <w:rPr>
                <w:rFonts w:ascii="黑体" w:hAnsi="黑体" w:eastAsia="黑体" w:cs="宋体"/>
                <w:sz w:val="13"/>
                <w:szCs w:val="13"/>
              </w:rPr>
            </w:pPr>
            <w:r>
              <w:rPr>
                <w:rFonts w:hint="eastAsia" w:ascii="黑体" w:hAnsi="黑体" w:eastAsia="黑体" w:cs="宋体"/>
                <w:sz w:val="13"/>
                <w:szCs w:val="13"/>
              </w:rPr>
              <w:t>详见《通川区环城路沿线</w:t>
            </w:r>
          </w:p>
          <w:p>
            <w:pPr>
              <w:snapToGrid w:val="0"/>
              <w:spacing w:line="289" w:lineRule="atLeast"/>
              <w:jc w:val="left"/>
              <w:rPr>
                <w:rFonts w:hint="eastAsia" w:ascii="黑体" w:hAnsi="黑体" w:eastAsia="黑体" w:cs="宋体"/>
                <w:sz w:val="13"/>
                <w:szCs w:val="13"/>
              </w:rPr>
            </w:pPr>
            <w:r>
              <w:rPr>
                <w:rFonts w:hint="eastAsia" w:ascii="黑体" w:hAnsi="黑体" w:eastAsia="黑体" w:cs="宋体"/>
                <w:sz w:val="13"/>
                <w:szCs w:val="13"/>
              </w:rPr>
              <w:t>片区01-A-03-10地块</w:t>
            </w:r>
            <w:r>
              <w:rPr>
                <w:rFonts w:hint="eastAsia" w:ascii="黑体" w:hAnsi="黑体" w:eastAsia="黑体" w:cs="宋体"/>
                <w:sz w:val="13"/>
                <w:szCs w:val="13"/>
                <w:lang w:val="en-US" w:eastAsia="zh-CN"/>
              </w:rPr>
              <w:t>规划条件</w:t>
            </w:r>
            <w:r>
              <w:rPr>
                <w:rFonts w:hint="eastAsia" w:ascii="黑体" w:hAnsi="黑体" w:eastAsia="黑体" w:cs="宋体"/>
                <w:sz w:val="13"/>
                <w:szCs w:val="13"/>
              </w:rPr>
              <w:t>》</w:t>
            </w:r>
            <w:r>
              <w:rPr>
                <w:rFonts w:ascii="黑体" w:hAnsi="黑体" w:eastAsia="黑体" w:cs="宋体"/>
                <w:sz w:val="13"/>
                <w:szCs w:val="13"/>
              </w:rPr>
              <w:t>。</w:t>
            </w:r>
          </w:p>
        </w:tc>
        <w:tc>
          <w:tcPr>
            <w:tcW w:w="287"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hint="eastAsia" w:ascii="黑体" w:hAnsi="黑体" w:eastAsia="黑体" w:cs="宋体"/>
                <w:sz w:val="13"/>
                <w:szCs w:val="13"/>
              </w:rPr>
              <w:t>商业用地40年</w:t>
            </w:r>
          </w:p>
        </w:tc>
        <w:tc>
          <w:tcPr>
            <w:tcW w:w="228"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165 万元/亩 </w:t>
            </w:r>
          </w:p>
          <w:p>
            <w:pPr>
              <w:snapToGrid w:val="0"/>
              <w:spacing w:line="289" w:lineRule="atLeast"/>
              <w:jc w:val="center"/>
              <w:rPr>
                <w:rFonts w:ascii="黑体" w:hAnsi="黑体" w:eastAsia="黑体" w:cs="宋体"/>
                <w:sz w:val="13"/>
                <w:szCs w:val="13"/>
              </w:rPr>
            </w:pPr>
          </w:p>
        </w:tc>
        <w:tc>
          <w:tcPr>
            <w:tcW w:w="262"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 xml:space="preserve">5 万元/亩或 5 万元/亩 </w:t>
            </w:r>
          </w:p>
          <w:p>
            <w:pPr>
              <w:snapToGrid w:val="0"/>
              <w:spacing w:line="289" w:lineRule="atLeast"/>
              <w:jc w:val="center"/>
              <w:rPr>
                <w:rFonts w:ascii="黑体" w:hAnsi="黑体" w:eastAsia="黑体" w:cs="宋体"/>
                <w:sz w:val="13"/>
                <w:szCs w:val="13"/>
              </w:rPr>
            </w:pPr>
            <w:r>
              <w:rPr>
                <w:rFonts w:ascii="黑体" w:hAnsi="黑体" w:eastAsia="黑体" w:cs="宋体"/>
                <w:sz w:val="13"/>
                <w:szCs w:val="13"/>
              </w:rPr>
              <w:t>的整数倍</w:t>
            </w:r>
          </w:p>
          <w:p>
            <w:pPr>
              <w:snapToGrid w:val="0"/>
              <w:spacing w:line="289" w:lineRule="atLeast"/>
              <w:jc w:val="center"/>
              <w:rPr>
                <w:rFonts w:ascii="黑体" w:hAnsi="黑体" w:eastAsia="黑体" w:cs="宋体"/>
                <w:sz w:val="13"/>
                <w:szCs w:val="13"/>
              </w:rPr>
            </w:pPr>
          </w:p>
        </w:tc>
        <w:tc>
          <w:tcPr>
            <w:tcW w:w="211" w:type="pct"/>
            <w:tcBorders>
              <w:right w:val="single" w:color="000000" w:sz="4" w:space="0"/>
            </w:tcBorders>
            <w:vAlign w:val="center"/>
          </w:tcPr>
          <w:p>
            <w:pPr>
              <w:snapToGrid w:val="0"/>
              <w:spacing w:line="289" w:lineRule="atLeast"/>
              <w:jc w:val="center"/>
              <w:rPr>
                <w:rFonts w:ascii="黑体" w:hAnsi="黑体" w:eastAsia="黑体" w:cs="宋体"/>
                <w:sz w:val="13"/>
                <w:szCs w:val="13"/>
              </w:rPr>
            </w:pPr>
            <w:r>
              <w:rPr>
                <w:rFonts w:ascii="黑体" w:hAnsi="黑体" w:eastAsia="黑体" w:cs="宋体"/>
                <w:sz w:val="13"/>
                <w:szCs w:val="13"/>
              </w:rPr>
              <w:t>630</w:t>
            </w:r>
            <w:r>
              <w:rPr>
                <w:rFonts w:hint="eastAsia" w:ascii="黑体" w:hAnsi="黑体" w:eastAsia="黑体" w:cs="宋体"/>
                <w:sz w:val="13"/>
                <w:szCs w:val="13"/>
              </w:rPr>
              <w:t>万元</w:t>
            </w:r>
          </w:p>
        </w:tc>
      </w:tr>
    </w:tbl>
    <w:p>
      <w:pPr>
        <w:snapToGrid w:val="0"/>
        <w:spacing w:line="600" w:lineRule="exact"/>
        <w:ind w:firstLine="560" w:firstLineChars="20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二、中华人民共和国境内外的法人、自然人和其他组织均可申请参加竞买，竞买申请人可以单独申请</w:t>
      </w:r>
      <w:r>
        <w:rPr>
          <w:rFonts w:asci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三、申请参加本公告土地竞买的，竞买保证金须按竞买宗地对应金额</w:t>
      </w:r>
      <w:r>
        <w:rPr>
          <w:rFonts w:hint="eastAsia" w:cs="宋体" w:asciiTheme="minorEastAsia" w:hAnsiTheme="minorEastAsia" w:eastAsiaTheme="minorEastAsia"/>
          <w:color w:val="000000" w:themeColor="text1"/>
          <w:sz w:val="28"/>
          <w:szCs w:val="28"/>
          <w14:textFill>
            <w14:solidFill>
              <w14:schemeClr w14:val="tx1"/>
            </w14:solidFill>
          </w14:textFill>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四、本次国有建设用地使用权拍卖出让</w:t>
      </w:r>
      <w:r>
        <w:rPr>
          <w:rFonts w:hint="eastAsia" w:ascii="楷体" w:hAnsi="楷体" w:eastAsia="楷体" w:cs="宋体"/>
          <w:b/>
          <w:color w:val="000000" w:themeColor="text1"/>
          <w:sz w:val="28"/>
          <w:szCs w:val="28"/>
          <w:u w:val="single"/>
          <w14:textFill>
            <w14:solidFill>
              <w14:schemeClr w14:val="tx1"/>
            </w14:solidFill>
          </w14:textFill>
        </w:rPr>
        <w:t>政府设有底价，采用增价拍卖方式竞价，按照价高者得原则确定竞得人（不低于政府底价）</w:t>
      </w:r>
      <w:r>
        <w:rPr>
          <w:rFonts w:hint="eastAsia" w:ascii="楷体" w:hAnsi="楷体" w:eastAsia="楷体" w:cs="宋体"/>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）查阅网上操作指南，完成用户注册、网上报名等</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Style w:val="17"/>
          <w:rFonts w:asciiTheme="minorEastAsia" w:hAnsiTheme="minorEastAsia" w:eastAsiaTheme="minorEastAsia"/>
          <w:b/>
          <w:color w:val="FF0000"/>
          <w:sz w:val="28"/>
          <w:szCs w:val="28"/>
        </w:rPr>
      </w:pP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已完成用户注册的竞买申请人须在</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w:t>
      </w:r>
      <w:r>
        <w:rPr>
          <w:rStyle w:val="17"/>
          <w:rFonts w:ascii="仿宋" w:hAnsi="仿宋" w:eastAsia="仿宋" w:cs="宋体"/>
          <w:color w:val="FF0000"/>
          <w:sz w:val="28"/>
          <w:szCs w:val="28"/>
        </w:rPr>
        <w:t>5</w:t>
      </w:r>
      <w:r>
        <w:rPr>
          <w:rStyle w:val="17"/>
          <w:rFonts w:hint="eastAsia" w:ascii="仿宋" w:hAnsi="仿宋" w:eastAsia="仿宋" w:cs="宋体"/>
          <w:color w:val="FF0000"/>
          <w:sz w:val="28"/>
          <w:szCs w:val="28"/>
        </w:rPr>
        <w:t>月</w:t>
      </w:r>
      <w:r>
        <w:rPr>
          <w:rStyle w:val="17"/>
          <w:rFonts w:ascii="仿宋" w:hAnsi="仿宋" w:eastAsia="仿宋" w:cs="宋体"/>
          <w:color w:val="FF0000"/>
          <w:sz w:val="28"/>
          <w:szCs w:val="28"/>
        </w:rPr>
        <w:t>6</w:t>
      </w:r>
      <w:r>
        <w:rPr>
          <w:rStyle w:val="17"/>
          <w:rFonts w:hint="eastAsia" w:ascii="仿宋" w:hAnsi="仿宋" w:eastAsia="仿宋" w:cs="宋体"/>
          <w:color w:val="FF0000"/>
          <w:sz w:val="28"/>
          <w:szCs w:val="28"/>
        </w:rPr>
        <w:t>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）通过系统提交竞买申请。通过指定账户缴纳竞买保证金，到账截止时间为</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w:t>
      </w:r>
      <w:r>
        <w:rPr>
          <w:rStyle w:val="17"/>
          <w:rFonts w:ascii="仿宋" w:hAnsi="仿宋" w:eastAsia="仿宋" w:cs="宋体"/>
          <w:color w:val="FF0000"/>
          <w:sz w:val="28"/>
          <w:szCs w:val="28"/>
        </w:rPr>
        <w:t>5</w:t>
      </w:r>
      <w:r>
        <w:rPr>
          <w:rStyle w:val="17"/>
          <w:rFonts w:hint="eastAsia" w:ascii="仿宋" w:hAnsi="仿宋" w:eastAsia="仿宋" w:cs="宋体"/>
          <w:color w:val="FF0000"/>
          <w:sz w:val="28"/>
          <w:szCs w:val="28"/>
        </w:rPr>
        <w:t>月</w:t>
      </w:r>
      <w:r>
        <w:rPr>
          <w:rStyle w:val="17"/>
          <w:rFonts w:ascii="仿宋" w:hAnsi="仿宋" w:eastAsia="仿宋" w:cs="宋体"/>
          <w:color w:val="FF0000"/>
          <w:sz w:val="28"/>
          <w:szCs w:val="28"/>
        </w:rPr>
        <w:t>6</w:t>
      </w:r>
      <w:r>
        <w:rPr>
          <w:rStyle w:val="17"/>
          <w:rFonts w:hint="eastAsia" w:ascii="仿宋" w:hAnsi="仿宋" w:eastAsia="仿宋" w:cs="宋体"/>
          <w:color w:val="FF0000"/>
          <w:sz w:val="28"/>
          <w:szCs w:val="28"/>
        </w:rPr>
        <w:t>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b/>
          <w:color w:val="FF0000"/>
          <w:sz w:val="28"/>
          <w:szCs w:val="28"/>
        </w:rPr>
        <w:t>时</w:t>
      </w:r>
      <w:r>
        <w:rPr>
          <w:rStyle w:val="17"/>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已提交申请的竞买申请人须在</w:t>
      </w:r>
      <w:r>
        <w:rPr>
          <w:rFonts w:hint="eastAsia" w:ascii="楷体" w:hAnsi="楷体" w:eastAsia="楷体" w:cs="宋体"/>
          <w:b/>
          <w:color w:val="000000" w:themeColor="text1"/>
          <w:sz w:val="28"/>
          <w:szCs w:val="28"/>
          <w14:textFill>
            <w14:solidFill>
              <w14:schemeClr w14:val="tx1"/>
            </w14:solidFill>
          </w14:textFill>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w:t>
      </w:r>
      <w:r>
        <w:rPr>
          <w:rFonts w:ascii="楷体" w:hAnsi="楷体" w:eastAsia="楷体" w:cs="宋体"/>
          <w:b/>
          <w:color w:val="FF0000"/>
          <w:sz w:val="28"/>
          <w:szCs w:val="28"/>
          <w:u w:val="single"/>
        </w:rPr>
        <w:t>5</w:t>
      </w:r>
      <w:r>
        <w:rPr>
          <w:rFonts w:hint="eastAsia" w:ascii="楷体" w:hAnsi="楷体" w:eastAsia="楷体" w:cs="宋体"/>
          <w:b/>
          <w:color w:val="FF0000"/>
          <w:sz w:val="28"/>
          <w:szCs w:val="28"/>
          <w:u w:val="single"/>
        </w:rPr>
        <w:t>月</w:t>
      </w:r>
      <w:r>
        <w:rPr>
          <w:rFonts w:ascii="楷体" w:hAnsi="楷体" w:eastAsia="楷体" w:cs="宋体"/>
          <w:b/>
          <w:color w:val="FF0000"/>
          <w:sz w:val="28"/>
          <w:szCs w:val="28"/>
          <w:u w:val="single"/>
        </w:rPr>
        <w:t>7</w:t>
      </w:r>
      <w:r>
        <w:rPr>
          <w:rFonts w:hint="eastAsia" w:ascii="楷体" w:hAnsi="楷体" w:eastAsia="楷体" w:cs="宋体"/>
          <w:b/>
          <w:color w:val="FF0000"/>
          <w:sz w:val="28"/>
          <w:szCs w:val="28"/>
          <w:u w:val="single"/>
        </w:rPr>
        <w:t>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14:textFill>
            <w14:solidFill>
              <w14:schemeClr w14:val="tx1"/>
            </w14:solidFill>
          </w14:textFill>
        </w:rPr>
        <w:t>之前将竞买申请文件原件现场提交至达州市公共资源交易服务中心</w:t>
      </w:r>
      <w:r>
        <w:rPr>
          <w:rFonts w:hint="eastAsia" w:ascii="仿宋" w:hAnsi="仿宋" w:eastAsia="仿宋" w:cs="宋体"/>
          <w:color w:val="000000" w:themeColor="text1"/>
          <w:sz w:val="28"/>
          <w:szCs w:val="28"/>
          <w:u w:val="single"/>
          <w14:textFill>
            <w14:solidFill>
              <w14:schemeClr w14:val="tx1"/>
            </w14:solidFill>
          </w14:textFill>
        </w:rPr>
        <w:t>4B-17</w:t>
      </w:r>
      <w:r>
        <w:rPr>
          <w:rFonts w:hint="eastAsia" w:cs="宋体" w:asciiTheme="minorEastAsia" w:hAnsiTheme="minorEastAsia" w:eastAsiaTheme="minorEastAsia"/>
          <w:color w:val="000000" w:themeColor="text1"/>
          <w:sz w:val="28"/>
          <w:szCs w:val="28"/>
          <w14:textFill>
            <w14:solidFill>
              <w14:schemeClr w14:val="tx1"/>
            </w14:solidFill>
          </w14:textFill>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w:t>
      </w:r>
      <w:r>
        <w:rPr>
          <w:rFonts w:cs="宋体" w:asciiTheme="minorEastAsia" w:hAnsiTheme="minorEastAsia" w:eastAsiaTheme="minorEastAsia"/>
          <w:b/>
          <w:color w:val="FF0000"/>
          <w:sz w:val="28"/>
          <w:szCs w:val="28"/>
          <w:u w:val="single"/>
        </w:rPr>
        <w:t>5</w:t>
      </w:r>
      <w:r>
        <w:rPr>
          <w:rFonts w:hint="eastAsia" w:cs="宋体" w:asciiTheme="minorEastAsia" w:hAnsiTheme="minorEastAsia" w:eastAsiaTheme="minorEastAsia"/>
          <w:b/>
          <w:color w:val="FF0000"/>
          <w:sz w:val="28"/>
          <w:szCs w:val="28"/>
          <w:u w:val="single"/>
        </w:rPr>
        <w:t>月</w:t>
      </w:r>
      <w:r>
        <w:rPr>
          <w:rFonts w:cs="宋体" w:asciiTheme="minorEastAsia" w:hAnsiTheme="minorEastAsia" w:eastAsiaTheme="minorEastAsia"/>
          <w:b/>
          <w:color w:val="FF0000"/>
          <w:sz w:val="28"/>
          <w:szCs w:val="28"/>
          <w:u w:val="single"/>
        </w:rPr>
        <w:t>7</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14:textFill>
            <w14:solidFill>
              <w14:schemeClr w14:val="tx1"/>
            </w14:solidFill>
          </w14:textFill>
        </w:rPr>
        <w:t>前自行通过达州市公共资源交易服务</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打印竞买资格确认书并带到拍卖现场</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六、</w:t>
      </w:r>
      <w:r>
        <w:rPr>
          <w:rFonts w:hint="eastAsia" w:asciiTheme="minorEastAsia" w:hAnsiTheme="minorEastAsia" w:eastAsiaTheme="minorEastAsia"/>
          <w:color w:val="000000" w:themeColor="text1"/>
          <w:sz w:val="28"/>
          <w:szCs w:val="28"/>
          <w14:textFill>
            <w14:solidFill>
              <w14:schemeClr w14:val="tx1"/>
            </w14:solidFill>
          </w14:textFill>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 xml:space="preserve">1年 </w:t>
      </w:r>
      <w:r>
        <w:rPr>
          <w:rFonts w:cs="宋体" w:asciiTheme="minorEastAsia" w:hAnsiTheme="minorEastAsia" w:eastAsiaTheme="minorEastAsia"/>
          <w:b/>
          <w:color w:val="FF0000"/>
          <w:sz w:val="28"/>
          <w:szCs w:val="28"/>
          <w:u w:val="single"/>
        </w:rPr>
        <w:t>5</w:t>
      </w:r>
      <w:r>
        <w:rPr>
          <w:rFonts w:hint="eastAsia" w:cs="宋体" w:asciiTheme="minorEastAsia" w:hAnsiTheme="minorEastAsia" w:eastAsiaTheme="minorEastAsia"/>
          <w:b/>
          <w:color w:val="FF0000"/>
          <w:sz w:val="28"/>
          <w:szCs w:val="28"/>
          <w:u w:val="single"/>
        </w:rPr>
        <w:t>月</w:t>
      </w:r>
      <w:r>
        <w:rPr>
          <w:rFonts w:cs="宋体" w:asciiTheme="minorEastAsia" w:hAnsiTheme="minorEastAsia" w:eastAsiaTheme="minorEastAsia"/>
          <w:b/>
          <w:color w:val="FF0000"/>
          <w:sz w:val="28"/>
          <w:szCs w:val="28"/>
          <w:u w:val="single"/>
        </w:rPr>
        <w:t>7</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14:textFill>
            <w14:solidFill>
              <w14:schemeClr w14:val="tx1"/>
            </w14:solidFill>
          </w14:textFill>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14:textFill>
            <w14:solidFill>
              <w14:schemeClr w14:val="tx1"/>
            </w14:solidFill>
          </w14:textFill>
        </w:rPr>
        <w:t>举行</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拍卖会时间可能因资格审查而延迟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八、本公告未尽事宜详见拍卖出让文件（拍卖出让文件可在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）下载）</w:t>
      </w:r>
      <w:r>
        <w:rPr>
          <w:rFonts w:hint="eastAsia" w:asciiTheme="minorEastAsia" w:hAnsiTheme="minorEastAsia" w:eastAsiaTheme="minorEastAsia"/>
          <w:color w:val="000000" w:themeColor="text1"/>
          <w:sz w:val="28"/>
          <w:szCs w:val="28"/>
          <w14:textFill>
            <w14:solidFill>
              <w14:schemeClr w14:val="tx1"/>
            </w14:solidFill>
          </w14:textFill>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578" w:lineRule="exact"/>
        <w:ind w:firstLine="555"/>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十</w:t>
      </w:r>
      <w:r>
        <w:rPr>
          <w:rFonts w:asciiTheme="minorEastAsia" w:hAnsiTheme="minorEastAsia" w:eastAsiaTheme="minorEastAsia"/>
          <w:color w:val="000000" w:themeColor="text1"/>
          <w:sz w:val="28"/>
          <w:szCs w:val="28"/>
          <w14:textFill>
            <w14:solidFill>
              <w14:schemeClr w14:val="tx1"/>
            </w14:solidFill>
          </w14:textFill>
        </w:rPr>
        <w:t>、联系方式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出让人：达州市自然资源和规划局</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0818-2377534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0818-2183355</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578" w:lineRule="exact"/>
        <w:ind w:right="1100"/>
        <w:jc w:val="right"/>
        <w:rPr>
          <w:rFonts w:ascii="仿宋" w:hAnsi="仿宋" w:eastAsia="仿宋" w:cs="宋体"/>
          <w:b/>
          <w:color w:val="FF0000"/>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FF0000"/>
          <w:sz w:val="28"/>
          <w:szCs w:val="28"/>
        </w:rPr>
        <w:t>202</w:t>
      </w:r>
      <w:r>
        <w:rPr>
          <w:rFonts w:hint="eastAsia" w:ascii="仿宋" w:hAnsi="仿宋" w:eastAsia="仿宋" w:cs="宋体"/>
          <w:b/>
          <w:color w:val="FF0000"/>
          <w:sz w:val="28"/>
          <w:szCs w:val="28"/>
        </w:rPr>
        <w:t>1年4月</w:t>
      </w:r>
      <w:r>
        <w:rPr>
          <w:rFonts w:ascii="仿宋" w:hAnsi="仿宋" w:eastAsia="仿宋" w:cs="宋体"/>
          <w:b/>
          <w:color w:val="FF0000"/>
          <w:sz w:val="28"/>
          <w:szCs w:val="28"/>
        </w:rPr>
        <w:t>16</w:t>
      </w:r>
      <w:r>
        <w:rPr>
          <w:rFonts w:hint="eastAsia" w:ascii="仿宋" w:hAnsi="仿宋" w:eastAsia="仿宋" w:cs="宋体"/>
          <w:b/>
          <w:color w:val="FF0000"/>
          <w:sz w:val="28"/>
          <w:szCs w:val="28"/>
        </w:rPr>
        <w:t>日</w:t>
      </w:r>
    </w:p>
    <w:p>
      <w:pPr>
        <w:pStyle w:val="12"/>
        <w:spacing w:before="0" w:after="0" w:line="600" w:lineRule="exact"/>
        <w:rPr>
          <w:rFonts w:ascii="方正小标宋简体" w:hAnsi="宋体" w:eastAsia="方正小标宋简体"/>
          <w:b w:val="0"/>
          <w:color w:val="000000" w:themeColor="text1"/>
          <w:sz w:val="44"/>
          <w:szCs w:val="44"/>
          <w14:textFill>
            <w14:solidFill>
              <w14:schemeClr w14:val="tx1"/>
            </w14:solidFill>
          </w14:textFill>
        </w:rPr>
      </w:pPr>
      <w:r>
        <w:rPr>
          <w:rFonts w:hint="eastAsia" w:ascii="方正小标宋简体" w:hAnsi="宋体" w:eastAsia="方正小标宋简体"/>
          <w:b w:val="0"/>
          <w:color w:val="000000" w:themeColor="text1"/>
          <w:sz w:val="44"/>
          <w:szCs w:val="44"/>
          <w14:textFill>
            <w14:solidFill>
              <w14:schemeClr w14:val="tx1"/>
            </w14:solidFill>
          </w14:textFill>
        </w:rPr>
        <w:t>国有建设用地使用权拍卖出让须知</w:t>
      </w:r>
      <w:bookmarkEnd w:id="2"/>
      <w:bookmarkEnd w:id="3"/>
    </w:p>
    <w:p>
      <w:pPr>
        <w:spacing w:line="600" w:lineRule="exact"/>
        <w:rPr>
          <w:rFonts w:ascii="宋体"/>
          <w:color w:val="000000" w:themeColor="text1"/>
          <w:sz w:val="28"/>
          <w:szCs w:val="28"/>
          <w14:textFill>
            <w14:solidFill>
              <w14:schemeClr w14:val="tx1"/>
            </w14:solidFill>
          </w14:textFill>
        </w:rPr>
      </w:pPr>
    </w:p>
    <w:p>
      <w:pPr>
        <w:wordWrap w:val="0"/>
        <w:spacing w:line="60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达州市自然资源和规划局</w:t>
      </w:r>
      <w:r>
        <w:rPr>
          <w:rFonts w:hint="eastAsia" w:ascii="宋体" w:hAnsi="宋体"/>
          <w:color w:val="000000" w:themeColor="text1"/>
          <w:sz w:val="28"/>
          <w:szCs w:val="28"/>
          <w14:textFill>
            <w14:solidFill>
              <w14:schemeClr w14:val="tx1"/>
            </w14:solidFill>
          </w14:textFill>
        </w:rPr>
        <w:t>决定拍卖出让</w:t>
      </w:r>
      <w:r>
        <w:rPr>
          <w:rFonts w:hint="eastAsia" w:ascii="宋体" w:hAnsi="宋体"/>
          <w:color w:val="000000" w:themeColor="text1"/>
          <w:sz w:val="28"/>
          <w:szCs w:val="28"/>
          <w:u w:val="single"/>
          <w14:textFill>
            <w14:solidFill>
              <w14:schemeClr w14:val="tx1"/>
            </w14:solidFill>
          </w14:textFill>
        </w:rPr>
        <w:t>通川区环城路沿线片区01-A-03-10地块</w:t>
      </w:r>
      <w:r>
        <w:rPr>
          <w:rFonts w:hint="eastAsia" w:ascii="宋体" w:hAnsi="宋体"/>
          <w:color w:val="000000" w:themeColor="text1"/>
          <w:sz w:val="28"/>
          <w:szCs w:val="28"/>
          <w14:textFill>
            <w14:solidFill>
              <w14:schemeClr w14:val="tx1"/>
            </w14:solidFill>
          </w14:textFill>
        </w:rPr>
        <w:t>国有建设用地使用权。</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一、本次国有建设用地使用权拍卖出让的出让人为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楷体" w:hAnsi="楷体" w:eastAsia="楷体"/>
          <w:b/>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由达州市公共资源交易服务中心</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简称：拍卖人</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具体组织实施。</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三、出让地块的基本情况及相关要求</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（一）地块位置：通川区双龙镇双丰社区；</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（二）地块范围： 详见《通川区环城路沿线片区01-A-03-10地块供地勘界图》；</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（三）出让面积：</w:t>
      </w:r>
      <w:r>
        <w:rPr>
          <w:rFonts w:ascii="宋体" w:hAnsi="宋体"/>
          <w:color w:val="000000" w:themeColor="text1"/>
          <w:sz w:val="28"/>
          <w:szCs w:val="28"/>
          <w14:textFill>
            <w14:solidFill>
              <w14:schemeClr w14:val="tx1"/>
            </w14:solidFill>
          </w14:textFill>
        </w:rPr>
        <w:t>5127.2</w:t>
      </w:r>
      <w:r>
        <w:rPr>
          <w:rFonts w:hint="eastAsia" w:ascii="宋体" w:hAnsi="宋体"/>
          <w:color w:val="000000" w:themeColor="text1"/>
          <w:sz w:val="28"/>
          <w:szCs w:val="28"/>
          <w14:textFill>
            <w14:solidFill>
              <w14:schemeClr w14:val="tx1"/>
            </w14:solidFill>
          </w14:textFill>
        </w:rPr>
        <w:t>平方米（</w:t>
      </w:r>
      <w:r>
        <w:rPr>
          <w:rFonts w:ascii="宋体" w:hAnsi="宋体"/>
          <w:color w:val="000000" w:themeColor="text1"/>
          <w:sz w:val="28"/>
          <w:szCs w:val="28"/>
          <w14:textFill>
            <w14:solidFill>
              <w14:schemeClr w14:val="tx1"/>
            </w14:solidFill>
          </w14:textFill>
        </w:rPr>
        <w:t>7.69</w:t>
      </w:r>
      <w:r>
        <w:rPr>
          <w:rFonts w:hint="eastAsia" w:ascii="宋体" w:hAnsi="宋体"/>
          <w:color w:val="000000" w:themeColor="text1"/>
          <w:sz w:val="28"/>
          <w:szCs w:val="28"/>
          <w14:textFill>
            <w14:solidFill>
              <w14:schemeClr w14:val="tx1"/>
            </w14:solidFill>
          </w14:textFill>
        </w:rPr>
        <w:t>亩）；</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（四）土地用途：商业用地（加油加气站用地）；</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（五）出让年限：商业</w:t>
      </w:r>
      <w:r>
        <w:rPr>
          <w:rFonts w:ascii="宋体" w:hAnsi="宋体"/>
          <w:color w:val="000000" w:themeColor="text1"/>
          <w:sz w:val="28"/>
          <w:szCs w:val="28"/>
          <w14:textFill>
            <w14:solidFill>
              <w14:schemeClr w14:val="tx1"/>
            </w14:solidFill>
          </w14:textFill>
        </w:rPr>
        <w:t>40</w:t>
      </w:r>
      <w:r>
        <w:rPr>
          <w:rFonts w:hint="eastAsia" w:ascii="宋体" w:hAnsi="宋体"/>
          <w:color w:val="000000" w:themeColor="text1"/>
          <w:sz w:val="28"/>
          <w:szCs w:val="28"/>
          <w14:textFill>
            <w14:solidFill>
              <w14:schemeClr w14:val="tx1"/>
            </w14:solidFill>
          </w14:textFill>
        </w:rPr>
        <w:t>年；</w:t>
      </w:r>
    </w:p>
    <w:p>
      <w:pPr>
        <w:spacing w:line="60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（六）规划条件：详见《通川区环城路沿线片区01-A-03-10地块规划条件》</w:t>
      </w:r>
      <w:r>
        <w:rPr>
          <w:rFonts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（七）地块应满足《达州市城市规划管理技术规定》（2019 版）及其修改补充规定、《汽车加油加气站设计与施工规范》（GB 50156-2002）等规范及文件的相关规定。项目排水实行雨污分流，建成后如生产、生活污水不能接入市政污水管网排放的，建设单位须同步配套污水处理设施，确保生产、生活污水处理达标后排放。</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（八）按照《四川省成品油市场管理办法实施细则》（川经办运行[2009]5 号）的规定，竞买人必须提供四川省经信厅或委托达州市经信局同意竞买人竞买的预核准文件；土地竞得人应按照《汽车加油加气站设计与施工规范》（GB50156-2014）的要求，规划好加油站、加气站、加油加气合建站与站外建（构）筑物的安全间距；竞买人需具有加油、加气经营许可证。</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（九）本宗地实行现状出让：宗地场地平整、弃土及其他附着物的清理由竞得人自行解决并承担费用</w:t>
      </w:r>
      <w:bookmarkStart w:id="21" w:name="_GoBack"/>
      <w:bookmarkEnd w:id="21"/>
      <w:r>
        <w:rPr>
          <w:rFonts w:hint="eastAsia" w:ascii="宋体" w:hAnsi="宋体"/>
          <w:color w:val="000000" w:themeColor="text1"/>
          <w:sz w:val="28"/>
          <w:szCs w:val="28"/>
          <w14:textFill>
            <w14:solidFill>
              <w14:schemeClr w14:val="tx1"/>
            </w14:solidFill>
          </w14:textFill>
        </w:rPr>
        <w:t>；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jc w:val="left"/>
        <w:rPr>
          <w:rFonts w:hint="eastAsia" w:ascii="宋体" w:hAnsi="宋体"/>
          <w:sz w:val="28"/>
          <w:szCs w:val="28"/>
        </w:rPr>
      </w:pPr>
      <w:r>
        <w:rPr>
          <w:rFonts w:hint="eastAsia" w:ascii="宋体" w:hAnsi="宋体"/>
          <w:color w:val="000000" w:themeColor="text1"/>
          <w:sz w:val="28"/>
          <w:szCs w:val="28"/>
          <w14:textFill>
            <w14:solidFill>
              <w14:schemeClr w14:val="tx1"/>
            </w14:solidFill>
          </w14:textFill>
        </w:rPr>
        <w:t>（十）动工及竣工期限：受让人须自交地之日起 1 年内开工，自开工之日起 3 年内建成；受让人不能按期开工，应提</w:t>
      </w:r>
      <w:r>
        <w:rPr>
          <w:rFonts w:hint="eastAsia" w:ascii="宋体" w:hAnsi="宋体"/>
          <w:sz w:val="28"/>
          <w:szCs w:val="28"/>
        </w:rPr>
        <w:t>前 30 日向出让人提出延建申请，经出让人同意延建的，其项目竣工时间相应顺延，但延建期限不得超过一年。</w:t>
      </w:r>
    </w:p>
    <w:p>
      <w:pPr>
        <w:spacing w:line="600" w:lineRule="exact"/>
        <w:ind w:firstLine="560" w:firstLineChars="200"/>
        <w:rPr>
          <w:rFonts w:hint="eastAsia" w:ascii="宋体" w:hAnsi="宋体"/>
          <w:sz w:val="28"/>
          <w:szCs w:val="28"/>
        </w:rPr>
      </w:pPr>
      <w:r>
        <w:rPr>
          <w:rFonts w:hint="eastAsia" w:ascii="宋体" w:hAnsi="宋体"/>
          <w:sz w:val="28"/>
          <w:szCs w:val="28"/>
        </w:rPr>
        <w:t>（十一）土地竞得人须严格按照达州市环城路沿线片区 01-A-03-10 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四、竞买资格及要求</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 xml:space="preserve"> (一)竞买资格</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2.在达州市内有下列情形之一的，不得申请参与本次拍卖活动。</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①逾期不签成交确认书、土地出让合同的；</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②欠缴土地出让价款的；</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14:textFill>
            <w14:solidFill>
              <w14:schemeClr w14:val="tx1"/>
            </w14:solidFill>
          </w14:textFill>
        </w:rPr>
        <w:t>③因企业原因闲置土地一年以上，且尚未完成查处整改的单位和个</w:t>
      </w:r>
      <w:r>
        <w:rPr>
          <w:rFonts w:hint="eastAsia" w:ascii="仿宋" w:hAnsi="仿宋" w:eastAsia="仿宋" w:cs="宋体"/>
          <w:color w:val="000000" w:themeColor="text1"/>
          <w:sz w:val="28"/>
          <w:szCs w:val="28"/>
          <w14:textFill>
            <w14:solidFill>
              <w14:schemeClr w14:val="tx1"/>
            </w14:solidFill>
          </w14:textFill>
        </w:rPr>
        <w:t>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④违反土地及城乡规划法律法规受到处罚，且尚未结案的单位和个人。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（二）要求</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ascii="仿宋" w:hAnsi="仿宋" w:eastAsia="仿宋" w:cs="仿宋_GB2312"/>
          <w:b/>
          <w:color w:val="000000" w:themeColor="text1"/>
          <w:sz w:val="28"/>
          <w:szCs w:val="28"/>
          <w:u w:val="single"/>
          <w14:textFill>
            <w14:solidFill>
              <w14:schemeClr w14:val="tx1"/>
            </w14:solidFill>
          </w14:textFill>
        </w:rPr>
        <w:t xml:space="preserve">0818-2377534  </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拍卖人电话0818-</w:t>
      </w:r>
      <w:r>
        <w:rPr>
          <w:rFonts w:hint="eastAsia" w:eastAsia="仿宋_GB2312"/>
          <w:color w:val="000000" w:themeColor="text1"/>
          <w:sz w:val="32"/>
          <w:szCs w:val="32"/>
          <w:lang w:val="en-US" w:eastAsia="zh-CN"/>
          <w14:textFill>
            <w14:solidFill>
              <w14:schemeClr w14:val="tx1"/>
            </w14:solidFill>
          </w14:textFill>
        </w:rPr>
        <w:t>3333966</w:t>
      </w:r>
      <w:r>
        <w:rPr>
          <w:rFonts w:hint="eastAsia" w:eastAsia="仿宋_GB2312"/>
          <w:color w:val="000000" w:themeColor="text1"/>
          <w:sz w:val="32"/>
          <w:szCs w:val="32"/>
          <w14:textFill>
            <w14:solidFill>
              <w14:schemeClr w14:val="tx1"/>
            </w14:solidFill>
          </w14:textFill>
        </w:rPr>
        <w:t>）。</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3.土地所在辖区外的竞买申请人须承诺，若竞得土地使用权后，须在土地所在辖区成立一家新公司对竞得土地进行开发建设。</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五、申请和资格审查</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（一）拍卖文件取得</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竞买申请人可于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1年4月16日至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w:t>
      </w:r>
      <w:r>
        <w:rPr>
          <w:rFonts w:ascii="仿宋" w:hAnsi="仿宋" w:eastAsia="仿宋" w:cs="宋体"/>
          <w:b/>
          <w:color w:val="FF0000"/>
          <w:sz w:val="28"/>
          <w:szCs w:val="28"/>
          <w:u w:val="single"/>
        </w:rPr>
        <w:t>5</w:t>
      </w:r>
      <w:r>
        <w:rPr>
          <w:rFonts w:hint="eastAsia" w:ascii="仿宋" w:hAnsi="仿宋" w:eastAsia="仿宋" w:cs="宋体"/>
          <w:b/>
          <w:color w:val="FF0000"/>
          <w:sz w:val="28"/>
          <w:szCs w:val="28"/>
          <w:u w:val="single"/>
        </w:rPr>
        <w:t>月</w:t>
      </w:r>
      <w:r>
        <w:rPr>
          <w:rFonts w:ascii="仿宋" w:hAnsi="仿宋" w:eastAsia="仿宋" w:cs="宋体"/>
          <w:b/>
          <w:color w:val="FF0000"/>
          <w:sz w:val="28"/>
          <w:szCs w:val="28"/>
          <w:u w:val="single"/>
        </w:rPr>
        <w:t>6</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kern w:val="2"/>
          <w:sz w:val="32"/>
          <w:szCs w:val="32"/>
          <w14:textFill>
            <w14:solidFill>
              <w14:schemeClr w14:val="tx1"/>
            </w14:solidFill>
          </w14:textFill>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14:textFill>
            <w14:solidFill>
              <w14:schemeClr w14:val="tx1"/>
            </w14:solidFill>
          </w14:textFill>
        </w:rPr>
        <w:t>http://www.dzggzy.cn</w:t>
      </w:r>
      <w:r>
        <w:rPr>
          <w:rFonts w:hint="eastAsia" w:eastAsia="仿宋_GB2312"/>
          <w:color w:val="000000" w:themeColor="text1"/>
          <w:kern w:val="2"/>
          <w:sz w:val="32"/>
          <w:szCs w:val="32"/>
          <w14:textFill>
            <w14:solidFill>
              <w14:schemeClr w14:val="tx1"/>
            </w14:solidFill>
          </w14:textFill>
        </w:rPr>
        <w:fldChar w:fldCharType="end"/>
      </w:r>
      <w:r>
        <w:rPr>
          <w:rFonts w:hint="eastAsia" w:eastAsia="仿宋_GB2312"/>
          <w:color w:val="000000" w:themeColor="text1"/>
          <w:kern w:val="2"/>
          <w:sz w:val="32"/>
          <w:szCs w:val="32"/>
          <w14:textFill>
            <w14:solidFill>
              <w14:schemeClr w14:val="tx1"/>
            </w14:solidFill>
          </w14:textFill>
        </w:rPr>
        <w:t>）获取拍卖出让文件。</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（二）提交申请文件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1年4月</w:t>
      </w:r>
      <w:r>
        <w:rPr>
          <w:rFonts w:ascii="仿宋" w:hAnsi="仿宋" w:eastAsia="仿宋" w:cs="宋体"/>
          <w:b/>
          <w:color w:val="FF0000"/>
          <w:sz w:val="28"/>
          <w:szCs w:val="28"/>
          <w:u w:val="single"/>
        </w:rPr>
        <w:t>16</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w:t>
      </w:r>
      <w:r>
        <w:rPr>
          <w:rFonts w:ascii="仿宋" w:hAnsi="仿宋" w:eastAsia="仿宋" w:cs="宋体"/>
          <w:b/>
          <w:color w:val="FF0000"/>
          <w:sz w:val="28"/>
          <w:szCs w:val="28"/>
          <w:u w:val="single"/>
        </w:rPr>
        <w:t>5</w:t>
      </w:r>
      <w:r>
        <w:rPr>
          <w:rFonts w:hint="eastAsia" w:ascii="仿宋" w:hAnsi="仿宋" w:eastAsia="仿宋" w:cs="宋体"/>
          <w:b/>
          <w:color w:val="FF0000"/>
          <w:sz w:val="28"/>
          <w:szCs w:val="28"/>
          <w:u w:val="single"/>
        </w:rPr>
        <w:t>月</w:t>
      </w:r>
      <w:r>
        <w:rPr>
          <w:rFonts w:ascii="仿宋" w:hAnsi="仿宋" w:eastAsia="仿宋" w:cs="宋体"/>
          <w:b/>
          <w:color w:val="FF0000"/>
          <w:sz w:val="28"/>
          <w:szCs w:val="28"/>
          <w:u w:val="single"/>
        </w:rPr>
        <w:t>6</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14:textFill>
            <w14:solidFill>
              <w14:schemeClr w14:val="tx1"/>
            </w14:solidFill>
          </w14:textFill>
        </w:rPr>
        <w:t>止</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14:textFill>
            <w14:solidFill>
              <w14:schemeClr w14:val="tx1"/>
            </w14:solidFill>
          </w14:textFill>
        </w:rPr>
        <w:t>http://www.dzggzy.cn</w:t>
      </w:r>
      <w:r>
        <w:rPr>
          <w:rFonts w:hint="eastAsia" w:eastAsia="仿宋_GB2312"/>
          <w:color w:val="000000" w:themeColor="text1"/>
          <w:sz w:val="32"/>
          <w:szCs w:val="32"/>
          <w14:textFill>
            <w14:solidFill>
              <w14:schemeClr w14:val="tx1"/>
            </w14:solidFill>
          </w14:textFill>
        </w:rPr>
        <w:fldChar w:fldCharType="end"/>
      </w:r>
      <w:r>
        <w:rPr>
          <w:rFonts w:hint="eastAsia" w:eastAsia="仿宋_GB2312"/>
          <w:color w:val="000000" w:themeColor="text1"/>
          <w:sz w:val="32"/>
          <w:szCs w:val="32"/>
          <w14:textFill>
            <w14:solidFill>
              <w14:schemeClr w14:val="tx1"/>
            </w14:solidFill>
          </w14:textFill>
        </w:rPr>
        <w:t>）通过系统上传申请文件扫描件并提交申请。申请文件包括：</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1.法人申请的，应提交下列文件：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（4）法人单位有效证明文件；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（5）法定代表人的有效身份证明文件；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2.自然人申请的，应提交下列文件：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（4）申请人有效身份证明文件；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3.其他组织申请的，应提交下列文件：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（4）表明该组织合法存在的文件或有效证明；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（5）表明该组织负责人身份的有效证明文件；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4.境外申请人申请的，应提交下列文件：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（1）竞买申请书；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（4）境外法人、自然人、其他组织的有效身份证明文件；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5.联合申请的，应提交下列文件：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（1）联合申请各方共同签署的申请书；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（2）联合申请各方共同签署的保证金承诺书；</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（3）联合体各方商业金融机构的资信证明；</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（4）联合各方的有效身份证明文件；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（7）开户许可证或基本存款账户信息；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（8）竞买保证金交纳凭证；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（9）拍卖文件规定需要提交的其它文件。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（三）资格审查</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ascii="仿宋" w:hAnsi="仿宋" w:eastAsia="仿宋" w:cs="宋体"/>
          <w:b/>
          <w:color w:val="FF0000"/>
          <w:sz w:val="28"/>
          <w:szCs w:val="28"/>
          <w:u w:val="single"/>
        </w:rPr>
        <w:t>5</w:t>
      </w:r>
      <w:r>
        <w:rPr>
          <w:rFonts w:hint="eastAsia" w:ascii="仿宋" w:hAnsi="仿宋" w:eastAsia="仿宋" w:cs="宋体"/>
          <w:b/>
          <w:color w:val="FF0000"/>
          <w:sz w:val="28"/>
          <w:szCs w:val="28"/>
          <w:u w:val="single"/>
        </w:rPr>
        <w:t>月</w:t>
      </w:r>
      <w:r>
        <w:rPr>
          <w:rFonts w:ascii="仿宋" w:hAnsi="仿宋" w:eastAsia="仿宋" w:cs="宋体"/>
          <w:b/>
          <w:color w:val="FF0000"/>
          <w:sz w:val="28"/>
          <w:szCs w:val="28"/>
          <w:u w:val="single"/>
        </w:rPr>
        <w:t>7</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w:t>
      </w:r>
      <w:r>
        <w:rPr>
          <w:rFonts w:ascii="仿宋" w:hAnsi="仿宋" w:eastAsia="仿宋" w:cs="宋体"/>
          <w:b/>
          <w:color w:val="000000" w:themeColor="text1"/>
          <w:sz w:val="28"/>
          <w:szCs w:val="28"/>
          <w:u w:val="single"/>
          <w14:textFill>
            <w14:solidFill>
              <w14:schemeClr w14:val="tx1"/>
            </w14:solidFill>
          </w14:textFill>
        </w:rPr>
        <w:t>8:30</w:t>
      </w:r>
      <w:r>
        <w:rPr>
          <w:rFonts w:hint="eastAsia" w:eastAsia="仿宋_GB2312"/>
          <w:color w:val="000000" w:themeColor="text1"/>
          <w:sz w:val="32"/>
          <w:szCs w:val="32"/>
          <w14:textFill>
            <w14:solidFill>
              <w14:schemeClr w14:val="tx1"/>
            </w14:solidFill>
          </w14:textFill>
        </w:rPr>
        <w:t>之前将竞买申请文件原件提交至4B-17，未按时提交原件的视为自行放弃竞买资格。</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1.申请人不具备竞买资格的；</w:t>
      </w:r>
    </w:p>
    <w:p>
      <w:pPr>
        <w:pStyle w:val="25"/>
        <w:widowControl w:val="0"/>
        <w:spacing w:line="600" w:lineRule="exact"/>
        <w:ind w:left="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 xml:space="preserve">    2.未按规定交纳竞买保证金的；</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3.申请文件不齐全或不符合法律法规和出让文件规定的；</w:t>
      </w:r>
    </w:p>
    <w:p>
      <w:pPr>
        <w:pStyle w:val="25"/>
        <w:widowControl w:val="0"/>
        <w:spacing w:line="600" w:lineRule="exact"/>
        <w:ind w:left="0" w:firstLine="57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4.委托他人代理，委托文件不齐全或不符合规定的；</w:t>
      </w:r>
    </w:p>
    <w:p>
      <w:pPr>
        <w:pStyle w:val="25"/>
        <w:widowControl w:val="0"/>
        <w:spacing w:line="600" w:lineRule="exact"/>
        <w:ind w:left="0" w:firstLine="585"/>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5.法律法规规定的其他情形。</w:t>
      </w:r>
    </w:p>
    <w:p>
      <w:pPr>
        <w:pStyle w:val="25"/>
        <w:widowControl w:val="0"/>
        <w:spacing w:line="600" w:lineRule="exact"/>
        <w:ind w:left="0" w:firstLine="640" w:firstLineChars="200"/>
        <w:rPr>
          <w:rFonts w:eastAsia="仿宋_GB2312"/>
          <w:color w:val="000000" w:themeColor="text1"/>
          <w:kern w:val="2"/>
          <w:sz w:val="32"/>
          <w:szCs w:val="32"/>
          <w14:textFill>
            <w14:solidFill>
              <w14:schemeClr w14:val="tx1"/>
            </w14:solidFill>
          </w14:textFill>
        </w:rPr>
      </w:pPr>
      <w:r>
        <w:rPr>
          <w:rFonts w:hint="eastAsia" w:eastAsia="仿宋_GB2312"/>
          <w:color w:val="000000" w:themeColor="text1"/>
          <w:kern w:val="2"/>
          <w:sz w:val="32"/>
          <w:szCs w:val="32"/>
          <w14:textFill>
            <w14:solidFill>
              <w14:schemeClr w14:val="tx1"/>
            </w14:solidFill>
          </w14:textFill>
        </w:rPr>
        <w:t>（四）确认竞买人资格</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w:t>
      </w:r>
      <w:r>
        <w:rPr>
          <w:rFonts w:ascii="仿宋" w:hAnsi="仿宋" w:eastAsia="仿宋" w:cs="宋体"/>
          <w:b/>
          <w:color w:val="FF0000"/>
          <w:sz w:val="28"/>
          <w:szCs w:val="28"/>
        </w:rPr>
        <w:t>5</w:t>
      </w:r>
      <w:r>
        <w:rPr>
          <w:rFonts w:hint="eastAsia" w:ascii="仿宋" w:hAnsi="仿宋" w:eastAsia="仿宋" w:cs="宋体"/>
          <w:b/>
          <w:color w:val="FF0000"/>
          <w:sz w:val="28"/>
          <w:szCs w:val="28"/>
        </w:rPr>
        <w:t>月</w:t>
      </w:r>
      <w:r>
        <w:rPr>
          <w:rFonts w:ascii="仿宋" w:hAnsi="仿宋" w:eastAsia="仿宋" w:cs="宋体"/>
          <w:b/>
          <w:color w:val="FF0000"/>
          <w:sz w:val="28"/>
          <w:szCs w:val="28"/>
        </w:rPr>
        <w:t>7</w:t>
      </w:r>
      <w:r>
        <w:rPr>
          <w:rFonts w:hint="eastAsia" w:ascii="仿宋" w:hAnsi="仿宋" w:eastAsia="仿宋" w:cs="宋体"/>
          <w:b/>
          <w:color w:val="FF0000"/>
          <w:sz w:val="28"/>
          <w:szCs w:val="28"/>
        </w:rPr>
        <w:t>日</w:t>
      </w:r>
      <w:r>
        <w:rPr>
          <w:rFonts w:ascii="仿宋" w:hAnsi="仿宋" w:eastAsia="仿宋" w:cs="宋体"/>
          <w:b/>
          <w:color w:val="FF0000"/>
          <w:sz w:val="28"/>
          <w:szCs w:val="28"/>
          <w:u w:val="single"/>
        </w:rPr>
        <w:t xml:space="preserve"> 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14:textFill>
            <w14:solidFill>
              <w14:schemeClr w14:val="tx1"/>
            </w14:solidFill>
          </w14:textFill>
        </w:rPr>
        <w:t>前</w:t>
      </w:r>
      <w:r>
        <w:rPr>
          <w:rFonts w:hint="eastAsia" w:eastAsia="仿宋_GB2312"/>
          <w:color w:val="000000" w:themeColor="text1"/>
          <w:sz w:val="32"/>
          <w:szCs w:val="32"/>
          <w14:textFill>
            <w14:solidFill>
              <w14:schemeClr w14:val="tx1"/>
            </w14:solidFill>
          </w14:textFill>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（五）答疑及现场踏勘</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六、本次出让宗地拍卖会时间、地点及拍卖的起叫价、增价幅度</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本次拍卖会地点为：达州市公共资源交易中心开标五厅举行。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w:t>
      </w:r>
      <w:r>
        <w:rPr>
          <w:rFonts w:ascii="仿宋" w:hAnsi="仿宋" w:eastAsia="仿宋"/>
          <w:b/>
          <w:color w:val="FF0000"/>
          <w:sz w:val="28"/>
          <w:szCs w:val="28"/>
          <w:u w:val="single"/>
        </w:rPr>
        <w:t>5</w:t>
      </w:r>
      <w:r>
        <w:rPr>
          <w:rFonts w:hint="eastAsia" w:ascii="仿宋" w:hAnsi="仿宋" w:eastAsia="仿宋"/>
          <w:b/>
          <w:color w:val="FF0000"/>
          <w:sz w:val="28"/>
          <w:szCs w:val="28"/>
          <w:u w:val="single"/>
        </w:rPr>
        <w:t>月</w:t>
      </w:r>
      <w:r>
        <w:rPr>
          <w:rFonts w:ascii="仿宋" w:hAnsi="仿宋" w:eastAsia="仿宋"/>
          <w:b/>
          <w:color w:val="FF0000"/>
          <w:sz w:val="28"/>
          <w:szCs w:val="28"/>
          <w:u w:val="single"/>
        </w:rPr>
        <w:t>7</w:t>
      </w:r>
      <w:r>
        <w:rPr>
          <w:rFonts w:hint="eastAsia" w:ascii="仿宋" w:hAnsi="仿宋" w:eastAsia="仿宋"/>
          <w:b/>
          <w:color w:val="FF0000"/>
          <w:sz w:val="28"/>
          <w:szCs w:val="28"/>
          <w:u w:val="single"/>
        </w:rPr>
        <w:t>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14:textFill>
            <w14:solidFill>
              <w14:schemeClr w14:val="tx1"/>
            </w14:solidFill>
          </w14:textFill>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FF0000"/>
          <w:sz w:val="32"/>
          <w:szCs w:val="32"/>
        </w:rPr>
        <w:t>本次拍卖起叫价</w:t>
      </w:r>
      <w:r>
        <w:rPr>
          <w:rFonts w:hint="eastAsia" w:eastAsia="仿宋_GB2312"/>
          <w:color w:val="FF0000"/>
          <w:sz w:val="32"/>
          <w:szCs w:val="32"/>
          <w:lang w:val="en-US" w:eastAsia="zh-CN"/>
        </w:rPr>
        <w:t>165</w:t>
      </w:r>
      <w:r>
        <w:rPr>
          <w:rFonts w:hint="eastAsia" w:eastAsia="仿宋_GB2312"/>
          <w:color w:val="FF0000"/>
          <w:sz w:val="32"/>
          <w:szCs w:val="32"/>
        </w:rPr>
        <w:t>万元/亩,增价幅度为5万元/亩或5万元/亩的整倍数。成交总地价=拍卖成交最高亩价×出让面积</w:t>
      </w:r>
      <w:r>
        <w:rPr>
          <w:rFonts w:hint="eastAsia" w:eastAsia="仿宋_GB2312"/>
          <w:color w:val="FF0000"/>
          <w:sz w:val="32"/>
          <w:szCs w:val="32"/>
          <w:lang w:val="en-US" w:eastAsia="zh-CN"/>
        </w:rPr>
        <w:t>7.69</w:t>
      </w:r>
      <w:r>
        <w:rPr>
          <w:rFonts w:hint="eastAsia" w:eastAsia="仿宋_GB2312"/>
          <w:color w:val="FF0000"/>
          <w:sz w:val="32"/>
          <w:szCs w:val="32"/>
        </w:rPr>
        <w:t>亩。</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七、拍卖程序</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（一）拍卖会程序</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sz w:val="32"/>
          <w:szCs w:val="32"/>
        </w:rPr>
        <w:t>1.拍卖主持人亮证并宣布拍卖会开始</w:t>
      </w:r>
      <w:r>
        <w:rPr>
          <w:rFonts w:hint="eastAsia" w:eastAsia="仿宋_GB2312"/>
          <w:color w:val="000000" w:themeColor="text1"/>
          <w:sz w:val="32"/>
          <w:szCs w:val="32"/>
          <w14:textFill>
            <w14:solidFill>
              <w14:schemeClr w14:val="tx1"/>
            </w14:solidFill>
          </w14:textFill>
        </w:rPr>
        <w:t>；</w:t>
      </w:r>
    </w:p>
    <w:p>
      <w:pPr>
        <w:snapToGrid w:val="0"/>
        <w:spacing w:line="600" w:lineRule="exact"/>
        <w:ind w:firstLine="555"/>
        <w:rPr>
          <w:rFonts w:eastAsia="仿宋_GB2312"/>
          <w:sz w:val="32"/>
          <w:szCs w:val="32"/>
        </w:rPr>
      </w:pPr>
      <w:r>
        <w:rPr>
          <w:rFonts w:hint="eastAsia" w:eastAsia="仿宋_GB2312"/>
          <w:sz w:val="32"/>
          <w:szCs w:val="32"/>
        </w:rPr>
        <w:t xml:space="preserve"> 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sz w:val="32"/>
          <w:szCs w:val="32"/>
        </w:rPr>
        <w:t>6.拍卖主持人介绍拍卖地块的位</w:t>
      </w:r>
      <w:r>
        <w:rPr>
          <w:rFonts w:hint="eastAsia" w:eastAsia="仿宋_GB2312"/>
          <w:color w:val="000000" w:themeColor="text1"/>
          <w:sz w:val="32"/>
          <w:szCs w:val="32"/>
          <w14:textFill>
            <w14:solidFill>
              <w14:schemeClr w14:val="tx1"/>
            </w14:solidFill>
          </w14:textFill>
        </w:rPr>
        <w:t>置、面积、用途、使用年限、规划指标要求、建设时间等；</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8.拍卖主持人逐一询问竞买人是否听清、是否明白；</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9.拍卖主持人报出起叫价，宣布竞价开始；</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11.拍卖主持人确认该竞买人应价或者报价后继续竞价；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14.公证员现场致公证词；</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15.拍卖主持人主持拍卖人与竞得人在现场签订《成交确认书》。</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（四）出让结果公布：</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八、竞价规则</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（一）本次拍卖采用增价拍卖方式，按价高者得的原则确定竞得人（高于或等于政府底价的基础上）。</w:t>
      </w:r>
    </w:p>
    <w:p>
      <w:pPr>
        <w:snapToGrid w:val="0"/>
        <w:spacing w:line="600" w:lineRule="exact"/>
        <w:ind w:left="420" w:leftChars="200" w:firstLine="320" w:firstLineChars="1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（二）凡参加拍卖的竞买人必须承认起叫价，</w:t>
      </w:r>
      <w:r>
        <w:rPr>
          <w:rFonts w:hint="eastAsia" w:eastAsia="仿宋_GB2312"/>
          <w:color w:val="FF0000"/>
          <w:sz w:val="32"/>
          <w:szCs w:val="32"/>
        </w:rPr>
        <w:t>即从起叫价(</w:t>
      </w:r>
      <w:r>
        <w:rPr>
          <w:rFonts w:eastAsia="仿宋_GB2312"/>
          <w:color w:val="FF0000"/>
          <w:sz w:val="32"/>
          <w:szCs w:val="32"/>
        </w:rPr>
        <w:t>165</w:t>
      </w:r>
      <w:r>
        <w:rPr>
          <w:rFonts w:hint="eastAsia" w:eastAsia="仿宋_GB2312"/>
          <w:color w:val="FF0000"/>
          <w:sz w:val="32"/>
          <w:szCs w:val="32"/>
        </w:rPr>
        <w:t>万元/亩）+最低增价幅度（5万元/亩）=</w:t>
      </w:r>
      <w:r>
        <w:rPr>
          <w:rFonts w:eastAsia="仿宋_GB2312"/>
          <w:color w:val="FF0000"/>
          <w:sz w:val="32"/>
          <w:szCs w:val="32"/>
        </w:rPr>
        <w:t>170</w:t>
      </w:r>
      <w:r>
        <w:rPr>
          <w:rFonts w:hint="eastAsia" w:eastAsia="仿宋_GB2312"/>
          <w:color w:val="FF0000"/>
          <w:sz w:val="32"/>
          <w:szCs w:val="32"/>
        </w:rPr>
        <w:t>万元/亩的价格确认，</w:t>
      </w:r>
      <w:r>
        <w:rPr>
          <w:rFonts w:hint="eastAsia" w:eastAsia="仿宋_GB2312"/>
          <w:color w:val="000000" w:themeColor="text1"/>
          <w:sz w:val="32"/>
          <w:szCs w:val="32"/>
          <w14:textFill>
            <w14:solidFill>
              <w14:schemeClr w14:val="tx1"/>
            </w14:solidFill>
          </w14:textFill>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九、注意事项</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 ．竞买人串通损害国家利益、社会利益或他人合法权益的；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 ．拍卖工作人员私下接触竞买人，足以影响拍卖公正性的；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 ．应当依法终止拍卖活动的其他情形。</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1.竞得人逾期或拒绝在现场签订《成交确认书》的；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2.竞得人逾期或拒绝签订《国有建设用地使用权出让合同》的；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3.竞得人逾期支付交易服务费的；</w:t>
      </w:r>
    </w:p>
    <w:p>
      <w:pPr>
        <w:snapToGrid w:val="0"/>
        <w:spacing w:line="600" w:lineRule="exact"/>
        <w:ind w:firstLine="555"/>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pacing w:line="600" w:lineRule="exact"/>
        <w:ind w:firstLine="640" w:firstLineChars="200"/>
        <w:rPr>
          <w:rFonts w:ascii="仿宋" w:hAnsi="仿宋" w:eastAsia="仿宋"/>
          <w:sz w:val="28"/>
          <w:szCs w:val="28"/>
        </w:rPr>
      </w:pPr>
      <w:r>
        <w:rPr>
          <w:rFonts w:hint="eastAsia" w:eastAsia="仿宋_GB2312"/>
          <w:sz w:val="32"/>
          <w:szCs w:val="32"/>
        </w:rPr>
        <w:t>（九）出</w:t>
      </w:r>
      <w:r>
        <w:rPr>
          <w:rFonts w:hint="eastAsia" w:eastAsia="仿宋_GB2312"/>
          <w:color w:val="000000" w:themeColor="text1"/>
          <w:sz w:val="32"/>
          <w:szCs w:val="32"/>
          <w14:textFill>
            <w14:solidFill>
              <w14:schemeClr w14:val="tx1"/>
            </w14:solidFill>
          </w14:textFill>
        </w:rPr>
        <w:t>让合同签订时间及价款支付：</w:t>
      </w:r>
      <w:r>
        <w:rPr>
          <w:rFonts w:hint="eastAsia" w:eastAsia="仿宋_GB2312"/>
          <w:sz w:val="32"/>
          <w:szCs w:val="32"/>
        </w:rPr>
        <w:t>土地拍卖出让成交后须当场签订《成交确认书》，自成交之日起10个工作日内须签订《国有建设用地使用权出让合同》，在出让合同签订之日起1个月内缴纳成交价总额50%的首付款，余</w:t>
      </w:r>
      <w:r>
        <w:rPr>
          <w:rFonts w:eastAsia="仿宋_GB2312"/>
          <w:sz w:val="32"/>
          <w:szCs w:val="32"/>
        </w:rPr>
        <w:t>款在出让合同签订之日起</w:t>
      </w:r>
      <w:r>
        <w:rPr>
          <w:rFonts w:hint="eastAsia" w:eastAsia="仿宋_GB2312"/>
          <w:sz w:val="32"/>
          <w:szCs w:val="32"/>
        </w:rPr>
        <w:t>7个</w:t>
      </w:r>
      <w:r>
        <w:rPr>
          <w:rFonts w:eastAsia="仿宋_GB2312"/>
          <w:sz w:val="32"/>
          <w:szCs w:val="32"/>
        </w:rPr>
        <w:t>月内缴清</w:t>
      </w:r>
      <w:r>
        <w:rPr>
          <w:rFonts w:hint="eastAsia" w:eastAsia="仿宋_GB2312"/>
          <w:sz w:val="32"/>
          <w:szCs w:val="32"/>
        </w:rPr>
        <w:t>（不计息）。</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（十)土地交付条件及时间：在受让人缴清全部土地价款（含违约金）后30日内，</w:t>
      </w:r>
      <w:r>
        <w:rPr>
          <w:rFonts w:hint="eastAsia" w:ascii="仿宋" w:hAnsi="仿宋" w:eastAsia="仿宋" w:cs="宋体"/>
          <w:b/>
          <w:color w:val="000000" w:themeColor="text1"/>
          <w:sz w:val="28"/>
          <w:szCs w:val="28"/>
          <w:u w:val="single"/>
          <w14:textFill>
            <w14:solidFill>
              <w14:schemeClr w14:val="tx1"/>
            </w14:solidFill>
          </w14:textFill>
        </w:rPr>
        <w:t>达州市自然资源和规划局</w:t>
      </w:r>
      <w:r>
        <w:rPr>
          <w:rFonts w:hint="eastAsia" w:eastAsia="仿宋_GB2312"/>
          <w:color w:val="000000" w:themeColor="text1"/>
          <w:sz w:val="32"/>
          <w:szCs w:val="32"/>
          <w14:textFill>
            <w14:solidFill>
              <w14:schemeClr w14:val="tx1"/>
            </w14:solidFill>
          </w14:textFill>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（十二）拍卖不成交的或成交不签订《成交确认书》的，由</w:t>
      </w:r>
      <w:r>
        <w:rPr>
          <w:rFonts w:hint="eastAsia" w:ascii="仿宋" w:hAnsi="仿宋" w:eastAsia="仿宋"/>
          <w:color w:val="000000" w:themeColor="text1"/>
          <w:sz w:val="28"/>
          <w:szCs w:val="28"/>
          <w:u w:val="single"/>
          <w14:textFill>
            <w14:solidFill>
              <w14:schemeClr w14:val="tx1"/>
            </w14:solidFill>
          </w14:textFill>
        </w:rPr>
        <w:t>达州市公共资源交易服务中心</w:t>
      </w:r>
      <w:r>
        <w:rPr>
          <w:rFonts w:hint="eastAsia" w:eastAsia="仿宋_GB2312"/>
          <w:color w:val="000000" w:themeColor="text1"/>
          <w:sz w:val="32"/>
          <w:szCs w:val="32"/>
          <w14:textFill>
            <w14:solidFill>
              <w14:schemeClr w14:val="tx1"/>
            </w14:solidFill>
          </w14:textFill>
        </w:rPr>
        <w:t>在2个工作日内书面函告出让人。</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（十三）参加拍卖活动的人员，应遵守现场的纪律，服从管理人员的管理。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（十四）其他未尽事宜依照《招标拍卖挂牌出让国有土地使用权规范》办理。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（十五）达州市自然资源和规划局、达州市公共资源交易服务中心对本《须知》有解释权。</w:t>
      </w:r>
    </w:p>
    <w:p>
      <w:pPr>
        <w:spacing w:line="600" w:lineRule="exact"/>
        <w:ind w:firstLine="1920" w:firstLineChars="600"/>
        <w:rPr>
          <w:rFonts w:eastAsia="仿宋_GB2312"/>
          <w:color w:val="000000" w:themeColor="text1"/>
          <w:sz w:val="32"/>
          <w:szCs w:val="32"/>
          <w14:textFill>
            <w14:solidFill>
              <w14:schemeClr w14:val="tx1"/>
            </w14:solidFill>
          </w14:textFill>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4" w:name="_Toc3391972"/>
      <w:bookmarkStart w:id="5" w:name="_Toc3391743"/>
      <w:r>
        <w:rPr>
          <w:rFonts w:hint="eastAsia" w:ascii="黑体" w:eastAsia="黑体"/>
          <w:color w:val="000000" w:themeColor="text1"/>
          <w:sz w:val="44"/>
          <w:szCs w:val="44"/>
          <w14:textFill>
            <w14:solidFill>
              <w14:schemeClr w14:val="tx1"/>
            </w14:solidFill>
          </w14:textFill>
        </w:rPr>
        <w:t>地块规划条件相关资</w:t>
      </w:r>
      <w:bookmarkEnd w:id="4"/>
      <w:bookmarkEnd w:id="5"/>
      <w:r>
        <w:rPr>
          <w:rFonts w:hint="eastAsia" w:ascii="黑体" w:eastAsia="黑体"/>
          <w:color w:val="000000" w:themeColor="text1"/>
          <w:sz w:val="44"/>
          <w:szCs w:val="44"/>
          <w14:textFill>
            <w14:solidFill>
              <w14:schemeClr w14:val="tx1"/>
            </w14:solidFill>
          </w14:textFill>
        </w:rPr>
        <w:t>料</w:t>
      </w:r>
    </w:p>
    <w:p>
      <w:pPr>
        <w:widowControl/>
        <w:jc w:val="left"/>
        <w:rPr>
          <w:rFonts w:ascii="宋体" w:hAnsi="宋体" w:cs="宋体"/>
          <w:kern w:val="0"/>
          <w:sz w:val="24"/>
        </w:rPr>
      </w:pPr>
      <w:r>
        <w:rPr>
          <w:rFonts w:ascii="宋体" w:hAnsi="宋体" w:cs="宋体"/>
          <w:kern w:val="0"/>
          <w:sz w:val="24"/>
        </w:rPr>
        <w:drawing>
          <wp:inline distT="0" distB="0" distL="0" distR="0">
            <wp:extent cx="5543550" cy="8029575"/>
            <wp:effectExtent l="0" t="0" r="0" b="9525"/>
            <wp:docPr id="2" name="图片 2" descr="C:\Users\apple\AppData\Roaming\Tencent\Users\326365627\QQ\WinTemp\RichOle\NP{A~Q)97RO@TN){4$TS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pple\AppData\Roaming\Tencent\Users\326365627\QQ\WinTemp\RichOle\NP{A~Q)97RO@TN){4$TSX$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43550" cy="8029575"/>
                    </a:xfrm>
                    <a:prstGeom prst="rect">
                      <a:avLst/>
                    </a:prstGeom>
                    <a:noFill/>
                    <a:ln>
                      <a:noFill/>
                    </a:ln>
                  </pic:spPr>
                </pic:pic>
              </a:graphicData>
            </a:graphic>
          </wp:inline>
        </w:drawing>
      </w:r>
    </w:p>
    <w:p>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6" w:name="_Toc3391973"/>
      <w:bookmarkStart w:id="7" w:name="_Toc3391744"/>
      <w:r>
        <w:rPr>
          <w:rFonts w:hint="eastAsia" w:ascii="黑体" w:eastAsia="黑体"/>
          <w:color w:val="000000" w:themeColor="text1"/>
          <w:sz w:val="44"/>
          <w:szCs w:val="44"/>
          <w14:textFill>
            <w14:solidFill>
              <w14:schemeClr w14:val="tx1"/>
            </w14:solidFill>
          </w14:textFill>
        </w:rPr>
        <w:t>用地红线图</w:t>
      </w:r>
      <w:bookmarkEnd w:id="6"/>
      <w:bookmarkEnd w:id="7"/>
    </w:p>
    <w:p>
      <w:pPr>
        <w:widowControl/>
        <w:jc w:val="left"/>
        <w:rPr>
          <w:rFonts w:ascii="宋体" w:hAnsi="宋体" w:cs="宋体"/>
          <w:kern w:val="0"/>
          <w:sz w:val="24"/>
        </w:rPr>
      </w:pPr>
      <w:r>
        <w:rPr>
          <w:rFonts w:ascii="宋体" w:hAnsi="宋体" w:cs="宋体"/>
          <w:kern w:val="0"/>
          <w:sz w:val="24"/>
        </w:rPr>
        <w:drawing>
          <wp:inline distT="0" distB="0" distL="0" distR="0">
            <wp:extent cx="5543550" cy="4857750"/>
            <wp:effectExtent l="0" t="0" r="0" b="0"/>
            <wp:docPr id="7" name="图片 7" descr="C:\Users\apple\AppData\Roaming\Tencent\Users\326365627\QQ\WinTemp\RichOle\TCXVQ~A)ACOAYH}YAX}W%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pple\AppData\Roaming\Tencent\Users\326365627\QQ\WinTemp\RichOle\TCXVQ~A)ACOAYH}YAX}W%O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61307" cy="4873310"/>
                    </a:xfrm>
                    <a:prstGeom prst="rect">
                      <a:avLst/>
                    </a:prstGeom>
                    <a:noFill/>
                    <a:ln>
                      <a:noFill/>
                    </a:ln>
                  </pic:spPr>
                </pic:pic>
              </a:graphicData>
            </a:graphic>
          </wp:inline>
        </w:drawing>
      </w: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pStyle w:val="12"/>
        <w:rPr>
          <w:rFonts w:ascii="黑体" w:eastAsia="黑体"/>
          <w:color w:val="000000" w:themeColor="text1"/>
          <w:sz w:val="44"/>
          <w:szCs w:val="44"/>
          <w14:textFill>
            <w14:solidFill>
              <w14:schemeClr w14:val="tx1"/>
            </w14:solidFill>
          </w14:textFill>
        </w:rPr>
      </w:pPr>
      <w:bookmarkStart w:id="8" w:name="_Toc3391745"/>
      <w:bookmarkStart w:id="9" w:name="_Toc3391974"/>
      <w:r>
        <w:rPr>
          <w:rFonts w:hint="eastAsia" w:ascii="黑体" w:eastAsia="黑体"/>
          <w:color w:val="000000" w:themeColor="text1"/>
          <w:sz w:val="44"/>
          <w:szCs w:val="44"/>
          <w14:textFill>
            <w14:solidFill>
              <w14:schemeClr w14:val="tx1"/>
            </w14:solidFill>
          </w14:textFill>
        </w:rPr>
        <w:t>地块供地勘界图</w:t>
      </w:r>
      <w:bookmarkEnd w:id="8"/>
      <w:bookmarkEnd w:id="9"/>
    </w:p>
    <w:p>
      <w:pPr>
        <w:widowControl/>
        <w:jc w:val="left"/>
        <w:rPr>
          <w:rFonts w:ascii="宋体" w:hAnsi="宋体" w:cs="宋体"/>
          <w:kern w:val="0"/>
          <w:sz w:val="24"/>
        </w:rPr>
      </w:pPr>
      <w:r>
        <w:rPr>
          <w:rFonts w:ascii="宋体" w:hAnsi="宋体" w:cs="宋体"/>
          <w:kern w:val="0"/>
          <w:sz w:val="24"/>
        </w:rPr>
        <w:drawing>
          <wp:inline distT="0" distB="0" distL="0" distR="0">
            <wp:extent cx="5390515" cy="5314950"/>
            <wp:effectExtent l="0" t="0" r="635" b="0"/>
            <wp:docPr id="13" name="图片 13" descr="C:\Users\apple\AppData\Roaming\Tencent\Users\326365627\QQ\WinTemp\RichOle\3VC6QBRE`SFXUL`6M1XR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pple\AppData\Roaming\Tencent\Users\326365627\QQ\WinTemp\RichOle\3VC6QBRE`SFXUL`6M1XR_[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11825" cy="5335811"/>
                    </a:xfrm>
                    <a:prstGeom prst="rect">
                      <a:avLst/>
                    </a:prstGeom>
                    <a:noFill/>
                    <a:ln>
                      <a:noFill/>
                    </a:ln>
                  </pic:spPr>
                </pic:pic>
              </a:graphicData>
            </a:graphic>
          </wp:inline>
        </w:drawing>
      </w:r>
    </w:p>
    <w:p>
      <w:pPr>
        <w:widowControl/>
        <w:jc w:val="left"/>
        <w:rPr>
          <w:rFonts w:ascii="宋体" w:hAnsi="宋体" w:cs="宋体"/>
          <w:kern w:val="0"/>
          <w:sz w:val="24"/>
        </w:rPr>
      </w:pPr>
    </w:p>
    <w:p>
      <w:pPr>
        <w:widowControl/>
        <w:jc w:val="left"/>
        <w:rPr>
          <w:rFonts w:ascii="宋体" w:cs="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14:textFill>
            <w14:solidFill>
              <w14:schemeClr w14:val="tx1"/>
            </w14:solidFill>
          </w14:textFill>
        </w:rPr>
      </w:pPr>
      <w:bookmarkStart w:id="10" w:name="_Toc3391975"/>
      <w:bookmarkStart w:id="11" w:name="_Toc3391746"/>
      <w:r>
        <w:rPr>
          <w:rFonts w:hint="eastAsia" w:ascii="黑体" w:eastAsia="黑体"/>
          <w:color w:val="000000" w:themeColor="text1"/>
          <w:sz w:val="44"/>
          <w:szCs w:val="44"/>
          <w14:textFill>
            <w14:solidFill>
              <w14:schemeClr w14:val="tx1"/>
            </w14:solidFill>
          </w14:textFill>
        </w:rPr>
        <w:t>竞买申请书</w:t>
      </w:r>
      <w:bookmarkEnd w:id="10"/>
      <w:bookmarkEnd w:id="11"/>
    </w:p>
    <w:p>
      <w:pPr>
        <w:pStyle w:val="25"/>
        <w:spacing w:line="420" w:lineRule="exact"/>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w:t>
      </w:r>
    </w:p>
    <w:p>
      <w:pPr>
        <w:pStyle w:val="25"/>
        <w:spacing w:line="420" w:lineRule="exact"/>
        <w:ind w:left="0" w:firstLine="48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w:t>
      </w:r>
      <w:r>
        <w:rPr>
          <w:rFonts w:ascii="宋体" w:hAnsi="宋体"/>
          <w:color w:val="000000" w:themeColor="text1"/>
          <w:sz w:val="24"/>
          <w:szCs w:val="24"/>
          <w:u w:val="single"/>
          <w14:textFill>
            <w14:solidFill>
              <w14:schemeClr w14:val="tx1"/>
            </w14:solidFill>
          </w14:textFill>
        </w:rPr>
        <w:t xml:space="preserve">202 </w:t>
      </w:r>
      <w:r>
        <w:rPr>
          <w:rFonts w:hint="eastAsia" w:ascii="宋体" w:hAnsi="宋体"/>
          <w:color w:val="000000" w:themeColor="text1"/>
          <w:sz w:val="24"/>
          <w:szCs w:val="24"/>
          <w:u w:val="single"/>
          <w14:textFill>
            <w14:solidFill>
              <w14:schemeClr w14:val="tx1"/>
            </w14:solidFill>
          </w14:textFill>
        </w:rPr>
        <w:t>年  月  日</w:t>
      </w:r>
      <w:r>
        <w:rPr>
          <w:rFonts w:hint="eastAsia"/>
          <w:color w:val="000000" w:themeColor="text1"/>
          <w:sz w:val="24"/>
          <w:szCs w:val="24"/>
          <w14:textFill>
            <w14:solidFill>
              <w14:schemeClr w14:val="tx1"/>
            </w14:solidFill>
          </w14:textFill>
        </w:rPr>
        <w:t>在</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举行的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地块国有建设用地使用权拍卖活动，愿意按拍卖出让文件规定缴纳竞买保证金人民币万元（大写</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w:t>
      </w:r>
      <w:r>
        <w:rPr>
          <w:rFonts w:hint="eastAsia" w:ascii="仿宋_GB2312" w:hAnsi="仿宋" w:eastAsia="仿宋_GB2312"/>
          <w:color w:val="000000" w:themeColor="text1"/>
          <w:w w:val="90"/>
          <w:sz w:val="24"/>
          <w:szCs w:val="24"/>
          <w14:textFill>
            <w14:solidFill>
              <w14:schemeClr w14:val="tx1"/>
            </w14:solidFill>
          </w14:textFill>
        </w:rPr>
        <w:t>￥</w:t>
      </w:r>
      <w:r>
        <w:rPr>
          <w:rFonts w:hint="eastAsia" w:ascii="仿宋_GB2312" w:hAnsi="仿宋" w:eastAsia="仿宋_GB2312"/>
          <w:color w:val="000000" w:themeColor="text1"/>
          <w:w w:val="90"/>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w:t>
      </w:r>
    </w:p>
    <w:p>
      <w:pPr>
        <w:pStyle w:val="25"/>
        <w:spacing w:line="420" w:lineRule="exact"/>
        <w:ind w:left="0" w:firstLine="480" w:firstLineChars="200"/>
        <w:jc w:val="lef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25"/>
        <w:spacing w:line="420" w:lineRule="exact"/>
        <w:ind w:left="0" w:firstLine="482" w:firstLineChars="200"/>
        <w:jc w:val="left"/>
        <w:rPr>
          <w:rFonts w:asci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（一）竞得土地使用权后</w:t>
      </w:r>
      <w:r>
        <w:rPr>
          <w:rFonts w:ascii="宋体" w:hAnsi="宋体"/>
          <w:b/>
          <w:color w:val="000000" w:themeColor="text1"/>
          <w:sz w:val="24"/>
          <w:szCs w:val="24"/>
          <w14:textFill>
            <w14:solidFill>
              <w14:schemeClr w14:val="tx1"/>
            </w14:solidFill>
          </w14:textFill>
        </w:rPr>
        <w:t>3</w:t>
      </w:r>
      <w:r>
        <w:rPr>
          <w:rFonts w:hint="eastAsia" w:ascii="宋体" w:hAnsi="宋体"/>
          <w:b/>
          <w:color w:val="000000" w:themeColor="text1"/>
          <w:sz w:val="24"/>
          <w:szCs w:val="24"/>
          <w14:textFill>
            <w14:solidFill>
              <w14:schemeClr w14:val="tx1"/>
            </w14:solidFill>
          </w14:textFill>
        </w:rPr>
        <w:t>个月内在</w:t>
      </w:r>
      <w:r>
        <w:rPr>
          <w:rFonts w:hint="eastAsia" w:ascii="宋体" w:hAnsi="宋体"/>
          <w:b/>
          <w:color w:val="000000" w:themeColor="text1"/>
          <w:sz w:val="24"/>
          <w:szCs w:val="24"/>
          <w:u w:val="single"/>
          <w14:textFill>
            <w14:solidFill>
              <w14:schemeClr w14:val="tx1"/>
            </w14:solidFill>
          </w14:textFill>
        </w:rPr>
        <w:t>土地所在辖区</w:t>
      </w:r>
      <w:r>
        <w:rPr>
          <w:rFonts w:hint="eastAsia" w:ascii="宋体" w:hAnsi="宋体"/>
          <w:b/>
          <w:color w:val="000000" w:themeColor="text1"/>
          <w:sz w:val="24"/>
          <w:szCs w:val="24"/>
          <w14:textFill>
            <w14:solidFill>
              <w14:schemeClr w14:val="tx1"/>
            </w14:solidFill>
          </w14:textFill>
        </w:rPr>
        <w:t>注册成立一家新公司对竞得土地进行开发建设，新公司出资构成为</w:t>
      </w:r>
      <w:r>
        <w:rPr>
          <w:rFonts w:hint="eastAsia" w:ascii="宋体" w:hAnsi="宋体"/>
          <w:b/>
          <w:color w:val="000000" w:themeColor="text1"/>
          <w:sz w:val="24"/>
          <w:szCs w:val="24"/>
          <w:u w:val="single"/>
          <w14:textFill>
            <w14:solidFill>
              <w14:schemeClr w14:val="tx1"/>
            </w14:solidFill>
          </w14:textFill>
        </w:rPr>
        <w:t xml:space="preserve">              </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竞得后拟成立新公司的填写，竞得人在新公司的出资比例必须在</w:t>
      </w:r>
      <w:r>
        <w:rPr>
          <w:rFonts w:ascii="宋体" w:hAnsi="宋体"/>
          <w:b/>
          <w:color w:val="000000" w:themeColor="text1"/>
          <w:sz w:val="24"/>
          <w:szCs w:val="24"/>
          <w14:textFill>
            <w14:solidFill>
              <w14:schemeClr w14:val="tx1"/>
            </w14:solidFill>
          </w14:textFill>
        </w:rPr>
        <w:t>51%</w:t>
      </w:r>
      <w:r>
        <w:rPr>
          <w:rFonts w:hint="eastAsia" w:ascii="宋体" w:hAnsi="宋体"/>
          <w:b/>
          <w:color w:val="000000" w:themeColor="text1"/>
          <w:sz w:val="24"/>
          <w:szCs w:val="24"/>
          <w14:textFill>
            <w14:solidFill>
              <w14:schemeClr w14:val="tx1"/>
            </w14:solidFill>
          </w14:textFill>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14:textFill>
            <w14:solidFill>
              <w14:schemeClr w14:val="tx1"/>
            </w14:solidFill>
          </w14:textFill>
        </w:rPr>
        <w:t>的竞买人必须承诺</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统一社会信用代码复印件；</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组织机构代码证复印件</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法定代表人身份证明；</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法定代表人身份证复印件；</w:t>
      </w: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授权委托书；</w:t>
      </w:r>
      <w:r>
        <w:rPr>
          <w:rFonts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受托人身份证复印件；</w:t>
      </w:r>
      <w:r>
        <w:rPr>
          <w:rFonts w:ascii="宋体" w:hAnsi="宋体"/>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竞买保证金交纳凭证；</w:t>
      </w: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其它应提供的依据等。</w:t>
      </w:r>
    </w:p>
    <w:p>
      <w:pPr>
        <w:pStyle w:val="25"/>
        <w:spacing w:line="420" w:lineRule="exact"/>
        <w:ind w:firstLine="470" w:firstLineChars="196"/>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竞买申请人（盖章）：</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法定代表人（本人签名）：</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申请日期：  年   月   日</w:t>
      </w:r>
    </w:p>
    <w:p>
      <w:pPr>
        <w:pStyle w:val="25"/>
        <w:spacing w:line="420" w:lineRule="exact"/>
        <w:ind w:left="0" w:firstLine="510"/>
        <w:rPr>
          <w:rFonts w:ascii="宋体"/>
          <w:color w:val="000000" w:themeColor="text1"/>
          <w:sz w:val="24"/>
          <w:szCs w:val="24"/>
          <w14:textFill>
            <w14:solidFill>
              <w14:schemeClr w14:val="tx1"/>
            </w14:solidFill>
          </w14:textFill>
        </w:rPr>
      </w:pPr>
    </w:p>
    <w:p>
      <w:pPr>
        <w:pStyle w:val="25"/>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2"/>
        <w:spacing w:before="0" w:after="0" w:line="600" w:lineRule="exact"/>
        <w:rPr>
          <w:rFonts w:ascii="黑体" w:eastAsia="黑体"/>
          <w:color w:val="000000" w:themeColor="text1"/>
          <w:sz w:val="44"/>
          <w:szCs w:val="44"/>
          <w14:textFill>
            <w14:solidFill>
              <w14:schemeClr w14:val="tx1"/>
            </w14:solidFill>
          </w14:textFill>
        </w:rPr>
      </w:pPr>
      <w:r>
        <w:rPr>
          <w:rFonts w:ascii="宋体" w:hAnsi="宋体" w:eastAsia="宋体"/>
          <w:color w:val="000000" w:themeColor="text1"/>
          <w:w w:val="90"/>
          <w14:textFill>
            <w14:solidFill>
              <w14:schemeClr w14:val="tx1"/>
            </w14:solidFill>
          </w14:textFill>
        </w:rPr>
        <w:br w:type="page"/>
      </w:r>
      <w:bookmarkStart w:id="12" w:name="_Toc3391747"/>
      <w:bookmarkStart w:id="13" w:name="_Toc3391976"/>
      <w:r>
        <w:rPr>
          <w:rFonts w:hint="eastAsia" w:ascii="黑体" w:eastAsia="黑体"/>
          <w:color w:val="000000" w:themeColor="text1"/>
          <w:sz w:val="44"/>
          <w:szCs w:val="44"/>
          <w14:textFill>
            <w14:solidFill>
              <w14:schemeClr w14:val="tx1"/>
            </w14:solidFill>
          </w14:textFill>
        </w:rPr>
        <w:t>保证金承诺书</w:t>
      </w:r>
      <w:bookmarkEnd w:id="12"/>
      <w:bookmarkEnd w:id="13"/>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w:t>
      </w:r>
      <w:r>
        <w:rPr>
          <w:rFonts w:ascii="仿宋_GB2312" w:hAnsi="仿宋_GB2312" w:eastAsia="仿宋_GB2312" w:cs="仿宋_GB2312"/>
          <w:color w:val="000000" w:themeColor="text1"/>
          <w:sz w:val="30"/>
          <w:szCs w:val="30"/>
          <w:u w:val="single"/>
          <w14:textFill>
            <w14:solidFill>
              <w14:schemeClr w14:val="tx1"/>
            </w14:solidFill>
          </w14:textFill>
        </w:rPr>
        <w:t>2021</w:t>
      </w:r>
      <w:r>
        <w:rPr>
          <w:rFonts w:hint="eastAsia" w:ascii="仿宋_GB2312" w:hAnsi="仿宋_GB2312" w:eastAsia="仿宋_GB2312" w:cs="仿宋_GB2312"/>
          <w:color w:val="000000" w:themeColor="text1"/>
          <w:sz w:val="30"/>
          <w:szCs w:val="30"/>
          <w:u w:val="single"/>
          <w14:textFill>
            <w14:solidFill>
              <w14:schemeClr w14:val="tx1"/>
            </w14:solidFill>
          </w14:textFill>
        </w:rPr>
        <w:t>年  月  日</w:t>
      </w:r>
      <w:r>
        <w:rPr>
          <w:rFonts w:hint="eastAsia" w:ascii="仿宋_GB2312" w:hAnsi="仿宋_GB2312" w:eastAsia="仿宋_GB2312" w:cs="仿宋_GB2312"/>
          <w:color w:val="000000" w:themeColor="text1"/>
          <w:sz w:val="30"/>
          <w:szCs w:val="30"/>
          <w14:textFill>
            <w14:solidFill>
              <w14:schemeClr w14:val="tx1"/>
            </w14:solidFill>
          </w14:textFill>
        </w:rPr>
        <w:t>拍卖出让的</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特此承诺。</w:t>
      </w: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right="900" w:firstLine="750" w:firstLineChars="25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12"/>
        <w:rPr>
          <w:rFonts w:ascii="黑体" w:eastAsia="黑体"/>
          <w:color w:val="000000" w:themeColor="text1"/>
          <w:sz w:val="44"/>
          <w:szCs w:val="44"/>
          <w14:textFill>
            <w14:solidFill>
              <w14:schemeClr w14:val="tx1"/>
            </w14:solidFill>
          </w14:textFill>
        </w:rPr>
      </w:pPr>
      <w:r>
        <w:rPr>
          <w:rFonts w:ascii="仿宋_GB2312" w:hAnsi="仿宋_GB2312" w:eastAsia="仿宋_GB2312" w:cs="仿宋_GB2312"/>
          <w:color w:val="000000" w:themeColor="text1"/>
          <w:sz w:val="30"/>
          <w:szCs w:val="30"/>
          <w14:textFill>
            <w14:solidFill>
              <w14:schemeClr w14:val="tx1"/>
            </w14:solidFill>
          </w14:textFill>
        </w:rPr>
        <w:br w:type="page"/>
      </w:r>
      <w:bookmarkStart w:id="14" w:name="_Toc3391748"/>
      <w:bookmarkStart w:id="15" w:name="_Toc3391977"/>
      <w:r>
        <w:rPr>
          <w:rFonts w:hint="eastAsia" w:ascii="黑体" w:eastAsia="黑体"/>
          <w:color w:val="000000" w:themeColor="text1"/>
          <w:sz w:val="44"/>
          <w:szCs w:val="44"/>
          <w14:textFill>
            <w14:solidFill>
              <w14:schemeClr w14:val="tx1"/>
            </w14:solidFill>
          </w14:textFill>
        </w:rPr>
        <w:t>法定代表人身份证明书</w:t>
      </w:r>
      <w:bookmarkEnd w:id="14"/>
      <w:bookmarkEnd w:id="15"/>
    </w:p>
    <w:p>
      <w:pPr>
        <w:pStyle w:val="25"/>
        <w:spacing w:line="627" w:lineRule="atLeast"/>
        <w:ind w:left="0"/>
        <w:jc w:val="left"/>
        <w:rPr>
          <w:rFonts w:ascii="黑体" w:eastAsia="黑体"/>
          <w:color w:val="000000" w:themeColor="text1"/>
          <w:sz w:val="36"/>
          <w:szCs w:val="36"/>
          <w14:textFill>
            <w14:solidFill>
              <w14:schemeClr w14:val="tx1"/>
            </w14:solidFill>
          </w14:textFill>
        </w:rPr>
      </w:pPr>
    </w:p>
    <w:p>
      <w:pPr>
        <w:pStyle w:val="25"/>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附注：</w:t>
      </w:r>
    </w:p>
    <w:p>
      <w:pPr>
        <w:pStyle w:val="25"/>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25"/>
        <w:spacing w:line="586" w:lineRule="atLeast"/>
        <w:ind w:left="0"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④法定代表人联系电话：。</w:t>
      </w:r>
    </w:p>
    <w:p>
      <w:pPr>
        <w:pStyle w:val="12"/>
        <w:rPr>
          <w:rFonts w:ascii="黑体" w:eastAsia="黑体"/>
          <w:color w:val="000000" w:themeColor="text1"/>
          <w:sz w:val="44"/>
          <w:szCs w:val="44"/>
          <w14:textFill>
            <w14:solidFill>
              <w14:schemeClr w14:val="tx1"/>
            </w14:solidFill>
          </w14:textFill>
        </w:rPr>
      </w:pPr>
      <w:r>
        <w:rPr>
          <w:rFonts w:ascii="Dotum" w:eastAsia="Dotum" w:cs="Dotum"/>
          <w:color w:val="000000" w:themeColor="text1"/>
          <w:sz w:val="44"/>
          <w:szCs w:val="44"/>
          <w14:textFill>
            <w14:solidFill>
              <w14:schemeClr w14:val="tx1"/>
            </w14:solidFill>
          </w14:textFill>
        </w:rPr>
        <w:br w:type="page"/>
      </w:r>
      <w:bookmarkStart w:id="16" w:name="_Toc3391749"/>
      <w:bookmarkStart w:id="17" w:name="_Toc3391978"/>
      <w:r>
        <w:rPr>
          <w:rFonts w:hint="eastAsia" w:ascii="黑体" w:eastAsia="黑体"/>
          <w:color w:val="000000" w:themeColor="text1"/>
          <w:sz w:val="44"/>
          <w:szCs w:val="44"/>
          <w14:textFill>
            <w14:solidFill>
              <w14:schemeClr w14:val="tx1"/>
            </w14:solidFill>
          </w14:textFill>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本人授权（受托人）代表本人参加  年  月   日在</w:t>
            </w:r>
            <w:r>
              <w:rPr>
                <w:rFonts w:ascii="仿宋_GB2312" w:eastAsia="仿宋_GB2312"/>
                <w:color w:val="000000" w:themeColor="text1"/>
                <w:kern w:val="0"/>
                <w:sz w:val="24"/>
                <w14:textFill>
                  <w14:solidFill>
                    <w14:schemeClr w14:val="tx1"/>
                  </w14:solidFill>
                </w14:textFill>
              </w:rPr>
              <w:t>马踏洞新区龙马大道与鱼泉路交叉口处新政务服务大楼</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color w:val="000000" w:themeColor="text1"/>
                <w:kern w:val="0"/>
                <w:sz w:val="24"/>
                <w14:textFill>
                  <w14:solidFill>
                    <w14:schemeClr w14:val="tx1"/>
                  </w14:solidFill>
                </w14:textFill>
              </w:rPr>
              <w:t>举行的</w:t>
            </w:r>
            <w:r>
              <w:rPr>
                <w:rFonts w:hint="eastAsia" w:ascii="仿宋_GB2312" w:eastAsia="仿宋_GB2312"/>
                <w:color w:val="000000" w:themeColor="text1"/>
                <w:kern w:val="0"/>
                <w:sz w:val="24"/>
                <w:u w:val="single"/>
                <w14:textFill>
                  <w14:solidFill>
                    <w14:schemeClr w14:val="tx1"/>
                  </w14:solidFill>
                </w14:textFill>
              </w:rPr>
              <w:t xml:space="preserve">         </w:t>
            </w:r>
            <w:r>
              <w:rPr>
                <w:rFonts w:hint="eastAsia" w:ascii="仿宋_GB2312" w:eastAsia="仿宋_GB2312"/>
                <w:color w:val="000000" w:themeColor="text1"/>
                <w:kern w:val="0"/>
                <w:sz w:val="24"/>
                <w14:textFill>
                  <w14:solidFill>
                    <w14:schemeClr w14:val="tx1"/>
                  </w14:solidFill>
                </w14:textFill>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委托人（签名）：</w:t>
            </w:r>
          </w:p>
          <w:p>
            <w:pPr>
              <w:widowControl/>
              <w:spacing w:line="500" w:lineRule="exact"/>
              <w:ind w:firstLine="3360" w:firstLineChars="14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兹证明本委托书确系本单位法定代表人亲自签定</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ascii="方正小标宋简体" w:hAnsi="宋体" w:eastAsia="方正小标宋简体"/>
          <w:color w:val="000000" w:themeColor="text1"/>
          <w:spacing w:val="-5"/>
          <w:sz w:val="44"/>
          <w:szCs w:val="44"/>
          <w14:textFill>
            <w14:solidFill>
              <w14:schemeClr w14:val="tx1"/>
            </w14:solidFill>
          </w14:textFill>
        </w:rPr>
        <w:br w:type="page"/>
      </w: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jc w:val="center"/>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 年  月  日，</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color w:val="000000" w:themeColor="text1"/>
          <w:sz w:val="30"/>
          <w:szCs w:val="30"/>
          <w14:textFill>
            <w14:solidFill>
              <w14:schemeClr w14:val="tx1"/>
            </w14:solidFill>
          </w14:textFill>
        </w:rPr>
        <w:t>对</w:t>
      </w:r>
      <w:r>
        <w:rPr>
          <w:rFonts w:hint="eastAsia" w:ascii="仿宋_GB2312" w:hAnsi="宋体" w:eastAsia="仿宋_GB2312"/>
          <w:color w:val="000000" w:themeColor="text1"/>
          <w:sz w:val="30"/>
          <w:szCs w:val="30"/>
          <w:u w:val="single"/>
          <w14:textFill>
            <w14:solidFill>
              <w14:schemeClr w14:val="tx1"/>
            </w14:solidFill>
          </w14:textFill>
        </w:rPr>
        <w:t xml:space="preserve">          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五、本《成交确认书》一式陆份，拍卖人、出让人、竞得人各执 2 份。</w:t>
      </w:r>
    </w:p>
    <w:p>
      <w:pPr>
        <w:spacing w:line="560" w:lineRule="exact"/>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color w:val="000000" w:themeColor="text1"/>
          <w:sz w:val="30"/>
          <w:szCs w:val="30"/>
          <w:u w:val="single"/>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竞得人：</w:t>
      </w:r>
      <w:r>
        <w:rPr>
          <w:rFonts w:hint="eastAsia" w:ascii="仿宋_GB2312" w:hAnsi="宋体" w:eastAsia="仿宋_GB2312"/>
          <w:color w:val="000000" w:themeColor="text1"/>
          <w:sz w:val="30"/>
          <w:szCs w:val="30"/>
          <w14:textFill>
            <w14:solidFill>
              <w14:schemeClr w14:val="tx1"/>
            </w14:solidFill>
          </w14:textFill>
        </w:rPr>
        <w:t>联系电话：</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拍卖人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 xml:space="preserve">公证员：                    </w:t>
      </w:r>
      <w:r>
        <w:rPr>
          <w:rFonts w:hint="eastAsia" w:ascii="仿宋_GB2312" w:hAnsi="宋体" w:eastAsia="仿宋_GB2312"/>
          <w:color w:val="000000" w:themeColor="text1"/>
          <w:sz w:val="30"/>
          <w:szCs w:val="30"/>
          <w14:textFill>
            <w14:solidFill>
              <w14:schemeClr w14:val="tx1"/>
            </w14:solidFill>
          </w14:textFill>
        </w:rPr>
        <w:t>签定时间：年   月   日</w:t>
      </w:r>
    </w:p>
    <w:p>
      <w:pPr>
        <w:pStyle w:val="25"/>
        <w:spacing w:line="560" w:lineRule="exact"/>
        <w:ind w:left="0"/>
        <w:jc w:val="left"/>
        <w:rPr>
          <w:rFonts w:ascii="仿宋_GB2312" w:hAnsi="仿宋" w:eastAsia="仿宋_GB2312"/>
          <w:color w:val="000000" w:themeColor="text1"/>
          <w:sz w:val="32"/>
          <w:szCs w:val="32"/>
          <w14:textFill>
            <w14:solidFill>
              <w14:schemeClr w14:val="tx1"/>
            </w14:solidFill>
          </w14:textFill>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14:textFill>
            <w14:solidFill>
              <w14:schemeClr w14:val="tx1"/>
            </w14:solidFill>
          </w14:textFill>
        </w:rPr>
      </w:pPr>
    </w:p>
    <w:p>
      <w:pPr>
        <w:pStyle w:val="25"/>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0288;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电子监管号：</w:t>
      </w:r>
    </w:p>
    <w:p>
      <w:pPr>
        <w:pStyle w:val="4"/>
        <w:rPr>
          <w:color w:val="000000" w:themeColor="text1"/>
          <w14:textFill>
            <w14:solidFill>
              <w14:schemeClr w14:val="tx1"/>
            </w14:solidFill>
          </w14:textFill>
        </w:rPr>
      </w:pPr>
    </w:p>
    <w:p>
      <w:pPr>
        <w:pStyle w:val="4"/>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4"/>
        <w:rPr>
          <w:rStyle w:val="19"/>
          <w:rFonts w:hAnsi="宋体" w:cs="宋体"/>
          <w:color w:val="000000" w:themeColor="text1"/>
          <w14:textFill>
            <w14:solidFill>
              <w14:schemeClr w14:val="tx1"/>
            </w14:solidFill>
          </w14:textFill>
        </w:rPr>
      </w:pPr>
    </w:p>
    <w:p>
      <w:pPr>
        <w:pStyle w:val="4"/>
        <w:rPr>
          <w:rStyle w:val="19"/>
          <w:rFonts w:hAnsi="宋体" w:cs="宋体"/>
          <w:color w:val="000000" w:themeColor="text1"/>
          <w14:textFill>
            <w14:solidFill>
              <w14:schemeClr w14:val="tx1"/>
            </w14:solidFill>
          </w14:textFill>
        </w:rPr>
      </w:pPr>
    </w:p>
    <w:p>
      <w:pPr>
        <w:pStyle w:val="2"/>
        <w:jc w:val="center"/>
        <w:rPr>
          <w:rFonts w:ascii="宋体" w:hAnsi="宋体" w:eastAsia="宋体"/>
          <w:color w:val="000000" w:themeColor="text1"/>
          <w:sz w:val="18"/>
          <w:szCs w:val="18"/>
          <w14:textFill>
            <w14:solidFill>
              <w14:schemeClr w14:val="tx1"/>
            </w14:solidFill>
          </w14:textFill>
        </w:rPr>
      </w:pPr>
      <w:bookmarkStart w:id="18" w:name="_Toc3391980"/>
      <w:bookmarkStart w:id="19" w:name="_Toc3391751"/>
      <w:r>
        <w:rPr>
          <w:rFonts w:hint="eastAsia" w:ascii="宋体" w:hAnsi="宋体" w:eastAsia="宋体"/>
          <w:color w:val="000000" w:themeColor="text1"/>
          <w14:textFill>
            <w14:solidFill>
              <w14:schemeClr w14:val="tx1"/>
            </w14:solidFill>
          </w14:textFill>
        </w:rPr>
        <w:t>国有建设用地使用权出让合同</w:t>
      </w:r>
      <w:bookmarkEnd w:id="18"/>
      <w:bookmarkEnd w:id="19"/>
    </w:p>
    <w:p>
      <w:pPr>
        <w:pStyle w:val="4"/>
        <w:rPr>
          <w:rFonts w:hAnsi="宋体"/>
          <w:b/>
          <w:bCs/>
          <w:color w:val="000000" w:themeColor="text1"/>
          <w:sz w:val="18"/>
          <w:szCs w:val="1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1312;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14:textFill>
            <w14:solidFill>
              <w14:schemeClr w14:val="tx1"/>
            </w14:solidFill>
          </w14:textFill>
        </w:rPr>
      </w:pPr>
    </w:p>
    <w:p>
      <w:pPr>
        <w:pStyle w:val="4"/>
        <w:spacing w:line="578" w:lineRule="exact"/>
        <w:ind w:right="640"/>
        <w:jc w:val="right"/>
        <w:rPr>
          <w:rFonts w:hAnsi="宋体"/>
          <w:color w:val="000000" w:themeColor="text1"/>
          <w:sz w:val="28"/>
          <w:szCs w:val="28"/>
          <w14:textFill>
            <w14:solidFill>
              <w14:schemeClr w14:val="tx1"/>
            </w14:solidFill>
          </w14:textFill>
        </w:rPr>
      </w:pPr>
    </w:p>
    <w:p>
      <w:pPr>
        <w:pStyle w:val="4"/>
        <w:spacing w:line="578" w:lineRule="exact"/>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4"/>
        <w:spacing w:line="578" w:lineRule="exact"/>
        <w:jc w:val="center"/>
        <w:rPr>
          <w:rFonts w:ascii="方正小标宋简体" w:hAnsi="宋体" w:eastAsia="方正小标宋简体" w:cs="黑体"/>
          <w:color w:val="000000" w:themeColor="text1"/>
          <w:sz w:val="44"/>
          <w:szCs w:val="44"/>
          <w14:textFill>
            <w14:solidFill>
              <w14:schemeClr w14:val="tx1"/>
            </w14:solidFill>
          </w14:textFill>
        </w:rPr>
      </w:pPr>
    </w:p>
    <w:p>
      <w:pPr>
        <w:pStyle w:val="4"/>
        <w:spacing w:line="578"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s="黑体"/>
          <w:color w:val="000000" w:themeColor="text1"/>
          <w:sz w:val="44"/>
          <w:szCs w:val="44"/>
          <w14:textFill>
            <w14:solidFill>
              <w14:schemeClr w14:val="tx1"/>
            </w14:solidFill>
          </w14:textFill>
        </w:rPr>
        <w:t>国有建设用地使用权出让合同</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第一章总则</w:t>
      </w:r>
    </w:p>
    <w:p>
      <w:pPr>
        <w:pStyle w:val="4"/>
        <w:spacing w:line="578" w:lineRule="exact"/>
        <w:jc w:val="center"/>
        <w:rPr>
          <w:rFonts w:hAnsi="宋体" w:cs="仿宋_GB2312"/>
          <w:color w:val="000000" w:themeColor="text1"/>
          <w:sz w:val="28"/>
          <w:szCs w:val="28"/>
          <w14:textFill>
            <w14:solidFill>
              <w14:schemeClr w14:val="tx1"/>
            </w14:solidFill>
          </w14:textFill>
        </w:rPr>
      </w:pPr>
    </w:p>
    <w:p>
      <w:pPr>
        <w:pStyle w:val="4"/>
        <w:spacing w:line="578" w:lineRule="exact"/>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第三条</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第二章出让土地的交付与出让价款的缴纳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本合同项下出让宗地的平面界址为；出让宗地的平面界址图见附件</w:t>
      </w: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本合同项下出让宗地的竖向界限以为上界限，以为下界限，高差为米。出让宗地竖向界限见附件</w:t>
      </w: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第五条</w:t>
      </w:r>
      <w:r>
        <w:rPr>
          <w:rFonts w:hint="eastAsia" w:hAnsi="宋体" w:cs="仿宋_GB2312"/>
          <w:color w:val="000000" w:themeColor="text1"/>
          <w:sz w:val="28"/>
          <w:szCs w:val="28"/>
          <w14:textFill>
            <w14:solidFill>
              <w14:schemeClr w14:val="tx1"/>
            </w14:solidFill>
          </w14:textFill>
        </w:rPr>
        <w:t>本合同项下出让宗地的用途为</w:t>
      </w:r>
      <w:r>
        <w:rPr>
          <w:rFonts w:hint="eastAsia" w:hAnsi="宋体" w:cs="仿宋_GB2312"/>
          <w:color w:val="000000" w:themeColor="text1"/>
          <w:sz w:val="28"/>
          <w:szCs w:val="28"/>
          <w:u w:val="single"/>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出让人同意在年月日前将出让宗地交付给受让人，出让人同意在交付土地时该宗地应达到本条第</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u w:val="single"/>
          <w14:textFill>
            <w14:solidFill>
              <w14:schemeClr w14:val="tx1"/>
            </w14:solidFill>
          </w14:textFill>
        </w:rPr>
        <w:t>二</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项规定的土地条件：</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第七条</w:t>
      </w:r>
      <w:r>
        <w:rPr>
          <w:rFonts w:hint="eastAsia" w:hAnsi="宋体" w:cs="仿宋_GB2312"/>
          <w:color w:val="000000" w:themeColor="text1"/>
          <w:sz w:val="28"/>
          <w:szCs w:val="28"/>
          <w14:textFill>
            <w14:solidFill>
              <w14:schemeClr w14:val="tx1"/>
            </w14:solidFill>
          </w14:textFill>
        </w:rPr>
        <w:t>本合同项下的国有建设用地使用权出让年期为</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第九条</w:t>
      </w:r>
      <w:r>
        <w:rPr>
          <w:rFonts w:hint="eastAsia" w:hAnsi="宋体" w:cs="仿宋_GB2312"/>
          <w:color w:val="000000" w:themeColor="text1"/>
          <w:sz w:val="28"/>
          <w:szCs w:val="28"/>
          <w14:textFill>
            <w14:solidFill>
              <w14:schemeClr w14:val="tx1"/>
            </w14:solidFill>
          </w14:textFill>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第三章土地开发建设与利用</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）。其中：</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主体建筑物性质；</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建筑容积率不高于不低于</w:t>
      </w:r>
      <w:r>
        <w:rPr>
          <w:rFonts w:hint="eastAsia" w:hAnsi="宋体" w:cs="仿宋_GB2312"/>
          <w:b/>
          <w:bCs/>
          <w:color w:val="000000" w:themeColor="text1"/>
          <w:sz w:val="28"/>
          <w:szCs w:val="28"/>
          <w14:textFill>
            <w14:solidFill>
              <w14:schemeClr w14:val="tx1"/>
            </w14:solidFill>
          </w14:textFill>
        </w:rPr>
        <w:t>；</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建筑限高不高于不低于；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p>
    <w:p>
      <w:pPr>
        <w:pStyle w:val="4"/>
        <w:spacing w:line="578" w:lineRule="exact"/>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第十四条</w:t>
      </w:r>
      <w:r>
        <w:rPr>
          <w:rFonts w:hint="eastAsia" w:hAnsi="宋体" w:cs="仿宋_GB2312"/>
          <w:color w:val="000000" w:themeColor="text1"/>
          <w:sz w:val="28"/>
          <w:szCs w:val="28"/>
          <w14:textFill>
            <w14:solidFill>
              <w14:schemeClr w14:val="tx1"/>
            </w14:solidFill>
          </w14:textFill>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spacing w:line="578" w:lineRule="exact"/>
        <w:ind w:left="6" w:leftChars="3"/>
        <w:jc w:val="left"/>
        <w:rPr>
          <w:rFonts w:hAnsi="宋体" w:cs="仿宋_GB2312"/>
          <w:color w:val="000000" w:themeColor="text1"/>
          <w:sz w:val="28"/>
          <w:szCs w:val="28"/>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w:t>
      </w:r>
      <w:r>
        <w:rPr>
          <w:rFonts w:hAnsi="宋体" w:cs="仿宋_GB2312"/>
          <w:color w:val="000000" w:themeColor="text1"/>
          <w:sz w:val="28"/>
          <w:szCs w:val="28"/>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建筑面积不超过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平方米以下住房套数不少于</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套，住宅建设套型要求为。本合同项下宗地范围内套型建筑面积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．移交给政府；</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．由政府回购；</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．按政府经济适用住房建设和销售管理的有关规定执行；</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第十五条</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受让人同意本合同项下宗地建设项目在</w:t>
      </w:r>
    </w:p>
    <w:p>
      <w:pPr>
        <w:pStyle w:val="4"/>
        <w:spacing w:line="578" w:lineRule="exact"/>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w:t>
      </w:r>
      <w:r>
        <w:rPr>
          <w:rFonts w:hAnsi="宋体" w:cs="仿宋_GB2312"/>
          <w:color w:val="000000" w:themeColor="text1"/>
          <w:sz w:val="28"/>
          <w:szCs w:val="28"/>
          <w14:textFill>
            <w14:solidFill>
              <w14:schemeClr w14:val="tx1"/>
            </w14:solidFill>
          </w14:textFill>
        </w:rPr>
        <w:t>30</w:t>
      </w:r>
      <w:r>
        <w:rPr>
          <w:rFonts w:hint="eastAsia" w:hAnsi="宋体" w:cs="仿宋_GB2312"/>
          <w:color w:val="000000" w:themeColor="text1"/>
          <w:sz w:val="28"/>
          <w:szCs w:val="28"/>
          <w14:textFill>
            <w14:solidFill>
              <w14:schemeClr w14:val="tx1"/>
            </w14:solidFill>
          </w14:textFill>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第十七条</w:t>
      </w:r>
      <w:r>
        <w:rPr>
          <w:rFonts w:hint="eastAsia" w:hAnsi="宋体" w:cs="仿宋_GB2312"/>
          <w:color w:val="000000" w:themeColor="text1"/>
          <w:sz w:val="28"/>
          <w:szCs w:val="28"/>
          <w14:textFill>
            <w14:solidFill>
              <w14:schemeClr w14:val="tx1"/>
            </w14:solidFill>
          </w14:textFill>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第四章国有建设用地使用权转让、出租、抵押</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第二十四条</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第五章期限届满</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第六章不可抗力</w:t>
      </w:r>
    </w:p>
    <w:p>
      <w:pPr>
        <w:pStyle w:val="4"/>
        <w:spacing w:line="578" w:lineRule="exact"/>
        <w:ind w:firstLine="560" w:firstLineChars="200"/>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遇有不可抗力的一方，应在</w:t>
      </w:r>
      <w:r>
        <w:rPr>
          <w:rFonts w:hAnsi="宋体" w:cs="仿宋_GB2312"/>
          <w:color w:val="000000" w:themeColor="text1"/>
          <w:sz w:val="28"/>
          <w:szCs w:val="28"/>
          <w14:textFill>
            <w14:solidFill>
              <w14:schemeClr w14:val="tx1"/>
            </w14:solidFill>
          </w14:textFill>
        </w:rPr>
        <w:t>7</w:t>
      </w:r>
      <w:r>
        <w:rPr>
          <w:rFonts w:hint="eastAsia" w:hAnsi="宋体" w:cs="仿宋_GB2312"/>
          <w:color w:val="000000" w:themeColor="text1"/>
          <w:sz w:val="28"/>
          <w:szCs w:val="28"/>
          <w14:textFill>
            <w14:solidFill>
              <w14:schemeClr w14:val="tx1"/>
            </w14:solidFill>
          </w14:textFill>
        </w:rPr>
        <w:t>日内将不可抗力情况以信函、电报、传真等书面形式通知另一方，并在不可抗力发生后</w:t>
      </w:r>
      <w:r>
        <w:rPr>
          <w:rFonts w:hAnsi="宋体" w:cs="仿宋_GB2312"/>
          <w:color w:val="000000" w:themeColor="text1"/>
          <w:sz w:val="28"/>
          <w:szCs w:val="28"/>
          <w14:textFill>
            <w14:solidFill>
              <w14:schemeClr w14:val="tx1"/>
            </w14:solidFill>
          </w14:textFill>
        </w:rPr>
        <w:t>15</w:t>
      </w:r>
      <w:r>
        <w:rPr>
          <w:rFonts w:hint="eastAsia" w:hAnsi="宋体" w:cs="仿宋_GB2312"/>
          <w:color w:val="000000" w:themeColor="text1"/>
          <w:sz w:val="28"/>
          <w:szCs w:val="28"/>
          <w14:textFill>
            <w14:solidFill>
              <w14:schemeClr w14:val="tx1"/>
            </w14:solidFill>
          </w14:textFill>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第七章违约责任</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第三十条</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spacing w:line="578" w:lineRule="exact"/>
        <w:ind w:hanging="6"/>
        <w:rPr>
          <w:rFonts w:hAnsi="宋体" w:cs="仿宋_GB2312"/>
          <w:color w:val="000000" w:themeColor="text1"/>
          <w:sz w:val="28"/>
          <w:szCs w:val="28"/>
          <w:u w:val="single"/>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（一）受让人在本合同约定的开工建设日期届满一年前不少于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第三十八条</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第八章适用法律及争议解决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（一）提交仲裁委员会仲裁；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（二）依法向人民法院起诉。</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第九章附则</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第四十二条</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w:t>
      </w:r>
      <w:r>
        <w:rPr>
          <w:rFonts w:hAnsi="宋体" w:cs="仿宋_GB2312"/>
          <w:color w:val="000000" w:themeColor="text1"/>
          <w:kern w:val="0"/>
          <w:sz w:val="28"/>
          <w:szCs w:val="28"/>
          <w14:textFill>
            <w14:solidFill>
              <w14:schemeClr w14:val="tx1"/>
            </w14:solidFill>
          </w14:textFill>
        </w:rPr>
        <w:t>15</w:t>
      </w:r>
      <w:r>
        <w:rPr>
          <w:rFonts w:hint="eastAsia" w:hAnsi="宋体" w:cs="仿宋_GB2312"/>
          <w:color w:val="000000" w:themeColor="text1"/>
          <w:kern w:val="0"/>
          <w:sz w:val="28"/>
          <w:szCs w:val="28"/>
          <w14:textFill>
            <w14:solidFill>
              <w14:schemeClr w14:val="tx1"/>
            </w14:solidFill>
          </w14:textFill>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本合同和附件共页整，以中文书写为准。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本合同一式</w:t>
      </w:r>
      <w:r>
        <w:rPr>
          <w:rFonts w:hint="eastAsia" w:hAnsi="宋体" w:cs="仿宋_GB2312"/>
          <w:color w:val="000000" w:themeColor="text1"/>
          <w:sz w:val="28"/>
          <w:szCs w:val="28"/>
          <w:u w:val="single"/>
          <w14:textFill>
            <w14:solidFill>
              <w14:schemeClr w14:val="tx1"/>
            </w14:solidFill>
          </w14:textFill>
        </w:rPr>
        <w:t>陆</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受让人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份，具有同等法律效力。</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补充条款</w:t>
      </w:r>
      <w:r>
        <w:rPr>
          <w:rFonts w:hAnsi="宋体" w:cs="仿宋_GB2312"/>
          <w:color w:val="000000" w:themeColor="text1"/>
          <w:sz w:val="28"/>
          <w:szCs w:val="28"/>
          <w14:textFill>
            <w14:solidFill>
              <w14:schemeClr w14:val="tx1"/>
            </w14:solidFill>
          </w14:textFill>
        </w:rPr>
        <w:t>：</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出让人（章）：受让人（章）：</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法定代表人（委托代理人）法定代表人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委托代理人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（签字）：（签字）：</w:t>
      </w:r>
    </w:p>
    <w:p>
      <w:pPr>
        <w:pStyle w:val="4"/>
        <w:spacing w:line="578" w:lineRule="exact"/>
        <w:rPr>
          <w:rFonts w:hAnsi="宋体"/>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p>
    <w:p>
      <w:pPr>
        <w:pStyle w:val="4"/>
        <w:ind w:firstLine="4340" w:firstLineChars="1550"/>
        <w:rPr>
          <w:rFonts w:hAnsi="宋体"/>
          <w:color w:val="000000" w:themeColor="text1"/>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二〇二〇年  月  日</w:t>
      </w:r>
    </w:p>
    <w:p>
      <w:pPr>
        <w:pStyle w:val="4"/>
        <w:spacing w:line="578" w:lineRule="exact"/>
        <w:jc w:val="right"/>
        <w:rPr>
          <w:rFonts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14:textFill>
            <w14:solidFill>
              <w14:schemeClr w14:val="tx1"/>
            </w14:solidFill>
          </w14:textFill>
        </w:rPr>
      </w:pPr>
      <w:bookmarkStart w:id="20" w:name="_Toc3391981"/>
      <w:r>
        <w:rPr>
          <w:rFonts w:hint="eastAsia" w:ascii="黑体" w:hAnsi="宋体" w:eastAsia="黑体"/>
          <w:color w:val="000000" w:themeColor="text1"/>
          <w:sz w:val="44"/>
          <w:szCs w:val="44"/>
          <w14:textFill>
            <w14:solidFill>
              <w14:schemeClr w14:val="tx1"/>
            </w14:solidFill>
          </w14:textFill>
        </w:rPr>
        <w:t>国有建设用地交接地确认书</w:t>
      </w:r>
      <w:bookmarkEnd w:id="20"/>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达市自然资交字〔〕号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w:t>
      </w: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《国有建设用地使用权划拨决定书》的相关要求，</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本确认书一式三份，局执二份，接地方执一份。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交地方：            </w:t>
      </w:r>
      <w:r>
        <w:rPr>
          <w:rFonts w:ascii="仿宋" w:hAnsi="仿宋" w:eastAsia="仿宋" w:cs="仿宋"/>
          <w:b/>
          <w:color w:val="000000" w:themeColor="text1"/>
          <w:sz w:val="32"/>
          <w:szCs w:val="32"/>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4176" w:firstLineChars="13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三份确认书中只二份加盖接地方印章。</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r>
        <w:rPr>
          <w:rFonts w:hint="eastAsia" w:ascii="黑体" w:hAnsi="黑体" w:eastAsia="黑体" w:cs="仿宋"/>
          <w:color w:val="000000" w:themeColor="text1"/>
          <w:sz w:val="44"/>
          <w:szCs w:val="44"/>
          <w14:textFill>
            <w14:solidFill>
              <w14:schemeClr w14:val="tx1"/>
            </w14:solidFill>
          </w14:textFill>
        </w:rPr>
        <w:t>国有建设用地交接地现场人员签到表</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姓名</w:t>
            </w:r>
          </w:p>
        </w:tc>
        <w:tc>
          <w:tcPr>
            <w:tcW w:w="2736"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4" w:type="dxa"/>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或职称</w:t>
            </w:r>
            <w:r>
              <w:rPr>
                <w:rFonts w:ascii="仿宋" w:hAnsi="仿宋" w:eastAsia="仿宋" w:cs="仿宋"/>
                <w:b/>
                <w:color w:val="000000" w:themeColor="text1"/>
                <w:sz w:val="32"/>
                <w:szCs w:val="32"/>
                <w14:textFill>
                  <w14:solidFill>
                    <w14:schemeClr w14:val="tx1"/>
                  </w14:solidFill>
                </w14:textFill>
              </w:rPr>
              <w:t>)</w:t>
            </w:r>
          </w:p>
        </w:tc>
        <w:tc>
          <w:tcPr>
            <w:tcW w:w="226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 xml:space="preserve">    2.</w:t>
      </w:r>
      <w:r>
        <w:rPr>
          <w:rFonts w:hint="eastAsia" w:ascii="仿宋" w:hAnsi="仿宋" w:eastAsia="仿宋" w:cs="仿宋"/>
          <w:color w:val="000000" w:themeColor="text1"/>
          <w:sz w:val="32"/>
          <w:szCs w:val="32"/>
          <w14:textFill>
            <w14:solidFill>
              <w14:schemeClr w14:val="tx1"/>
            </w14:solidFill>
          </w14:textFill>
        </w:rPr>
        <w:t>接地方主要代表须现场按手印。</w:t>
      </w:r>
    </w:p>
    <w:p>
      <w:pPr>
        <w:pStyle w:val="4"/>
        <w:ind w:left="-141" w:leftChars="-67" w:right="480"/>
        <w:jc w:val="center"/>
        <w:rPr>
          <w:rFonts w:ascii="黑体" w:hAnsi="宋体" w:eastAsia="黑体"/>
          <w:color w:val="000000" w:themeColor="text1"/>
          <w:sz w:val="44"/>
          <w:szCs w:val="44"/>
          <w14:textFill>
            <w14:solidFill>
              <w14:schemeClr w14:val="tx1"/>
            </w14:solidFill>
          </w14:textFill>
        </w:rPr>
      </w:pPr>
    </w:p>
    <w:p>
      <w:pPr>
        <w:pStyle w:val="4"/>
        <w:ind w:left="-141" w:leftChars="-67" w:right="480"/>
        <w:jc w:val="center"/>
        <w:rPr>
          <w:rFonts w:ascii="黑体" w:hAnsi="宋体" w:eastAsia="黑体"/>
          <w:color w:val="000000" w:themeColor="text1"/>
          <w:sz w:val="44"/>
          <w:szCs w:val="44"/>
          <w14:textFill>
            <w14:solidFill>
              <w14:schemeClr w14:val="tx1"/>
            </w14:solidFill>
          </w14:textFill>
        </w:rPr>
      </w:pPr>
      <w:r>
        <w:rPr>
          <w:rFonts w:hint="eastAsia" w:ascii="黑体" w:hAnsi="宋体" w:eastAsia="黑体"/>
          <w:color w:val="000000" w:themeColor="text1"/>
          <w:sz w:val="44"/>
          <w:szCs w:val="44"/>
          <w14:textFill>
            <w14:solidFill>
              <w14:schemeClr w14:val="tx1"/>
            </w14:solidFill>
          </w14:textFill>
        </w:rPr>
        <w:t>建设项目动工开发申报书</w:t>
      </w:r>
    </w:p>
    <w:p>
      <w:pPr>
        <w:pStyle w:val="4"/>
        <w:ind w:left="-141" w:leftChars="-67" w:right="480"/>
        <w:jc w:val="left"/>
        <w:rPr>
          <w:rFonts w:hAnsi="宋体"/>
          <w:color w:val="000000" w:themeColor="text1"/>
          <w14:textFill>
            <w14:solidFill>
              <w14:schemeClr w14:val="tx1"/>
            </w14:solidFill>
          </w14:textFill>
        </w:rPr>
      </w:pPr>
    </w:p>
    <w:p>
      <w:pPr>
        <w:pStyle w:val="4"/>
        <w:ind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4"/>
        <w:ind w:left="-141" w:leftChars="-67" w:right="480" w:firstLine="480" w:firstLineChars="15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14:textFill>
            <w14:solidFill>
              <w14:schemeClr w14:val="tx1"/>
            </w14:solidFill>
          </w14:textFill>
        </w:rPr>
        <w:t>。</w:t>
      </w:r>
    </w:p>
    <w:p>
      <w:pPr>
        <w:pStyle w:val="4"/>
        <w:ind w:left="-141" w:leftChars="-67" w:right="480" w:firstLine="480" w:firstLineChars="15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特此申报。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单位（印章）</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个人：</w:t>
      </w:r>
    </w:p>
    <w:p>
      <w:pPr>
        <w:pStyle w:val="4"/>
        <w:wordWrap w:val="0"/>
        <w:ind w:left="-141" w:leftChars="-67" w:right="80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年 月 日</w:t>
      </w:r>
    </w:p>
    <w:p>
      <w:pPr>
        <w:pStyle w:val="4"/>
        <w:ind w:left="-141" w:leftChars="-67" w:right="480"/>
        <w:jc w:val="left"/>
        <w:rPr>
          <w:rFonts w:hAnsi="宋体"/>
          <w:color w:val="000000" w:themeColor="text1"/>
          <w14:textFill>
            <w14:solidFill>
              <w14:schemeClr w14:val="tx1"/>
            </w14:solidFill>
          </w14:textFill>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14:textFill>
            <w14:solidFill>
              <w14:schemeClr w14:val="tx1"/>
            </w14:solidFill>
          </w14:textFill>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Dotum">
    <w:altName w:val="Malgun Gothic"/>
    <w:panose1 w:val="020B0600000101010101"/>
    <w:charset w:val="81"/>
    <w:family w:val="modern"/>
    <w:pitch w:val="default"/>
    <w:sig w:usb0="00000000" w:usb1="00000000" w:usb2="00000010" w:usb3="00000000" w:csb0="0008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57785" cy="131445"/>
              <wp:effectExtent l="0" t="0" r="0" b="0"/>
              <wp:wrapNone/>
              <wp:docPr id="8"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6" o:spid="_x0000_s1026" o:spt="202" type="#_x0000_t202" style="position:absolute;left:0pt;margin-top:0pt;height:10.35pt;width:4.55pt;mso-position-horizontal:right;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57785" cy="131445"/>
              <wp:effectExtent l="0" t="0" r="0" b="0"/>
              <wp:wrapNone/>
              <wp:docPr id="15"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0.35pt;width:4.55pt;mso-position-horizontal:right;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14935" cy="131445"/>
              <wp:effectExtent l="0" t="0" r="0" b="0"/>
              <wp:wrapNone/>
              <wp:docPr id="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0.35pt;width:9.05pt;mso-position-horizontal:right;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42</w:t>
                    </w:r>
                    <w:r>
                      <w:rPr>
                        <w:lang w:val="zh-CN"/>
                      </w:rPr>
                      <w:fldChar w:fldCharType="end"/>
                    </w:r>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14935" cy="131445"/>
              <wp:effectExtent l="0" t="0" r="0" b="0"/>
              <wp:wrapNone/>
              <wp:docPr id="14"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pPr>
                          <w:r>
                            <w:fldChar w:fldCharType="begin"/>
                          </w:r>
                          <w:r>
                            <w:instrText xml:space="preserve"> PAGE  \* MERGEFORMAT </w:instrText>
                          </w:r>
                          <w:r>
                            <w:fldChar w:fldCharType="separate"/>
                          </w:r>
                          <w:r>
                            <w:t>46</w:t>
                          </w:r>
                          <w:r>
                            <w:fldChar w:fldCharType="end"/>
                          </w:r>
                        </w:p>
                      </w:txbxContent>
                    </wps:txbx>
                    <wps:bodyPr rot="0" vert="horz" wrap="none" lIns="0" tIns="0" rIns="0" bIns="0" anchor="t" anchorCtr="0" upright="1">
                      <a:spAutoFit/>
                    </wps:bodyPr>
                  </wps:wsp>
                </a:graphicData>
              </a:graphic>
            </wp:anchor>
          </w:drawing>
        </mc:Choice>
        <mc:Fallback>
          <w:pict>
            <v:shape id="文本框 19" o:spid="_x0000_s1026"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7D"/>
    <w:rsid w:val="00005CB8"/>
    <w:rsid w:val="00007304"/>
    <w:rsid w:val="0001446D"/>
    <w:rsid w:val="0001456E"/>
    <w:rsid w:val="00015F63"/>
    <w:rsid w:val="00022844"/>
    <w:rsid w:val="000234EE"/>
    <w:rsid w:val="000243BD"/>
    <w:rsid w:val="00031B6E"/>
    <w:rsid w:val="0003326F"/>
    <w:rsid w:val="000335EF"/>
    <w:rsid w:val="000337F4"/>
    <w:rsid w:val="00041A76"/>
    <w:rsid w:val="00042E62"/>
    <w:rsid w:val="00045565"/>
    <w:rsid w:val="00051FCD"/>
    <w:rsid w:val="00055137"/>
    <w:rsid w:val="0005573F"/>
    <w:rsid w:val="00056109"/>
    <w:rsid w:val="000601C5"/>
    <w:rsid w:val="00063B8B"/>
    <w:rsid w:val="000640DE"/>
    <w:rsid w:val="00066966"/>
    <w:rsid w:val="00066FC3"/>
    <w:rsid w:val="00067259"/>
    <w:rsid w:val="00071663"/>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0F5B9E"/>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25F"/>
    <w:rsid w:val="00177F59"/>
    <w:rsid w:val="00182313"/>
    <w:rsid w:val="00182674"/>
    <w:rsid w:val="001849B2"/>
    <w:rsid w:val="00191D3B"/>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1E3D"/>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0E0B"/>
    <w:rsid w:val="003235F6"/>
    <w:rsid w:val="00324175"/>
    <w:rsid w:val="00327996"/>
    <w:rsid w:val="00330403"/>
    <w:rsid w:val="0033062A"/>
    <w:rsid w:val="003349CC"/>
    <w:rsid w:val="0034122B"/>
    <w:rsid w:val="0034334B"/>
    <w:rsid w:val="003509FA"/>
    <w:rsid w:val="00356351"/>
    <w:rsid w:val="00357146"/>
    <w:rsid w:val="0036243D"/>
    <w:rsid w:val="00362478"/>
    <w:rsid w:val="00362C25"/>
    <w:rsid w:val="00364A66"/>
    <w:rsid w:val="00366006"/>
    <w:rsid w:val="0036696E"/>
    <w:rsid w:val="003679EC"/>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1E1D"/>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19AC"/>
    <w:rsid w:val="004935C4"/>
    <w:rsid w:val="004A0672"/>
    <w:rsid w:val="004A1B6A"/>
    <w:rsid w:val="004A235B"/>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C6FF1"/>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4140C"/>
    <w:rsid w:val="00554A0F"/>
    <w:rsid w:val="00555FE0"/>
    <w:rsid w:val="00563CCD"/>
    <w:rsid w:val="0057687B"/>
    <w:rsid w:val="00577714"/>
    <w:rsid w:val="00580358"/>
    <w:rsid w:val="00580E05"/>
    <w:rsid w:val="005946D7"/>
    <w:rsid w:val="005963A4"/>
    <w:rsid w:val="00596871"/>
    <w:rsid w:val="005972D6"/>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2CAF"/>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61429"/>
    <w:rsid w:val="0077022B"/>
    <w:rsid w:val="00776B4F"/>
    <w:rsid w:val="007771E8"/>
    <w:rsid w:val="00781EAD"/>
    <w:rsid w:val="00786746"/>
    <w:rsid w:val="00786963"/>
    <w:rsid w:val="007933DA"/>
    <w:rsid w:val="00796228"/>
    <w:rsid w:val="00796BCF"/>
    <w:rsid w:val="007A25EF"/>
    <w:rsid w:val="007A4F2F"/>
    <w:rsid w:val="007A61CF"/>
    <w:rsid w:val="007B0208"/>
    <w:rsid w:val="007B0ECF"/>
    <w:rsid w:val="007B2CB3"/>
    <w:rsid w:val="007B4CD9"/>
    <w:rsid w:val="007C083D"/>
    <w:rsid w:val="007C0910"/>
    <w:rsid w:val="007C1CC7"/>
    <w:rsid w:val="007C2D9D"/>
    <w:rsid w:val="007C545F"/>
    <w:rsid w:val="007C7D14"/>
    <w:rsid w:val="007D2A4D"/>
    <w:rsid w:val="007D3752"/>
    <w:rsid w:val="007D5974"/>
    <w:rsid w:val="007F2305"/>
    <w:rsid w:val="007F2568"/>
    <w:rsid w:val="007F544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6679A"/>
    <w:rsid w:val="0087077C"/>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5B38"/>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15E1"/>
    <w:rsid w:val="00954FC4"/>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78D"/>
    <w:rsid w:val="009B3B2C"/>
    <w:rsid w:val="009B4BBA"/>
    <w:rsid w:val="009B56A4"/>
    <w:rsid w:val="009C010F"/>
    <w:rsid w:val="009C0BF9"/>
    <w:rsid w:val="009C3A17"/>
    <w:rsid w:val="009C5366"/>
    <w:rsid w:val="009D3523"/>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A79"/>
    <w:rsid w:val="00A74F29"/>
    <w:rsid w:val="00A76546"/>
    <w:rsid w:val="00A76CC5"/>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36CF"/>
    <w:rsid w:val="00AD4262"/>
    <w:rsid w:val="00AD60E8"/>
    <w:rsid w:val="00AE37F0"/>
    <w:rsid w:val="00AE66FD"/>
    <w:rsid w:val="00AE75F5"/>
    <w:rsid w:val="00AE7B1C"/>
    <w:rsid w:val="00AF30CA"/>
    <w:rsid w:val="00AF40D0"/>
    <w:rsid w:val="00AF49F2"/>
    <w:rsid w:val="00AF7ADC"/>
    <w:rsid w:val="00B019E0"/>
    <w:rsid w:val="00B01A31"/>
    <w:rsid w:val="00B0610E"/>
    <w:rsid w:val="00B06BAC"/>
    <w:rsid w:val="00B077AD"/>
    <w:rsid w:val="00B10AAE"/>
    <w:rsid w:val="00B11276"/>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55957"/>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B6E9E"/>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58DC"/>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6B1F"/>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3D0A"/>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BB0EE9"/>
    <w:rsid w:val="026B22E7"/>
    <w:rsid w:val="029972DE"/>
    <w:rsid w:val="03AA19C7"/>
    <w:rsid w:val="03B74AF0"/>
    <w:rsid w:val="03DE645D"/>
    <w:rsid w:val="05E1083F"/>
    <w:rsid w:val="06FA7189"/>
    <w:rsid w:val="07C85206"/>
    <w:rsid w:val="09563133"/>
    <w:rsid w:val="097A7552"/>
    <w:rsid w:val="099B3542"/>
    <w:rsid w:val="0B1A4AB9"/>
    <w:rsid w:val="0C497608"/>
    <w:rsid w:val="0CD833D2"/>
    <w:rsid w:val="0D53316B"/>
    <w:rsid w:val="0DF318A8"/>
    <w:rsid w:val="0E2D6DD1"/>
    <w:rsid w:val="0E5731F5"/>
    <w:rsid w:val="0EC45DD2"/>
    <w:rsid w:val="10C679D7"/>
    <w:rsid w:val="11797BE6"/>
    <w:rsid w:val="130E4C3B"/>
    <w:rsid w:val="132F26C0"/>
    <w:rsid w:val="13ED13EF"/>
    <w:rsid w:val="14E16390"/>
    <w:rsid w:val="16801789"/>
    <w:rsid w:val="186657D8"/>
    <w:rsid w:val="1AC271A1"/>
    <w:rsid w:val="1DCF1CAD"/>
    <w:rsid w:val="1DF0644C"/>
    <w:rsid w:val="1EAE1A51"/>
    <w:rsid w:val="202662CF"/>
    <w:rsid w:val="20C02E3B"/>
    <w:rsid w:val="20E5353A"/>
    <w:rsid w:val="21300BE1"/>
    <w:rsid w:val="216B271C"/>
    <w:rsid w:val="21916B72"/>
    <w:rsid w:val="21AD621F"/>
    <w:rsid w:val="22B4258F"/>
    <w:rsid w:val="22F457CB"/>
    <w:rsid w:val="22F95368"/>
    <w:rsid w:val="249F1FCC"/>
    <w:rsid w:val="250840B1"/>
    <w:rsid w:val="26AF0309"/>
    <w:rsid w:val="28AF3A48"/>
    <w:rsid w:val="29490560"/>
    <w:rsid w:val="2959300C"/>
    <w:rsid w:val="2D2B72D6"/>
    <w:rsid w:val="2DAB3E8A"/>
    <w:rsid w:val="2DFB7CF8"/>
    <w:rsid w:val="2F246B5F"/>
    <w:rsid w:val="2F3436B1"/>
    <w:rsid w:val="31070868"/>
    <w:rsid w:val="327B74C9"/>
    <w:rsid w:val="33853158"/>
    <w:rsid w:val="35D85810"/>
    <w:rsid w:val="365111B7"/>
    <w:rsid w:val="37DA4387"/>
    <w:rsid w:val="3A503457"/>
    <w:rsid w:val="3A986748"/>
    <w:rsid w:val="3B373BF0"/>
    <w:rsid w:val="3BF5424D"/>
    <w:rsid w:val="3CAC0CBC"/>
    <w:rsid w:val="3CED456F"/>
    <w:rsid w:val="3D1179C2"/>
    <w:rsid w:val="3D5862BA"/>
    <w:rsid w:val="3D853729"/>
    <w:rsid w:val="3DF86F11"/>
    <w:rsid w:val="3E4C593B"/>
    <w:rsid w:val="3E637C3C"/>
    <w:rsid w:val="3EB30628"/>
    <w:rsid w:val="3F8D5411"/>
    <w:rsid w:val="40C32B14"/>
    <w:rsid w:val="44036F51"/>
    <w:rsid w:val="44336E6F"/>
    <w:rsid w:val="4490122C"/>
    <w:rsid w:val="452C62DB"/>
    <w:rsid w:val="47BF3736"/>
    <w:rsid w:val="47EF2633"/>
    <w:rsid w:val="48000CA4"/>
    <w:rsid w:val="48C65B68"/>
    <w:rsid w:val="49040EDB"/>
    <w:rsid w:val="49862F88"/>
    <w:rsid w:val="49E179D3"/>
    <w:rsid w:val="4A3D01D8"/>
    <w:rsid w:val="4A985E05"/>
    <w:rsid w:val="4CBB71D4"/>
    <w:rsid w:val="4CC20504"/>
    <w:rsid w:val="4D692582"/>
    <w:rsid w:val="503B5814"/>
    <w:rsid w:val="507D52C1"/>
    <w:rsid w:val="51C06615"/>
    <w:rsid w:val="51F62E5B"/>
    <w:rsid w:val="52727F56"/>
    <w:rsid w:val="536415F1"/>
    <w:rsid w:val="544A2F78"/>
    <w:rsid w:val="55253541"/>
    <w:rsid w:val="55765C92"/>
    <w:rsid w:val="55BA7C2C"/>
    <w:rsid w:val="55E81647"/>
    <w:rsid w:val="58881CF3"/>
    <w:rsid w:val="5D58614E"/>
    <w:rsid w:val="5E91003A"/>
    <w:rsid w:val="5E921DE8"/>
    <w:rsid w:val="5F5C11C0"/>
    <w:rsid w:val="5FBF30CA"/>
    <w:rsid w:val="5FCD01EE"/>
    <w:rsid w:val="601B7A0C"/>
    <w:rsid w:val="61BF7D6D"/>
    <w:rsid w:val="62F8125D"/>
    <w:rsid w:val="64A518E4"/>
    <w:rsid w:val="67B25079"/>
    <w:rsid w:val="67ED50B4"/>
    <w:rsid w:val="687E1002"/>
    <w:rsid w:val="68C6311D"/>
    <w:rsid w:val="68E36727"/>
    <w:rsid w:val="692D7E27"/>
    <w:rsid w:val="69784A22"/>
    <w:rsid w:val="6AA85A79"/>
    <w:rsid w:val="6BC55D79"/>
    <w:rsid w:val="6BF24E2C"/>
    <w:rsid w:val="6BFF4848"/>
    <w:rsid w:val="6E6000EC"/>
    <w:rsid w:val="72997548"/>
    <w:rsid w:val="733E2B8B"/>
    <w:rsid w:val="745C561E"/>
    <w:rsid w:val="745D03BD"/>
    <w:rsid w:val="75493809"/>
    <w:rsid w:val="772C4780"/>
    <w:rsid w:val="7B0074E6"/>
    <w:rsid w:val="7B256E54"/>
    <w:rsid w:val="7B3D5FC0"/>
    <w:rsid w:val="7B5363E1"/>
    <w:rsid w:val="7BE65DC2"/>
    <w:rsid w:val="7D392FC7"/>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FC965-D530-41F8-8730-8C498F77E0B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46</Pages>
  <Words>2752</Words>
  <Characters>15690</Characters>
  <Lines>130</Lines>
  <Paragraphs>36</Paragraphs>
  <TotalTime>1</TotalTime>
  <ScaleCrop>false</ScaleCrop>
  <LinksUpToDate>false</LinksUpToDate>
  <CharactersWithSpaces>18406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北欧海盗</cp:lastModifiedBy>
  <cp:lastPrinted>2021-04-14T09:09:00Z</cp:lastPrinted>
  <dcterms:modified xsi:type="dcterms:W3CDTF">2021-04-15T08:38:44Z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4027845B058B430494F44544B7E077DB</vt:lpwstr>
  </property>
</Properties>
</file>