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rPr>
      </w:pPr>
    </w:p>
    <w:p>
      <w:pPr>
        <w:rPr>
          <w:color w:val="000000" w:themeColor="text1"/>
          <w:sz w:val="44"/>
        </w:rPr>
      </w:pPr>
      <w:r>
        <w:rPr>
          <w:color w:val="000000" w:themeColor="text1"/>
        </w:rPr>
        <w:pict>
          <v:shape id="Text Box 4" o:spid="_x0000_s1026" o:spt="202" type="#_x0000_t202" style="position:absolute;left:0pt;margin-left:67.2pt;margin-top:129.65pt;height:48.6pt;width:495pt;mso-position-horizontal-relative:page;mso-position-vertical-relative:page;z-index:251659264;mso-width-relative:page;mso-height-relative:page;" filled="f" stroked="f" coordsize="21600,21600" o:allowincell="f" o:gfxdata="UEsDBAoAAAAAAIdO4kAAAAAAAAAAAAAAAAAEAAAAZHJzL1BLAwQUAAAACACHTuJAZZZEyNcAAAAM&#10;AQAADwAAAGRycy9kb3ducmV2LnhtbE2PTU+EMBCG7yb+h2ZMvLmlQNYVKRtjogdvsB70VuhIif0g&#10;bZfFf2856fGdefLOM/VxNZos6MPkLAe2y4CgHZyc7Mjh/fRydwASorBSaGeRww8GODbXV7WopLvY&#10;FpcujiSV2FAJDirGuaI0DAqNCDs3o027L+eNiCn6kUovLqncaJpn2Z4aMdl0QYkZnxUO393ZcOhe&#10;n1bZHuY32fX5Qj8/lPb7lvPbG5Y9Aom4xj8YNv2kDk1y6t3ZykB0ykVZJpRDXj4UQDaC5duo51Aw&#10;dg+0qen/J5pfUEsDBBQAAAAIAIdO4kAiSPBxuwEAAJEDAAAOAAAAZHJzL2Uyb0RvYy54bWytU8lu&#10;2zAQvRfoPxC815TlxLEFywEKI0GAoi2Q5ANoirIIcMOQtuS/75BSnO2SQy/UbHyc92a0uR2MJicJ&#10;QTlb0/msoERa4RplDzV9frr7saIkRG4brp2VNT3LQG+3379tel/J0nVONxIIgthQ9b6mXYy+YiyI&#10;ThoeZs5Li8nWgeERXTiwBniP6EazsiiWrHfQeHBChoDR3ZikEyJ8BdC1rRJy58TRSBtHVJCaR6QU&#10;OuUD3eZu21aK+Kdtg4xE1xSZxnziI2jv08m2G14dgPtOiakF/pUWPnAyXFl89AK145GTI6hPUEYJ&#10;cMG1cSacYSORrAiymBcftHnsuJeZC0od/EX08P9gxe/TXyCqqemCEssNDvxJDpH8dAO5Sur0PlRY&#10;9OixLA4Yxp15iQcMJtJDCyZ9kQ7BPGp7vmibwAQGl+VqeV1gSmBusV6WV1l89nrbQ4j30hmSjJoC&#10;zi5Lyk+/QsROsPSlJD1m3Z3SOs9P23cBLBwjMi/AdDsRGRtOVhz2w8Ru75ozktMPFnWd35Q36zUu&#10;SvYW1+vkwLvUPnurse7oQR06bDeLwhI0Tio3O21VWoW3Ptpv/6T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WWRMjXAAAADAEAAA8AAAAAAAAAAQAgAAAAIgAAAGRycy9kb3ducmV2LnhtbFBLAQIU&#10;ABQAAAAIAIdO4kAiSPBxuwEAAJEDAAAOAAAAAAAAAAEAIAAAACYBAABkcnMvZTJvRG9jLnhtbFBL&#10;BQYAAAAABgAGAFkBAABTBQAAAAA=&#10;">
            <v:path/>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538" w:lineRule="atLeast"/>
                    <w:jc w:val="right"/>
                  </w:pPr>
                  <w:r>
                    <w:rPr>
                      <w:rFonts w:hint="eastAsia" w:ascii="微软雅黑" w:hAnsi="微软雅黑" w:eastAsia="微软雅黑" w:cs="微软雅黑"/>
                      <w:szCs w:val="21"/>
                    </w:rPr>
                    <w:t>DST(P)[ 2021]15号</w:t>
                  </w:r>
                </w:p>
                <w:p/>
              </w:txbxContent>
            </v:textbox>
          </v:shape>
        </w:pict>
      </w:r>
    </w:p>
    <w:p>
      <w:pPr>
        <w:jc w:val="left"/>
        <w:rPr>
          <w:color w:val="000000" w:themeColor="text1"/>
          <w:sz w:val="44"/>
        </w:rPr>
      </w:pPr>
    </w:p>
    <w:p>
      <w:pPr>
        <w:rPr>
          <w:color w:val="000000" w:themeColor="text1"/>
          <w:sz w:val="44"/>
        </w:rPr>
      </w:pPr>
    </w:p>
    <w:p>
      <w:pPr>
        <w:ind w:left="260" w:hanging="260" w:hangingChars="50"/>
        <w:jc w:val="center"/>
        <w:rPr>
          <w:rFonts w:hint="eastAsia"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lang w:val="en-US" w:eastAsia="zh-CN"/>
        </w:rPr>
        <w:t>柳家坝片区A-05-02</w:t>
      </w:r>
      <w:r>
        <w:rPr>
          <w:rFonts w:hint="eastAsia" w:ascii="方正小标宋简体" w:hAnsi="微软雅黑" w:eastAsia="方正小标宋简体"/>
          <w:color w:val="000000" w:themeColor="text1"/>
          <w:sz w:val="52"/>
          <w:szCs w:val="52"/>
        </w:rPr>
        <w:t>、A-04-0</w:t>
      </w:r>
      <w:r>
        <w:rPr>
          <w:rFonts w:hint="eastAsia" w:ascii="方正小标宋简体" w:hAnsi="微软雅黑" w:eastAsia="方正小标宋简体"/>
          <w:color w:val="000000" w:themeColor="text1"/>
          <w:sz w:val="52"/>
          <w:szCs w:val="52"/>
          <w:lang w:val="en-US" w:eastAsia="zh-CN"/>
        </w:rPr>
        <w:t>7</w:t>
      </w:r>
      <w:r>
        <w:rPr>
          <w:rFonts w:hint="eastAsia" w:ascii="方正小标宋简体" w:hAnsi="微软雅黑" w:eastAsia="方正小标宋简体"/>
          <w:color w:val="000000" w:themeColor="text1"/>
          <w:sz w:val="52"/>
          <w:szCs w:val="52"/>
        </w:rPr>
        <w:t>、</w:t>
      </w:r>
    </w:p>
    <w:p>
      <w:pPr>
        <w:ind w:left="260" w:hanging="260" w:hangingChars="50"/>
        <w:jc w:val="center"/>
        <w:rPr>
          <w:rFonts w:hint="eastAsia"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lang w:val="en-US" w:eastAsia="zh-CN"/>
        </w:rPr>
        <w:t>马踏洞外围片区A20-06</w:t>
      </w:r>
      <w:r>
        <w:rPr>
          <w:rFonts w:hint="eastAsia" w:ascii="方正小标宋简体" w:hAnsi="微软雅黑" w:eastAsia="方正小标宋简体"/>
          <w:color w:val="000000" w:themeColor="text1"/>
          <w:sz w:val="52"/>
          <w:szCs w:val="52"/>
        </w:rPr>
        <w:t>等</w:t>
      </w:r>
      <w:r>
        <w:rPr>
          <w:rFonts w:hint="eastAsia" w:ascii="方正小标宋简体" w:hAnsi="微软雅黑" w:eastAsia="方正小标宋简体"/>
          <w:color w:val="000000" w:themeColor="text1"/>
          <w:sz w:val="52"/>
          <w:szCs w:val="52"/>
          <w:lang w:val="en-US" w:eastAsia="zh-CN"/>
        </w:rPr>
        <w:t>三</w:t>
      </w:r>
      <w:r>
        <w:rPr>
          <w:rFonts w:hint="eastAsia" w:ascii="方正小标宋简体" w:hAnsi="微软雅黑" w:eastAsia="方正小标宋简体"/>
          <w:color w:val="000000" w:themeColor="text1"/>
          <w:sz w:val="52"/>
          <w:szCs w:val="52"/>
        </w:rPr>
        <w:t>宗国有</w:t>
      </w: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0" o:spt="202" type="#_x0000_t202" style="position:absolute;left:0pt;margin-left:55.85pt;margin-top:0.65pt;height:101.55pt;width:339.2pt;z-index:251662336;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2iLq8bAgAAYAQAAA4AAABkcnMvZTJvRG9jLnhtbK1U&#10;zY7TMBC+I/EOlu80bXe7dKOmK6CUCwKkhQdw7UliyX+y3SZ9AXgDTly473P1ORg73ZZdLj2QQzL2&#10;fP5m5ptxFne9VmQHPkhrKjoZjSkBw62Qpqnot6/rV3NKQmRGMGUNVHQPgd4tX75YdK6EqW2tEuAJ&#10;kphQdq6ibYyuLIrAW9AsjKwDg87aes0iLn1TCM86ZNeqmI7HN0VnvXDecggBd1eDkx4Z/SWEtq4l&#10;h5XlWw0mDqweFItYUmilC3SZs61r4PFzXQeIRFUUK435jUHQ3qR3sVywsvHMtZIfU2CXpPCsJs2k&#10;waAnqhWLjGy9/IdKS+5tsHUccauLoZCsCFYxGT/T5r5lDnItKHVwJ9HD/6Pln3ZfPJGiojeUGKax&#10;4YefPw6/Hg6/v5PJVdKnc6FE2L1DYOzf2h6n5nE/4GYqu6+9Tl8siKAf1d2f1IU+Eo6b11fj1/Nr&#10;dHH0Tabz25v5LPEU5+POh/gBrCbJqKjH9mVV2e5jiAP0EZKiBaukWEul8sI3m3fKkx3DVq/zc2R/&#10;AlOGdBW9nU1nmAjD+a1xbtDUDjUIpsnxnpwIlxGnxFYstEMCmSHFZ6WWEXy2WmDivREk7h3qbPB6&#10;0ZSMBkGJAryNycrIyKS6BInaKZOCQJ71o0qpY0NnkhX7TY+kydxYsccubp2XTYsCT4Zq3ZtttGuZ&#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2iLq8b&#10;AgAAYAQAAA4AAAAAAAAAAQAgAAAAKAEAAGRycy9lMm9Eb2MueG1sUEsFBgAAAAAGAAYAWQEAALUF&#10;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w:t>
                  </w:r>
                  <w:r>
                    <w:rPr>
                      <w:rFonts w:hint="eastAsia" w:ascii="方正小标宋简体" w:eastAsia="方正小标宋简体"/>
                      <w:color w:val="000000"/>
                      <w:sz w:val="48"/>
                      <w:szCs w:val="48"/>
                      <w:lang w:val="en-US" w:eastAsia="zh-CN"/>
                    </w:rPr>
                    <w:t>和规划</w:t>
                  </w:r>
                  <w:r>
                    <w:rPr>
                      <w:rFonts w:hint="eastAsia" w:ascii="方正小标宋简体" w:eastAsia="方正小标宋简体"/>
                      <w:color w:val="000000"/>
                      <w:sz w:val="48"/>
                      <w:szCs w:val="48"/>
                    </w:rPr>
                    <w:t>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ascii="黑体" w:hAnsi="黑体" w:eastAsia="黑体"/>
          <w:bCs/>
          <w:color w:val="000000" w:themeColor="text1"/>
          <w:w w:val="80"/>
          <w:sz w:val="44"/>
        </w:rPr>
      </w:pPr>
      <w:r>
        <w:rPr>
          <w:color w:val="000000" w:themeColor="text1"/>
          <w:sz w:val="44"/>
        </w:rPr>
        <w:br w:type="page"/>
      </w: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2</w:t>
      </w:r>
      <w:r>
        <w:rPr>
          <w:rFonts w:hint="eastAsia" w:ascii="宋体"/>
          <w:color w:val="000000" w:themeColor="text1"/>
          <w:w w:val="66"/>
          <w:sz w:val="32"/>
          <w:szCs w:val="32"/>
        </w:rPr>
        <w:t>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w:t>
      </w:r>
      <w:r>
        <w:rPr>
          <w:rFonts w:hint="eastAsia"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9</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30</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44</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34"/>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bookmarkStart w:id="0" w:name="_Toc3391741"/>
      <w:bookmarkStart w:id="1" w:name="_Toc3391970"/>
      <w:r>
        <w:rPr>
          <w:rFonts w:hint="eastAsia" w:ascii="方正小标宋简体" w:hAnsi="宋体" w:eastAsia="方正小标宋简体" w:cs="宋体"/>
          <w:color w:val="000000" w:themeColor="text1"/>
          <w:sz w:val="44"/>
          <w:szCs w:val="44"/>
        </w:rPr>
        <w:t>达州市自然资源</w:t>
      </w:r>
      <w:r>
        <w:rPr>
          <w:rFonts w:hint="eastAsia" w:ascii="方正小标宋简体" w:hAnsi="宋体" w:eastAsia="方正小标宋简体" w:cs="宋体"/>
          <w:color w:val="000000" w:themeColor="text1"/>
          <w:sz w:val="44"/>
          <w:szCs w:val="44"/>
          <w:lang w:val="en-US" w:eastAsia="zh-CN"/>
        </w:rPr>
        <w:t>和规划</w:t>
      </w:r>
      <w:r>
        <w:rPr>
          <w:rFonts w:hint="eastAsia" w:ascii="方正小标宋简体" w:hAnsi="宋体" w:eastAsia="方正小标宋简体" w:cs="宋体"/>
          <w:color w:val="000000" w:themeColor="text1"/>
          <w:sz w:val="44"/>
          <w:szCs w:val="44"/>
        </w:rPr>
        <w:t>局</w:t>
      </w: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12"/>
        <w:spacing w:before="0" w:after="0" w:line="600" w:lineRule="exact"/>
        <w:rPr>
          <w:rFonts w:ascii="方正小标宋简体" w:eastAsia="方正小标宋简体"/>
          <w:b w:val="0"/>
          <w:color w:val="000000" w:themeColor="text1"/>
          <w:sz w:val="44"/>
          <w:szCs w:val="44"/>
        </w:rPr>
      </w:pPr>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600" w:lineRule="exact"/>
        <w:jc w:val="center"/>
        <w:rPr>
          <w:rFonts w:ascii="宋体" w:cs="宋体"/>
          <w:color w:val="000000" w:themeColor="text1"/>
          <w:sz w:val="28"/>
          <w:szCs w:val="28"/>
        </w:rPr>
      </w:pPr>
    </w:p>
    <w:p>
      <w:pPr>
        <w:snapToGrid w:val="0"/>
        <w:spacing w:line="600" w:lineRule="exact"/>
        <w:jc w:val="center"/>
        <w:rPr>
          <w:rFonts w:ascii="宋体" w:hAnsi="宋体" w:cs="宋体"/>
          <w:color w:val="FF0000"/>
          <w:sz w:val="28"/>
          <w:szCs w:val="28"/>
        </w:rPr>
      </w:pPr>
      <w:r>
        <w:rPr>
          <w:rFonts w:hint="eastAsia" w:ascii="微软雅黑" w:hAnsi="微软雅黑" w:eastAsia="微软雅黑" w:cs="微软雅黑"/>
          <w:szCs w:val="21"/>
        </w:rPr>
        <w:t>DST(P)[ 2021]15号</w:t>
      </w:r>
    </w:p>
    <w:p>
      <w:pPr>
        <w:widowControl/>
        <w:wordWrap w:val="0"/>
        <w:ind w:firstLine="560" w:firstLineChars="200"/>
        <w:jc w:val="left"/>
        <w:rPr>
          <w:rFonts w:ascii="微软雅黑" w:hAnsi="微软雅黑" w:eastAsia="微软雅黑" w:cs="宋体"/>
          <w:color w:val="333333"/>
          <w:kern w:val="0"/>
          <w:sz w:val="19"/>
          <w:szCs w:val="19"/>
        </w:rPr>
      </w:pPr>
      <w:r>
        <w:rPr>
          <w:rFonts w:hint="eastAsia" w:ascii="宋体" w:hAnsi="宋体" w:cs="宋体"/>
          <w:color w:val="000000" w:themeColor="text1"/>
          <w:sz w:val="28"/>
          <w:szCs w:val="28"/>
        </w:rPr>
        <w:t>经</w:t>
      </w:r>
      <w:r>
        <w:rPr>
          <w:rFonts w:hint="eastAsia" w:ascii="宋体" w:hAnsi="宋体" w:cs="宋体"/>
          <w:color w:val="000000" w:themeColor="text1"/>
          <w:sz w:val="28"/>
          <w:szCs w:val="28"/>
          <w:u w:val="single"/>
          <w:lang w:val="en-US" w:eastAsia="zh-CN"/>
        </w:rPr>
        <w:t>达州市人民政府</w:t>
      </w:r>
      <w:r>
        <w:rPr>
          <w:rFonts w:hint="eastAsia" w:ascii="宋体" w:hAnsi="宋体" w:cs="宋体"/>
          <w:color w:val="000000" w:themeColor="text1"/>
          <w:sz w:val="28"/>
          <w:szCs w:val="28"/>
        </w:rPr>
        <w:t>批准</w:t>
      </w:r>
      <w:r>
        <w:rPr>
          <w:rFonts w:hint="eastAsia" w:ascii="宋体" w:hAnsi="宋体" w:cs="宋体"/>
          <w:color w:val="000000" w:themeColor="text1"/>
          <w:sz w:val="28"/>
          <w:szCs w:val="28"/>
          <w:u w:val="single"/>
        </w:rPr>
        <w:t>，达州市自然资源</w:t>
      </w:r>
      <w:r>
        <w:rPr>
          <w:rFonts w:hint="eastAsia" w:ascii="宋体" w:hAnsi="宋体" w:cs="宋体"/>
          <w:color w:val="000000" w:themeColor="text1"/>
          <w:sz w:val="28"/>
          <w:szCs w:val="28"/>
          <w:u w:val="single"/>
          <w:lang w:val="en-US" w:eastAsia="zh-CN"/>
        </w:rPr>
        <w:t>和规划</w:t>
      </w:r>
      <w:r>
        <w:rPr>
          <w:rFonts w:hint="eastAsia" w:ascii="宋体" w:hAnsi="宋体" w:cs="宋体"/>
          <w:color w:val="000000" w:themeColor="text1"/>
          <w:sz w:val="28"/>
          <w:szCs w:val="28"/>
          <w:u w:val="single"/>
        </w:rPr>
        <w:t>局</w:t>
      </w:r>
      <w:r>
        <w:rPr>
          <w:rFonts w:hint="eastAsia" w:ascii="宋体" w:hAnsi="宋体" w:cs="宋体"/>
          <w:color w:val="000000" w:themeColor="text1"/>
          <w:sz w:val="28"/>
          <w:szCs w:val="28"/>
        </w:rPr>
        <w:t>决定以拍卖方式出让</w:t>
      </w:r>
      <w:r>
        <w:rPr>
          <w:rFonts w:hint="eastAsia" w:ascii="宋体" w:hAnsi="宋体" w:cs="宋体"/>
          <w:color w:val="000000" w:themeColor="text1"/>
          <w:sz w:val="28"/>
          <w:szCs w:val="28"/>
          <w:u w:val="single"/>
          <w:lang w:val="en-US" w:eastAsia="zh-CN"/>
        </w:rPr>
        <w:t>柳家坝片区A-05-02、A-04-07、马踏洞外围片区A20-06</w:t>
      </w:r>
      <w:r>
        <w:rPr>
          <w:rFonts w:hint="eastAsia" w:ascii="宋体" w:hAnsi="宋体" w:cs="宋体"/>
          <w:color w:val="000000" w:themeColor="text1"/>
          <w:sz w:val="28"/>
          <w:szCs w:val="28"/>
          <w:u w:val="single"/>
        </w:rPr>
        <w:t>等</w:t>
      </w:r>
      <w:r>
        <w:rPr>
          <w:rFonts w:hint="eastAsia" w:ascii="宋体" w:hAnsi="宋体" w:cs="宋体"/>
          <w:color w:val="000000" w:themeColor="text1"/>
          <w:sz w:val="28"/>
          <w:szCs w:val="28"/>
          <w:u w:val="single"/>
          <w:lang w:val="en-US" w:eastAsia="zh-CN"/>
        </w:rPr>
        <w:t>三</w:t>
      </w:r>
      <w:r>
        <w:rPr>
          <w:rFonts w:hint="eastAsia" w:ascii="宋体" w:hAnsi="宋体" w:cs="宋体"/>
          <w:color w:val="000000" w:themeColor="text1"/>
          <w:sz w:val="28"/>
          <w:szCs w:val="28"/>
          <w:u w:val="single"/>
        </w:rPr>
        <w:t>宗</w:t>
      </w:r>
      <w:r>
        <w:rPr>
          <w:rFonts w:hint="eastAsia" w:ascii="宋体" w:hAnsi="宋体" w:cs="宋体"/>
          <w:color w:val="000000" w:themeColor="text1"/>
          <w:sz w:val="28"/>
          <w:szCs w:val="28"/>
        </w:rPr>
        <w:t>国有建设用地使用权。</w:t>
      </w:r>
      <w:r>
        <w:rPr>
          <w:rFonts w:hint="eastAsia" w:ascii="宋体" w:hAnsi="宋体" w:cs="宋体"/>
          <w:color w:val="000000" w:themeColor="text1"/>
          <w:sz w:val="28"/>
          <w:szCs w:val="28"/>
          <w:u w:val="single"/>
        </w:rPr>
        <w:t>达州市公共资源交易服务中心</w:t>
      </w:r>
      <w:r>
        <w:rPr>
          <w:rFonts w:hint="eastAsia" w:ascii="宋体" w:hAnsi="宋体" w:cs="宋体"/>
          <w:color w:val="000000" w:themeColor="text1"/>
          <w:sz w:val="28"/>
          <w:szCs w:val="28"/>
        </w:rPr>
        <w:t>受出让人委托对</w:t>
      </w:r>
      <w:r>
        <w:rPr>
          <w:rFonts w:hint="eastAsia" w:ascii="宋体" w:hAnsi="宋体" w:cs="宋体"/>
          <w:color w:val="000000" w:themeColor="text1"/>
          <w:sz w:val="28"/>
          <w:szCs w:val="28"/>
          <w:lang w:val="en-US" w:eastAsia="zh-CN"/>
        </w:rPr>
        <w:t>三</w:t>
      </w:r>
      <w:r>
        <w:rPr>
          <w:rFonts w:hint="eastAsia" w:ascii="宋体" w:hAnsi="宋体" w:cs="宋体"/>
          <w:color w:val="000000" w:themeColor="text1"/>
          <w:sz w:val="28"/>
          <w:szCs w:val="28"/>
        </w:rPr>
        <w:t>宗</w:t>
      </w:r>
      <w:r>
        <w:rPr>
          <w:rFonts w:hint="eastAsia" w:ascii="宋体" w:hAnsi="宋体" w:cs="宋体"/>
          <w:color w:val="000000" w:themeColor="text1"/>
          <w:kern w:val="0"/>
          <w:sz w:val="28"/>
          <w:szCs w:val="28"/>
        </w:rPr>
        <w:t>地块</w:t>
      </w:r>
      <w:r>
        <w:rPr>
          <w:rFonts w:hint="eastAsia" w:ascii="宋体" w:hAnsi="宋体" w:cs="宋体"/>
          <w:color w:val="000000" w:themeColor="text1"/>
          <w:sz w:val="28"/>
          <w:szCs w:val="28"/>
        </w:rPr>
        <w:t>组织拍卖。现将有关事项公告如下：</w:t>
      </w:r>
    </w:p>
    <w:p>
      <w:pPr>
        <w:numPr>
          <w:ilvl w:val="0"/>
          <w:numId w:val="2"/>
        </w:numPr>
        <w:snapToGrid w:val="0"/>
        <w:spacing w:line="600" w:lineRule="exact"/>
        <w:rPr>
          <w:rFonts w:ascii="宋体" w:hAnsi="宋体" w:cs="宋体"/>
          <w:color w:val="000000" w:themeColor="text1"/>
          <w:sz w:val="28"/>
          <w:szCs w:val="28"/>
        </w:rPr>
      </w:pPr>
      <w:r>
        <w:rPr>
          <w:rFonts w:hint="eastAsia" w:ascii="宋体" w:hAnsi="宋体" w:cs="宋体"/>
          <w:color w:val="000000" w:themeColor="text1"/>
          <w:sz w:val="28"/>
          <w:szCs w:val="28"/>
        </w:rPr>
        <w:t>拍卖出让地块的基本情况和规划指标要求：</w:t>
      </w:r>
    </w:p>
    <w:tbl>
      <w:tblPr>
        <w:tblStyle w:val="13"/>
        <w:tblW w:w="59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8"/>
        <w:gridCol w:w="653"/>
        <w:gridCol w:w="456"/>
        <w:gridCol w:w="576"/>
        <w:gridCol w:w="740"/>
        <w:gridCol w:w="595"/>
        <w:gridCol w:w="454"/>
        <w:gridCol w:w="506"/>
        <w:gridCol w:w="574"/>
        <w:gridCol w:w="2018"/>
        <w:gridCol w:w="815"/>
        <w:gridCol w:w="603"/>
        <w:gridCol w:w="735"/>
        <w:gridCol w:w="775"/>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47" w:type="pct"/>
            <w:vMerge w:val="restart"/>
            <w:tcBorders>
              <w:top w:val="single" w:color="000000" w:sz="4" w:space="0"/>
              <w:lef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序号</w:t>
            </w:r>
          </w:p>
        </w:tc>
        <w:tc>
          <w:tcPr>
            <w:tcW w:w="311"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地块</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编号</w:t>
            </w:r>
          </w:p>
        </w:tc>
        <w:tc>
          <w:tcPr>
            <w:tcW w:w="217"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位置</w:t>
            </w:r>
          </w:p>
        </w:tc>
        <w:tc>
          <w:tcPr>
            <w:tcW w:w="274"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土地出让面积</w:t>
            </w:r>
            <w:r>
              <w:rPr>
                <w:rFonts w:ascii="黑体" w:hAnsi="黑体" w:eastAsia="黑体" w:cs="宋体"/>
                <w:color w:val="000000" w:themeColor="text1"/>
                <w:sz w:val="13"/>
                <w:szCs w:val="13"/>
              </w:rPr>
              <w:t>(</w:t>
            </w:r>
            <w:r>
              <w:rPr>
                <w:rFonts w:hint="eastAsia" w:ascii="黑体" w:hAnsi="黑体" w:eastAsia="黑体" w:cs="宋体"/>
                <w:color w:val="000000" w:themeColor="text1"/>
                <w:sz w:val="13"/>
                <w:szCs w:val="13"/>
              </w:rPr>
              <w:t>㎡）</w:t>
            </w:r>
          </w:p>
        </w:tc>
        <w:tc>
          <w:tcPr>
            <w:tcW w:w="352"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用途</w:t>
            </w:r>
          </w:p>
        </w:tc>
        <w:tc>
          <w:tcPr>
            <w:tcW w:w="2365" w:type="pct"/>
            <w:gridSpan w:val="6"/>
            <w:tcBorders>
              <w:top w:val="single" w:color="000000" w:sz="4" w:space="0"/>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规划指标要求</w:t>
            </w:r>
          </w:p>
        </w:tc>
        <w:tc>
          <w:tcPr>
            <w:tcW w:w="287"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出让</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年限</w:t>
            </w:r>
          </w:p>
        </w:tc>
        <w:tc>
          <w:tcPr>
            <w:tcW w:w="35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起拍价</w:t>
            </w:r>
          </w:p>
        </w:tc>
        <w:tc>
          <w:tcPr>
            <w:tcW w:w="369" w:type="pct"/>
            <w:vMerge w:val="restart"/>
            <w:tcBorders>
              <w:top w:val="single" w:color="000000" w:sz="4" w:space="0"/>
              <w:right w:val="single" w:color="000000" w:sz="4" w:space="0"/>
            </w:tcBorders>
            <w:vAlign w:val="center"/>
          </w:tcPr>
          <w:p>
            <w:pPr>
              <w:jc w:val="center"/>
              <w:rPr>
                <w:rFonts w:ascii="黑体" w:hAnsi="黑体" w:eastAsia="黑体"/>
                <w:color w:val="000000" w:themeColor="text1"/>
                <w:spacing w:val="-6"/>
                <w:sz w:val="13"/>
                <w:szCs w:val="13"/>
              </w:rPr>
            </w:pPr>
            <w:r>
              <w:rPr>
                <w:rFonts w:hint="eastAsia" w:ascii="黑体" w:hAnsi="黑体" w:eastAsia="黑体" w:cs="宋体"/>
                <w:color w:val="000000" w:themeColor="text1"/>
                <w:spacing w:val="-6"/>
                <w:sz w:val="13"/>
                <w:szCs w:val="13"/>
              </w:rPr>
              <w:t>增价</w:t>
            </w:r>
          </w:p>
          <w:p>
            <w:pPr>
              <w:jc w:val="center"/>
              <w:rPr>
                <w:rFonts w:ascii="黑体" w:hAnsi="黑体" w:eastAsia="黑体"/>
                <w:color w:val="000000" w:themeColor="text1"/>
                <w:spacing w:val="-32"/>
                <w:sz w:val="13"/>
                <w:szCs w:val="13"/>
              </w:rPr>
            </w:pPr>
            <w:r>
              <w:rPr>
                <w:rFonts w:hint="eastAsia" w:ascii="黑体" w:hAnsi="黑体" w:eastAsia="黑体" w:cs="宋体"/>
                <w:color w:val="000000" w:themeColor="text1"/>
                <w:spacing w:val="-6"/>
                <w:sz w:val="13"/>
                <w:szCs w:val="13"/>
              </w:rPr>
              <w:t>幅度</w:t>
            </w:r>
          </w:p>
        </w:tc>
        <w:tc>
          <w:tcPr>
            <w:tcW w:w="324" w:type="pct"/>
            <w:vMerge w:val="restart"/>
            <w:tcBorders>
              <w:top w:val="single" w:color="000000" w:sz="4" w:space="0"/>
              <w:righ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竞买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47" w:type="pct"/>
            <w:vMerge w:val="continue"/>
            <w:tcBorders>
              <w:top w:val="single" w:color="000000" w:sz="4" w:space="0"/>
              <w:left w:val="single" w:color="000000" w:sz="4" w:space="0"/>
            </w:tcBorders>
            <w:vAlign w:val="center"/>
          </w:tcPr>
          <w:p>
            <w:pPr>
              <w:widowControl/>
              <w:jc w:val="left"/>
              <w:rPr>
                <w:rFonts w:ascii="黑体" w:hAnsi="黑体" w:eastAsia="黑体"/>
                <w:color w:val="000000" w:themeColor="text1"/>
                <w:sz w:val="13"/>
                <w:szCs w:val="13"/>
              </w:rPr>
            </w:pPr>
          </w:p>
        </w:tc>
        <w:tc>
          <w:tcPr>
            <w:tcW w:w="311"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17"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74"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352"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83" w:type="pct"/>
            <w:tcBorders>
              <w:bottom w:val="single" w:color="000000" w:sz="4" w:space="0"/>
              <w:right w:val="single" w:color="000000" w:sz="4" w:space="0"/>
            </w:tcBorders>
            <w:vAlign w:val="center"/>
          </w:tcPr>
          <w:p>
            <w:pPr>
              <w:snapToGrid w:val="0"/>
              <w:spacing w:line="289" w:lineRule="atLeast"/>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容积率</w:t>
            </w:r>
          </w:p>
        </w:tc>
        <w:tc>
          <w:tcPr>
            <w:tcW w:w="216"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密度</w:t>
            </w:r>
          </w:p>
        </w:tc>
        <w:tc>
          <w:tcPr>
            <w:tcW w:w="241"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绿地率</w:t>
            </w:r>
          </w:p>
        </w:tc>
        <w:tc>
          <w:tcPr>
            <w:tcW w:w="273"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限高</w:t>
            </w:r>
          </w:p>
        </w:tc>
        <w:tc>
          <w:tcPr>
            <w:tcW w:w="962"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olor w:val="000000" w:themeColor="text1"/>
                <w:sz w:val="13"/>
                <w:szCs w:val="13"/>
              </w:rPr>
              <w:t>配套设施</w:t>
            </w:r>
          </w:p>
        </w:tc>
        <w:tc>
          <w:tcPr>
            <w:tcW w:w="388"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其他规划指标</w:t>
            </w:r>
          </w:p>
        </w:tc>
        <w:tc>
          <w:tcPr>
            <w:tcW w:w="287"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50"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69" w:type="pct"/>
            <w:vMerge w:val="continue"/>
            <w:tcBorders>
              <w:right w:val="single" w:color="000000" w:sz="4" w:space="0"/>
            </w:tcBorders>
            <w:vAlign w:val="center"/>
          </w:tcPr>
          <w:p>
            <w:pPr>
              <w:widowControl/>
              <w:jc w:val="left"/>
              <w:rPr>
                <w:rFonts w:ascii="黑体" w:hAnsi="黑体" w:eastAsia="黑体"/>
                <w:color w:val="000000" w:themeColor="text1"/>
                <w:spacing w:val="-32"/>
                <w:sz w:val="13"/>
                <w:szCs w:val="13"/>
              </w:rPr>
            </w:pPr>
          </w:p>
        </w:tc>
        <w:tc>
          <w:tcPr>
            <w:tcW w:w="324"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7" w:type="pct"/>
            <w:tcBorders>
              <w:left w:val="single" w:color="000000" w:sz="4" w:space="0"/>
            </w:tcBorders>
            <w:vAlign w:val="center"/>
          </w:tcPr>
          <w:p>
            <w:pPr>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1</w:t>
            </w:r>
          </w:p>
        </w:tc>
        <w:tc>
          <w:tcPr>
            <w:tcW w:w="311"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 xml:space="preserve">      A-</w:t>
            </w:r>
            <w:r>
              <w:rPr>
                <w:rFonts w:hint="eastAsia" w:ascii="仿宋_GB2312" w:hAnsi="仿宋_GB2312" w:eastAsia="仿宋_GB2312" w:cs="仿宋_GB2312"/>
                <w:sz w:val="13"/>
                <w:szCs w:val="13"/>
                <w:lang w:val="en-US" w:eastAsia="zh-CN"/>
              </w:rPr>
              <w:t>05</w:t>
            </w:r>
            <w:r>
              <w:rPr>
                <w:rFonts w:hint="eastAsia" w:ascii="仿宋_GB2312" w:hAnsi="仿宋_GB2312" w:eastAsia="仿宋_GB2312" w:cs="仿宋_GB2312"/>
                <w:sz w:val="13"/>
                <w:szCs w:val="13"/>
              </w:rPr>
              <w:t>-0</w:t>
            </w:r>
            <w:r>
              <w:rPr>
                <w:rFonts w:hint="eastAsia" w:ascii="仿宋_GB2312" w:hAnsi="仿宋_GB2312" w:eastAsia="仿宋_GB2312" w:cs="仿宋_GB2312"/>
                <w:sz w:val="13"/>
                <w:szCs w:val="13"/>
                <w:lang w:val="en-US" w:eastAsia="zh-CN"/>
              </w:rPr>
              <w:t>2</w:t>
            </w:r>
          </w:p>
        </w:tc>
        <w:tc>
          <w:tcPr>
            <w:tcW w:w="217" w:type="pct"/>
            <w:tcBorders>
              <w:right w:val="single" w:color="000000" w:sz="4" w:space="0"/>
            </w:tcBorders>
            <w:vAlign w:val="center"/>
          </w:tcPr>
          <w:p>
            <w:pPr>
              <w:spacing w:line="200" w:lineRule="exact"/>
              <w:jc w:val="center"/>
              <w:rPr>
                <w:rFonts w:hint="default" w:ascii="仿宋_GB2312" w:hAnsi="仿宋_GB2312" w:eastAsia="仿宋_GB2312" w:cs="仿宋_GB2312"/>
                <w:sz w:val="13"/>
                <w:szCs w:val="13"/>
                <w:lang w:val="en-US" w:eastAsia="zh-CN"/>
              </w:rPr>
            </w:pPr>
            <w:r>
              <w:rPr>
                <w:rFonts w:hint="eastAsia" w:ascii="仿宋_GB2312" w:hAnsi="仿宋_GB2312" w:eastAsia="仿宋_GB2312" w:cs="仿宋_GB2312"/>
                <w:sz w:val="13"/>
                <w:szCs w:val="13"/>
              </w:rPr>
              <w:t>通川区</w:t>
            </w:r>
            <w:r>
              <w:rPr>
                <w:rFonts w:hint="eastAsia" w:ascii="仿宋_GB2312" w:hAnsi="仿宋_GB2312" w:eastAsia="仿宋_GB2312" w:cs="仿宋_GB2312"/>
                <w:sz w:val="13"/>
                <w:szCs w:val="13"/>
                <w:lang w:val="en-US" w:eastAsia="zh-CN"/>
              </w:rPr>
              <w:t>罗江镇石燕社区十四组</w:t>
            </w:r>
          </w:p>
        </w:tc>
        <w:tc>
          <w:tcPr>
            <w:tcW w:w="27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w:t>
            </w:r>
            <w:r>
              <w:rPr>
                <w:rFonts w:hint="eastAsia" w:ascii="仿宋_GB2312" w:hAnsi="仿宋_GB2312" w:eastAsia="仿宋_GB2312" w:cs="仿宋_GB2312"/>
                <w:sz w:val="13"/>
                <w:szCs w:val="13"/>
                <w:lang w:val="en-US" w:eastAsia="zh-CN"/>
              </w:rPr>
              <w:t>7469.49</w:t>
            </w:r>
            <w:r>
              <w:rPr>
                <w:rFonts w:hint="eastAsia" w:ascii="仿宋_GB2312" w:hAnsi="仿宋_GB2312" w:eastAsia="仿宋_GB2312" w:cs="仿宋_GB2312"/>
                <w:sz w:val="13"/>
                <w:szCs w:val="13"/>
              </w:rPr>
              <w:t>平方米（折合</w:t>
            </w:r>
            <w:r>
              <w:rPr>
                <w:rFonts w:hint="eastAsia" w:ascii="仿宋_GB2312" w:hAnsi="仿宋_GB2312" w:eastAsia="仿宋_GB2312" w:cs="仿宋_GB2312"/>
                <w:sz w:val="13"/>
                <w:szCs w:val="13"/>
                <w:lang w:val="en-US" w:eastAsia="zh-CN"/>
              </w:rPr>
              <w:t>41.2</w:t>
            </w:r>
            <w:r>
              <w:rPr>
                <w:rFonts w:hint="eastAsia" w:ascii="仿宋_GB2312" w:hAnsi="仿宋_GB2312" w:eastAsia="仿宋_GB2312" w:cs="仿宋_GB2312"/>
                <w:sz w:val="13"/>
                <w:szCs w:val="13"/>
              </w:rPr>
              <w:t>亩）</w:t>
            </w:r>
          </w:p>
        </w:tc>
        <w:tc>
          <w:tcPr>
            <w:tcW w:w="352"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二类居住用地（用地用海分类为二类城镇住宅用地）</w:t>
            </w:r>
          </w:p>
        </w:tc>
        <w:tc>
          <w:tcPr>
            <w:tcW w:w="28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1</w:t>
            </w:r>
            <w:r>
              <w:rPr>
                <w:rFonts w:hint="eastAsia" w:ascii="仿宋_GB2312" w:hAnsi="仿宋_GB2312" w:eastAsia="仿宋_GB2312" w:cs="仿宋_GB2312"/>
                <w:sz w:val="13"/>
                <w:szCs w:val="13"/>
              </w:rPr>
              <w:t>＜F≤3.0</w:t>
            </w:r>
          </w:p>
        </w:tc>
        <w:tc>
          <w:tcPr>
            <w:tcW w:w="216"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w:t>
            </w:r>
            <w:r>
              <w:rPr>
                <w:rFonts w:hint="eastAsia" w:ascii="仿宋_GB2312" w:hAnsi="仿宋_GB2312" w:eastAsia="仿宋_GB2312" w:cs="仿宋_GB2312"/>
                <w:sz w:val="13"/>
                <w:szCs w:val="13"/>
                <w:lang w:val="en-US" w:eastAsia="zh-CN"/>
              </w:rPr>
              <w:t>0</w:t>
            </w:r>
            <w:r>
              <w:rPr>
                <w:rFonts w:hint="eastAsia" w:ascii="仿宋_GB2312" w:hAnsi="仿宋_GB2312" w:eastAsia="仿宋_GB2312" w:cs="仿宋_GB2312"/>
                <w:sz w:val="13"/>
                <w:szCs w:val="13"/>
              </w:rPr>
              <w:t>%</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w:t>
            </w:r>
            <w:r>
              <w:rPr>
                <w:rFonts w:hint="eastAsia" w:ascii="仿宋_GB2312" w:hAnsi="仿宋_GB2312" w:eastAsia="仿宋_GB2312" w:cs="仿宋_GB2312"/>
                <w:sz w:val="13"/>
                <w:szCs w:val="13"/>
                <w:lang w:val="en-US" w:eastAsia="zh-CN"/>
              </w:rPr>
              <w:t>30</w:t>
            </w:r>
            <w:r>
              <w:rPr>
                <w:rFonts w:hint="eastAsia" w:ascii="仿宋_GB2312" w:hAnsi="仿宋_GB2312" w:eastAsia="仿宋_GB2312" w:cs="仿宋_GB2312"/>
                <w:sz w:val="13"/>
                <w:szCs w:val="13"/>
              </w:rPr>
              <w:t>%</w:t>
            </w:r>
          </w:p>
        </w:tc>
        <w:tc>
          <w:tcPr>
            <w:tcW w:w="273"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2" w:type="pct"/>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w:t>
            </w: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A-0</w:t>
            </w:r>
            <w:r>
              <w:rPr>
                <w:rFonts w:hint="eastAsia" w:ascii="仿宋_GB2312" w:hAnsi="仿宋_GB2312" w:eastAsia="仿宋_GB2312" w:cs="仿宋_GB2312"/>
                <w:sz w:val="13"/>
                <w:szCs w:val="13"/>
                <w:lang w:val="en-US" w:eastAsia="zh-CN"/>
              </w:rPr>
              <w:t>5</w:t>
            </w:r>
            <w:r>
              <w:rPr>
                <w:rFonts w:hint="eastAsia" w:ascii="仿宋_GB2312" w:hAnsi="仿宋_GB2312" w:eastAsia="仿宋_GB2312" w:cs="仿宋_GB2312"/>
                <w:sz w:val="13"/>
                <w:szCs w:val="13"/>
              </w:rPr>
              <w:t>-0</w:t>
            </w:r>
            <w:r>
              <w:rPr>
                <w:rFonts w:hint="eastAsia" w:ascii="仿宋_GB2312" w:hAnsi="仿宋_GB2312" w:eastAsia="仿宋_GB2312" w:cs="仿宋_GB2312"/>
                <w:sz w:val="13"/>
                <w:szCs w:val="13"/>
                <w:lang w:val="en-US" w:eastAsia="zh-CN"/>
              </w:rPr>
              <w:t>2</w:t>
            </w:r>
            <w:r>
              <w:rPr>
                <w:rFonts w:hint="eastAsia" w:ascii="仿宋_GB2312" w:hAnsi="仿宋_GB2312" w:eastAsia="仿宋_GB2312" w:cs="仿宋_GB2312"/>
                <w:sz w:val="13"/>
                <w:szCs w:val="13"/>
              </w:rPr>
              <w:t>地块规划条件》</w:t>
            </w:r>
          </w:p>
          <w:p>
            <w:pPr>
              <w:spacing w:line="200" w:lineRule="exact"/>
              <w:rPr>
                <w:rFonts w:ascii="仿宋_GB2312" w:hAnsi="仿宋_GB2312" w:eastAsia="仿宋_GB2312" w:cs="仿宋_GB2312"/>
                <w:kern w:val="2"/>
                <w:sz w:val="13"/>
                <w:szCs w:val="13"/>
                <w:lang w:val="en-US" w:eastAsia="zh-CN" w:bidi="ar-SA"/>
              </w:rPr>
            </w:pPr>
          </w:p>
        </w:tc>
        <w:tc>
          <w:tcPr>
            <w:tcW w:w="388"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w:t>
            </w: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A-0</w:t>
            </w:r>
            <w:r>
              <w:rPr>
                <w:rFonts w:hint="eastAsia" w:ascii="仿宋_GB2312" w:hAnsi="仿宋_GB2312" w:eastAsia="仿宋_GB2312" w:cs="仿宋_GB2312"/>
                <w:sz w:val="13"/>
                <w:szCs w:val="13"/>
                <w:lang w:val="en-US" w:eastAsia="zh-CN"/>
              </w:rPr>
              <w:t>5</w:t>
            </w:r>
            <w:r>
              <w:rPr>
                <w:rFonts w:hint="eastAsia" w:ascii="仿宋_GB2312" w:hAnsi="仿宋_GB2312" w:eastAsia="仿宋_GB2312" w:cs="仿宋_GB2312"/>
                <w:sz w:val="13"/>
                <w:szCs w:val="13"/>
              </w:rPr>
              <w:t>-0</w:t>
            </w:r>
            <w:r>
              <w:rPr>
                <w:rFonts w:hint="eastAsia" w:ascii="仿宋_GB2312" w:hAnsi="仿宋_GB2312" w:eastAsia="仿宋_GB2312" w:cs="仿宋_GB2312"/>
                <w:sz w:val="13"/>
                <w:szCs w:val="13"/>
                <w:lang w:val="en-US" w:eastAsia="zh-CN"/>
              </w:rPr>
              <w:t>2</w:t>
            </w:r>
            <w:r>
              <w:rPr>
                <w:rFonts w:hint="eastAsia" w:ascii="仿宋_GB2312" w:hAnsi="仿宋_GB2312" w:eastAsia="仿宋_GB2312" w:cs="仿宋_GB2312"/>
                <w:sz w:val="13"/>
                <w:szCs w:val="13"/>
              </w:rPr>
              <w:t>地块规划条件》</w:t>
            </w:r>
          </w:p>
          <w:p>
            <w:pPr>
              <w:spacing w:line="200" w:lineRule="exact"/>
              <w:rPr>
                <w:rFonts w:ascii="仿宋_GB2312" w:hAnsi="仿宋_GB2312" w:eastAsia="仿宋_GB2312" w:cs="仿宋_GB2312"/>
                <w:sz w:val="13"/>
                <w:szCs w:val="13"/>
              </w:rPr>
            </w:pPr>
          </w:p>
        </w:tc>
        <w:tc>
          <w:tcPr>
            <w:tcW w:w="287"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5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360</w:t>
            </w:r>
            <w:r>
              <w:rPr>
                <w:rFonts w:hint="eastAsia" w:ascii="仿宋_GB2312" w:hAnsi="仿宋_GB2312" w:eastAsia="仿宋_GB2312" w:cs="仿宋_GB2312"/>
                <w:sz w:val="13"/>
                <w:szCs w:val="13"/>
              </w:rPr>
              <w:t>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4500</w:t>
            </w:r>
            <w:r>
              <w:rPr>
                <w:rFonts w:hint="eastAsia" w:ascii="仿宋_GB2312" w:hAnsi="仿宋_GB2312" w:eastAsia="仿宋_GB2312" w:cs="仿宋_GB2312"/>
                <w:sz w:val="13"/>
                <w:szCs w:val="13"/>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7" w:type="pct"/>
            <w:tcBorders>
              <w:lef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2</w:t>
            </w:r>
          </w:p>
        </w:tc>
        <w:tc>
          <w:tcPr>
            <w:tcW w:w="311"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 xml:space="preserve">      A-</w:t>
            </w:r>
            <w:r>
              <w:rPr>
                <w:rFonts w:hint="eastAsia" w:ascii="仿宋_GB2312" w:hAnsi="仿宋_GB2312" w:eastAsia="仿宋_GB2312" w:cs="仿宋_GB2312"/>
                <w:sz w:val="13"/>
                <w:szCs w:val="13"/>
                <w:lang w:val="en-US" w:eastAsia="zh-CN"/>
              </w:rPr>
              <w:t>04-</w:t>
            </w:r>
            <w:r>
              <w:rPr>
                <w:rFonts w:hint="eastAsia" w:ascii="仿宋_GB2312" w:hAnsi="仿宋_GB2312" w:eastAsia="仿宋_GB2312" w:cs="仿宋_GB2312"/>
                <w:sz w:val="13"/>
                <w:szCs w:val="13"/>
              </w:rPr>
              <w:t>0</w:t>
            </w:r>
            <w:r>
              <w:rPr>
                <w:rFonts w:hint="eastAsia" w:ascii="仿宋_GB2312" w:hAnsi="仿宋_GB2312" w:eastAsia="仿宋_GB2312" w:cs="仿宋_GB2312"/>
                <w:sz w:val="13"/>
                <w:szCs w:val="13"/>
                <w:lang w:val="en-US" w:eastAsia="zh-CN"/>
              </w:rPr>
              <w:t>7</w:t>
            </w:r>
          </w:p>
        </w:tc>
        <w:tc>
          <w:tcPr>
            <w:tcW w:w="217" w:type="pct"/>
            <w:tcBorders>
              <w:right w:val="single" w:color="000000" w:sz="4" w:space="0"/>
            </w:tcBorders>
            <w:vAlign w:val="center"/>
          </w:tcPr>
          <w:p>
            <w:pPr>
              <w:spacing w:line="200" w:lineRule="exact"/>
              <w:jc w:val="center"/>
              <w:rPr>
                <w:rFonts w:hint="default" w:ascii="仿宋_GB2312" w:hAnsi="仿宋_GB2312" w:eastAsia="仿宋_GB2312" w:cs="仿宋_GB2312"/>
                <w:sz w:val="13"/>
                <w:szCs w:val="13"/>
                <w:lang w:val="en-US" w:eastAsia="zh-CN"/>
              </w:rPr>
            </w:pPr>
            <w:r>
              <w:rPr>
                <w:rFonts w:hint="eastAsia" w:ascii="仿宋_GB2312" w:hAnsi="仿宋_GB2312" w:eastAsia="仿宋_GB2312" w:cs="仿宋_GB2312"/>
                <w:sz w:val="13"/>
                <w:szCs w:val="13"/>
              </w:rPr>
              <w:t>通川区</w:t>
            </w:r>
            <w:r>
              <w:rPr>
                <w:rFonts w:hint="eastAsia" w:ascii="仿宋_GB2312" w:hAnsi="仿宋_GB2312" w:eastAsia="仿宋_GB2312" w:cs="仿宋_GB2312"/>
                <w:sz w:val="13"/>
                <w:szCs w:val="13"/>
                <w:lang w:val="en-US" w:eastAsia="zh-CN"/>
              </w:rPr>
              <w:t>罗江镇石燕社区十四组</w:t>
            </w:r>
          </w:p>
        </w:tc>
        <w:tc>
          <w:tcPr>
            <w:tcW w:w="27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3</w:t>
            </w:r>
            <w:r>
              <w:rPr>
                <w:rFonts w:hint="eastAsia" w:ascii="仿宋_GB2312" w:hAnsi="仿宋_GB2312" w:eastAsia="仿宋_GB2312" w:cs="仿宋_GB2312"/>
                <w:sz w:val="13"/>
                <w:szCs w:val="13"/>
                <w:lang w:val="en-US" w:eastAsia="zh-CN"/>
              </w:rPr>
              <w:t>7316.44</w:t>
            </w:r>
            <w:r>
              <w:rPr>
                <w:rFonts w:hint="eastAsia" w:ascii="仿宋_GB2312" w:hAnsi="仿宋_GB2312" w:eastAsia="仿宋_GB2312" w:cs="仿宋_GB2312"/>
                <w:sz w:val="13"/>
                <w:szCs w:val="13"/>
              </w:rPr>
              <w:t>平方米（折合</w:t>
            </w:r>
            <w:r>
              <w:rPr>
                <w:rFonts w:hint="eastAsia" w:ascii="仿宋_GB2312" w:hAnsi="仿宋_GB2312" w:eastAsia="仿宋_GB2312" w:cs="仿宋_GB2312"/>
                <w:sz w:val="13"/>
                <w:szCs w:val="13"/>
                <w:lang w:val="en-US" w:eastAsia="zh-CN"/>
              </w:rPr>
              <w:t>55.97</w:t>
            </w:r>
            <w:r>
              <w:rPr>
                <w:rFonts w:hint="eastAsia" w:ascii="仿宋_GB2312" w:hAnsi="仿宋_GB2312" w:eastAsia="仿宋_GB2312" w:cs="仿宋_GB2312"/>
                <w:sz w:val="13"/>
                <w:szCs w:val="13"/>
              </w:rPr>
              <w:t>亩）</w:t>
            </w:r>
          </w:p>
        </w:tc>
        <w:tc>
          <w:tcPr>
            <w:tcW w:w="352" w:type="pct"/>
            <w:tcBorders>
              <w:right w:val="single" w:color="000000" w:sz="4" w:space="0"/>
            </w:tcBorders>
            <w:vAlign w:val="center"/>
          </w:tcPr>
          <w:p>
            <w:pPr>
              <w:spacing w:line="200" w:lineRule="exact"/>
              <w:jc w:val="center"/>
              <w:rPr>
                <w:rFonts w:hint="default"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二类居住用地（用地用海分类为二类城镇住宅用地）</w:t>
            </w:r>
          </w:p>
        </w:tc>
        <w:tc>
          <w:tcPr>
            <w:tcW w:w="28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1</w:t>
            </w:r>
            <w:r>
              <w:rPr>
                <w:rFonts w:hint="eastAsia" w:ascii="仿宋_GB2312" w:hAnsi="仿宋_GB2312" w:eastAsia="仿宋_GB2312" w:cs="仿宋_GB2312"/>
                <w:sz w:val="13"/>
                <w:szCs w:val="13"/>
              </w:rPr>
              <w:t>＜F≤3.0</w:t>
            </w:r>
          </w:p>
        </w:tc>
        <w:tc>
          <w:tcPr>
            <w:tcW w:w="216"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w:t>
            </w:r>
            <w:r>
              <w:rPr>
                <w:rFonts w:hint="eastAsia" w:ascii="仿宋_GB2312" w:hAnsi="仿宋_GB2312" w:eastAsia="仿宋_GB2312" w:cs="仿宋_GB2312"/>
                <w:sz w:val="13"/>
                <w:szCs w:val="13"/>
                <w:lang w:val="en-US" w:eastAsia="zh-CN"/>
              </w:rPr>
              <w:t>0</w:t>
            </w:r>
            <w:r>
              <w:rPr>
                <w:rFonts w:hint="eastAsia" w:ascii="仿宋_GB2312" w:hAnsi="仿宋_GB2312" w:eastAsia="仿宋_GB2312" w:cs="仿宋_GB2312"/>
                <w:sz w:val="13"/>
                <w:szCs w:val="13"/>
              </w:rPr>
              <w:t>%</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w:t>
            </w:r>
            <w:r>
              <w:rPr>
                <w:rFonts w:hint="eastAsia" w:ascii="仿宋_GB2312" w:hAnsi="仿宋_GB2312" w:eastAsia="仿宋_GB2312" w:cs="仿宋_GB2312"/>
                <w:sz w:val="13"/>
                <w:szCs w:val="13"/>
                <w:lang w:val="en-US" w:eastAsia="zh-CN"/>
              </w:rPr>
              <w:t>30</w:t>
            </w:r>
            <w:r>
              <w:rPr>
                <w:rFonts w:hint="eastAsia" w:ascii="仿宋_GB2312" w:hAnsi="仿宋_GB2312" w:eastAsia="仿宋_GB2312" w:cs="仿宋_GB2312"/>
                <w:sz w:val="13"/>
                <w:szCs w:val="13"/>
              </w:rPr>
              <w:t>%</w:t>
            </w:r>
          </w:p>
        </w:tc>
        <w:tc>
          <w:tcPr>
            <w:tcW w:w="273"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2" w:type="pct"/>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w:t>
            </w: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A-04-0</w:t>
            </w:r>
            <w:r>
              <w:rPr>
                <w:rFonts w:hint="eastAsia" w:ascii="仿宋_GB2312" w:hAnsi="仿宋_GB2312" w:eastAsia="仿宋_GB2312" w:cs="仿宋_GB2312"/>
                <w:sz w:val="13"/>
                <w:szCs w:val="13"/>
                <w:lang w:val="en-US" w:eastAsia="zh-CN"/>
              </w:rPr>
              <w:t>7</w:t>
            </w:r>
            <w:r>
              <w:rPr>
                <w:rFonts w:hint="eastAsia" w:ascii="仿宋_GB2312" w:hAnsi="仿宋_GB2312" w:eastAsia="仿宋_GB2312" w:cs="仿宋_GB2312"/>
                <w:sz w:val="13"/>
                <w:szCs w:val="13"/>
              </w:rPr>
              <w:t>地块规划条件》</w:t>
            </w:r>
          </w:p>
          <w:p>
            <w:pPr>
              <w:spacing w:line="200" w:lineRule="exact"/>
              <w:rPr>
                <w:rFonts w:ascii="仿宋_GB2312" w:hAnsi="仿宋_GB2312" w:eastAsia="仿宋_GB2312" w:cs="仿宋_GB2312"/>
                <w:kern w:val="2"/>
                <w:sz w:val="13"/>
                <w:szCs w:val="13"/>
                <w:lang w:val="en-US" w:eastAsia="zh-CN" w:bidi="ar-SA"/>
              </w:rPr>
            </w:pPr>
          </w:p>
        </w:tc>
        <w:tc>
          <w:tcPr>
            <w:tcW w:w="388"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w:t>
            </w: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A-04-0</w:t>
            </w:r>
            <w:r>
              <w:rPr>
                <w:rFonts w:hint="eastAsia" w:ascii="仿宋_GB2312" w:hAnsi="仿宋_GB2312" w:eastAsia="仿宋_GB2312" w:cs="仿宋_GB2312"/>
                <w:sz w:val="13"/>
                <w:szCs w:val="13"/>
                <w:lang w:val="en-US" w:eastAsia="zh-CN"/>
              </w:rPr>
              <w:t>7</w:t>
            </w:r>
            <w:r>
              <w:rPr>
                <w:rFonts w:hint="eastAsia" w:ascii="仿宋_GB2312" w:hAnsi="仿宋_GB2312" w:eastAsia="仿宋_GB2312" w:cs="仿宋_GB2312"/>
                <w:sz w:val="13"/>
                <w:szCs w:val="13"/>
              </w:rPr>
              <w:t>地块规划条件》</w:t>
            </w:r>
          </w:p>
          <w:p>
            <w:pPr>
              <w:spacing w:line="200" w:lineRule="exact"/>
              <w:rPr>
                <w:rFonts w:ascii="仿宋_GB2312" w:hAnsi="仿宋_GB2312" w:eastAsia="仿宋_GB2312" w:cs="仿宋_GB2312"/>
                <w:sz w:val="13"/>
                <w:szCs w:val="13"/>
              </w:rPr>
            </w:pPr>
          </w:p>
        </w:tc>
        <w:tc>
          <w:tcPr>
            <w:tcW w:w="287"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5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350</w:t>
            </w:r>
            <w:r>
              <w:rPr>
                <w:rFonts w:hint="eastAsia" w:ascii="仿宋_GB2312" w:hAnsi="仿宋_GB2312" w:eastAsia="仿宋_GB2312" w:cs="仿宋_GB2312"/>
                <w:sz w:val="13"/>
                <w:szCs w:val="13"/>
              </w:rPr>
              <w:t>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5900</w:t>
            </w:r>
            <w:r>
              <w:rPr>
                <w:rFonts w:hint="eastAsia" w:ascii="仿宋_GB2312" w:hAnsi="仿宋_GB2312" w:eastAsia="仿宋_GB2312" w:cs="仿宋_GB2312"/>
                <w:sz w:val="13"/>
                <w:szCs w:val="13"/>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7" w:type="pct"/>
            <w:tcBorders>
              <w:left w:val="single" w:color="000000" w:sz="4" w:space="0"/>
            </w:tcBorders>
            <w:vAlign w:val="center"/>
          </w:tcPr>
          <w:p>
            <w:pPr>
              <w:jc w:val="center"/>
              <w:rPr>
                <w:rFonts w:hint="eastAsia" w:ascii="黑体" w:hAnsi="黑体" w:eastAsia="黑体" w:cs="宋体"/>
                <w:color w:val="000000" w:themeColor="text1"/>
                <w:sz w:val="13"/>
                <w:szCs w:val="13"/>
                <w:lang w:val="en-US" w:eastAsia="zh-CN"/>
              </w:rPr>
            </w:pPr>
            <w:r>
              <w:rPr>
                <w:rFonts w:hint="eastAsia" w:ascii="黑体" w:hAnsi="黑体" w:eastAsia="黑体" w:cs="宋体"/>
                <w:color w:val="000000" w:themeColor="text1"/>
                <w:sz w:val="13"/>
                <w:szCs w:val="13"/>
                <w:lang w:val="en-US" w:eastAsia="zh-CN"/>
              </w:rPr>
              <w:t>3</w:t>
            </w:r>
          </w:p>
        </w:tc>
        <w:tc>
          <w:tcPr>
            <w:tcW w:w="311"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马踏洞外围片区A20-06</w:t>
            </w:r>
          </w:p>
        </w:tc>
        <w:tc>
          <w:tcPr>
            <w:tcW w:w="217" w:type="pct"/>
            <w:tcBorders>
              <w:right w:val="single" w:color="000000" w:sz="4" w:space="0"/>
            </w:tcBorders>
            <w:vAlign w:val="center"/>
          </w:tcPr>
          <w:p>
            <w:pPr>
              <w:spacing w:line="200" w:lineRule="exact"/>
              <w:jc w:val="center"/>
              <w:rPr>
                <w:rFonts w:hint="default"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通川区复兴镇复兴社区</w:t>
            </w:r>
          </w:p>
        </w:tc>
        <w:tc>
          <w:tcPr>
            <w:tcW w:w="274"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17233.59平方米（折合25.85亩）</w:t>
            </w:r>
          </w:p>
        </w:tc>
        <w:tc>
          <w:tcPr>
            <w:tcW w:w="352" w:type="pct"/>
            <w:tcBorders>
              <w:right w:val="single" w:color="000000" w:sz="4" w:space="0"/>
            </w:tcBorders>
            <w:vAlign w:val="center"/>
          </w:tcPr>
          <w:p>
            <w:pPr>
              <w:spacing w:line="200" w:lineRule="exact"/>
              <w:jc w:val="center"/>
              <w:rPr>
                <w:rFonts w:hint="default"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住宅用地</w:t>
            </w:r>
          </w:p>
        </w:tc>
        <w:tc>
          <w:tcPr>
            <w:tcW w:w="283"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F≤3.0</w:t>
            </w:r>
          </w:p>
        </w:tc>
        <w:tc>
          <w:tcPr>
            <w:tcW w:w="216" w:type="pct"/>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B≤30%</w:t>
            </w:r>
          </w:p>
        </w:tc>
        <w:tc>
          <w:tcPr>
            <w:tcW w:w="241" w:type="pct"/>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G≥30%</w:t>
            </w:r>
          </w:p>
        </w:tc>
        <w:tc>
          <w:tcPr>
            <w:tcW w:w="273" w:type="pct"/>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HL≤80米</w:t>
            </w:r>
          </w:p>
        </w:tc>
        <w:tc>
          <w:tcPr>
            <w:tcW w:w="962" w:type="pct"/>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详见《达州市马踏洞外围片区A20-06地块规划条件》</w:t>
            </w:r>
          </w:p>
          <w:p>
            <w:pPr>
              <w:spacing w:line="200" w:lineRule="exact"/>
              <w:jc w:val="center"/>
              <w:rPr>
                <w:rFonts w:hint="eastAsia" w:ascii="仿宋_GB2312" w:hAnsi="仿宋_GB2312" w:eastAsia="仿宋_GB2312" w:cs="仿宋_GB2312"/>
                <w:kern w:val="2"/>
                <w:sz w:val="13"/>
                <w:szCs w:val="13"/>
                <w:lang w:val="en-US" w:eastAsia="zh-CN" w:bidi="ar-SA"/>
              </w:rPr>
            </w:pPr>
          </w:p>
        </w:tc>
        <w:tc>
          <w:tcPr>
            <w:tcW w:w="388"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详见《达州市马踏洞外围片区A20-06地块规划条件》</w:t>
            </w:r>
          </w:p>
          <w:p>
            <w:pPr>
              <w:spacing w:line="200" w:lineRule="exact"/>
              <w:jc w:val="center"/>
              <w:rPr>
                <w:rFonts w:hint="eastAsia" w:ascii="仿宋_GB2312" w:hAnsi="仿宋_GB2312" w:eastAsia="仿宋_GB2312" w:cs="仿宋_GB2312"/>
                <w:sz w:val="13"/>
                <w:szCs w:val="13"/>
                <w:lang w:val="en-US" w:eastAsia="zh-CN"/>
              </w:rPr>
            </w:pPr>
          </w:p>
        </w:tc>
        <w:tc>
          <w:tcPr>
            <w:tcW w:w="287"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商业40年、住宅70年</w:t>
            </w:r>
          </w:p>
        </w:tc>
        <w:tc>
          <w:tcPr>
            <w:tcW w:w="350"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344万元/亩</w:t>
            </w:r>
          </w:p>
          <w:p>
            <w:pPr>
              <w:spacing w:line="200" w:lineRule="exact"/>
              <w:jc w:val="center"/>
              <w:rPr>
                <w:rFonts w:hint="eastAsia" w:ascii="仿宋_GB2312" w:hAnsi="仿宋_GB2312" w:eastAsia="仿宋_GB2312" w:cs="仿宋_GB2312"/>
                <w:sz w:val="13"/>
                <w:szCs w:val="13"/>
                <w:lang w:val="en-US" w:eastAsia="zh-CN"/>
              </w:rPr>
            </w:pPr>
          </w:p>
        </w:tc>
        <w:tc>
          <w:tcPr>
            <w:tcW w:w="369"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5 万元/亩或 5 万元/亩</w:t>
            </w:r>
          </w:p>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的整数倍</w:t>
            </w:r>
          </w:p>
          <w:p>
            <w:pPr>
              <w:spacing w:line="200" w:lineRule="exact"/>
              <w:jc w:val="center"/>
              <w:rPr>
                <w:rFonts w:hint="eastAsia" w:ascii="仿宋_GB2312" w:hAnsi="仿宋_GB2312" w:eastAsia="仿宋_GB2312" w:cs="仿宋_GB2312"/>
                <w:sz w:val="13"/>
                <w:szCs w:val="13"/>
                <w:lang w:val="en-US" w:eastAsia="zh-CN"/>
              </w:rPr>
            </w:pPr>
          </w:p>
        </w:tc>
        <w:tc>
          <w:tcPr>
            <w:tcW w:w="324"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2670万元</w:t>
            </w:r>
          </w:p>
        </w:tc>
      </w:tr>
    </w:tbl>
    <w:p>
      <w:pPr>
        <w:snapToGrid w:val="0"/>
        <w:spacing w:line="578" w:lineRule="exact"/>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二、中华人民共和国境内外的法人、自然人和其他组织均可申请参加竞买，竞买申请人可以单独申请</w:t>
      </w:r>
      <w:r>
        <w:rPr>
          <w:rFonts w:ascii="宋体" w:hAnsi="宋体" w:cs="宋体"/>
          <w:color w:val="000000" w:themeColor="text1"/>
          <w:sz w:val="28"/>
          <w:szCs w:val="28"/>
        </w:rPr>
        <w:t>,</w:t>
      </w:r>
      <w:r>
        <w:rPr>
          <w:rFonts w:hint="eastAsia" w:ascii="宋体" w:hAnsi="宋体" w:cs="宋体"/>
          <w:color w:val="000000" w:themeColor="text1"/>
          <w:sz w:val="28"/>
          <w:szCs w:val="28"/>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ascii="宋体" w:hAnsi="宋体" w:cs="宋体"/>
          <w:color w:val="000000" w:themeColor="text1"/>
          <w:sz w:val="28"/>
          <w:szCs w:val="28"/>
        </w:rPr>
        <w:t>三、申请参加本公告土地竞买的，竞买保证金须按竞买宗地对应金额</w:t>
      </w:r>
      <w:r>
        <w:rPr>
          <w:rFonts w:hint="eastAsia" w:cs="宋体" w:asciiTheme="minorEastAsia" w:hAnsiTheme="minorEastAsia" w:eastAsiaTheme="minorEastAsia"/>
          <w:color w:val="000000" w:themeColor="text1"/>
          <w:sz w:val="28"/>
          <w:szCs w:val="28"/>
        </w:rPr>
        <w:t>足额缴纳。</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四、本次国有建设用地使用权拍卖出让</w:t>
      </w:r>
      <w:r>
        <w:rPr>
          <w:rFonts w:hint="eastAsia" w:ascii="楷体" w:hAnsi="楷体" w:eastAsia="楷体" w:cs="宋体"/>
          <w:b/>
          <w:color w:val="000000" w:themeColor="text1"/>
          <w:sz w:val="28"/>
          <w:szCs w:val="28"/>
          <w:u w:val="single"/>
        </w:rPr>
        <w:t>政府设有底价，采用增价拍卖方式竞价，按照价高者得原则确定竞得人（不低于政府底价）</w:t>
      </w:r>
      <w:r>
        <w:rPr>
          <w:rFonts w:hint="eastAsia" w:ascii="楷体" w:hAnsi="楷体" w:eastAsia="楷体" w:cs="宋体"/>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五、本次国有建设用地使用权拍卖出让实行网上报名，竞买申请人须在</w:t>
      </w:r>
      <w:r>
        <w:rPr>
          <w:rStyle w:val="22"/>
          <w:rFonts w:hint="eastAsia" w:cs="宋体" w:asciiTheme="minorEastAsia" w:hAnsiTheme="minorEastAsia" w:eastAsiaTheme="minorEastAsia"/>
          <w:color w:val="000000" w:themeColor="text1"/>
          <w:sz w:val="28"/>
          <w:szCs w:val="28"/>
          <w:u w:val="none"/>
        </w:rPr>
        <w:t>达州市公共资源交易服务网（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Style w:val="22"/>
          <w:rFonts w:hint="eastAsia" w:cs="宋体" w:asciiTheme="minorEastAsia" w:hAnsiTheme="minorEastAsia" w:eastAsiaTheme="minorEastAsia"/>
          <w:color w:val="000000" w:themeColor="text1"/>
          <w:sz w:val="28"/>
          <w:szCs w:val="28"/>
          <w:u w:val="none"/>
        </w:rPr>
        <w:t>）查阅网上操作指南，完成用户注册、网上报名等</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Style w:val="22"/>
          <w:rFonts w:asciiTheme="minorEastAsia" w:hAnsiTheme="minorEastAsia" w:eastAsiaTheme="minorEastAsia"/>
          <w:b/>
          <w:color w:val="FF0000"/>
          <w:sz w:val="28"/>
          <w:szCs w:val="28"/>
        </w:rPr>
      </w:pPr>
      <w:r>
        <w:rPr>
          <w:rStyle w:val="22"/>
          <w:rFonts w:hint="eastAsia" w:cs="宋体" w:asciiTheme="minorEastAsia" w:hAnsiTheme="minorEastAsia" w:eastAsiaTheme="minorEastAsia"/>
          <w:color w:val="000000" w:themeColor="text1"/>
          <w:sz w:val="28"/>
          <w:szCs w:val="28"/>
          <w:u w:val="none"/>
        </w:rPr>
        <w:t>已完成用户注册的竞买申请人须在</w:t>
      </w:r>
      <w:r>
        <w:rPr>
          <w:rStyle w:val="22"/>
          <w:rFonts w:ascii="仿宋" w:hAnsi="仿宋" w:eastAsia="仿宋" w:cs="宋体"/>
          <w:color w:val="FF0000"/>
          <w:sz w:val="28"/>
          <w:szCs w:val="28"/>
        </w:rPr>
        <w:t>202</w:t>
      </w:r>
      <w:r>
        <w:rPr>
          <w:rStyle w:val="22"/>
          <w:rFonts w:hint="eastAsia" w:ascii="仿宋" w:hAnsi="仿宋" w:eastAsia="仿宋" w:cs="宋体"/>
          <w:color w:val="FF0000"/>
          <w:sz w:val="28"/>
          <w:szCs w:val="28"/>
        </w:rPr>
        <w:t>1年1</w:t>
      </w:r>
      <w:r>
        <w:rPr>
          <w:rStyle w:val="22"/>
          <w:rFonts w:hint="eastAsia" w:ascii="仿宋" w:hAnsi="仿宋" w:eastAsia="仿宋" w:cs="宋体"/>
          <w:color w:val="FF0000"/>
          <w:sz w:val="28"/>
          <w:szCs w:val="28"/>
          <w:lang w:val="en-US" w:eastAsia="zh-CN"/>
        </w:rPr>
        <w:t>2</w:t>
      </w:r>
      <w:r>
        <w:rPr>
          <w:rStyle w:val="22"/>
          <w:rFonts w:hint="eastAsia" w:ascii="仿宋" w:hAnsi="仿宋" w:eastAsia="仿宋" w:cs="宋体"/>
          <w:color w:val="FF0000"/>
          <w:sz w:val="28"/>
          <w:szCs w:val="28"/>
        </w:rPr>
        <w:t>月</w:t>
      </w:r>
      <w:r>
        <w:rPr>
          <w:rStyle w:val="22"/>
          <w:rFonts w:hint="eastAsia" w:ascii="仿宋" w:hAnsi="仿宋" w:eastAsia="仿宋" w:cs="宋体"/>
          <w:color w:val="FF0000"/>
          <w:sz w:val="28"/>
          <w:szCs w:val="28"/>
          <w:lang w:val="en-US" w:eastAsia="zh-CN"/>
        </w:rPr>
        <w:t>8</w:t>
      </w:r>
      <w:r>
        <w:rPr>
          <w:rStyle w:val="22"/>
          <w:rFonts w:hint="eastAsia" w:ascii="仿宋" w:hAnsi="仿宋" w:eastAsia="仿宋" w:cs="宋体"/>
          <w:color w:val="FF0000"/>
          <w:sz w:val="28"/>
          <w:szCs w:val="28"/>
        </w:rPr>
        <w:t>日</w:t>
      </w:r>
      <w:r>
        <w:rPr>
          <w:rStyle w:val="22"/>
          <w:rFonts w:ascii="仿宋" w:hAnsi="仿宋" w:eastAsia="仿宋" w:cs="宋体"/>
          <w:color w:val="FF0000"/>
          <w:sz w:val="28"/>
          <w:szCs w:val="28"/>
        </w:rPr>
        <w:t>17:00</w:t>
      </w:r>
      <w:r>
        <w:rPr>
          <w:rStyle w:val="22"/>
          <w:rFonts w:hint="eastAsia" w:cs="宋体" w:asciiTheme="minorEastAsia" w:hAnsiTheme="minorEastAsia" w:eastAsiaTheme="minorEastAsia"/>
          <w:color w:val="000000" w:themeColor="text1"/>
          <w:sz w:val="28"/>
          <w:szCs w:val="28"/>
          <w:u w:val="none"/>
        </w:rPr>
        <w:t>之前经达州市公共资源交易服务网（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Style w:val="22"/>
          <w:rFonts w:hint="eastAsia" w:cs="宋体" w:asciiTheme="minorEastAsia" w:hAnsiTheme="minorEastAsia" w:eastAsiaTheme="minorEastAsia"/>
          <w:color w:val="000000" w:themeColor="text1"/>
          <w:sz w:val="28"/>
          <w:szCs w:val="28"/>
          <w:u w:val="none"/>
        </w:rPr>
        <w:t>）通过系统提交竞买申请。通过指定账户缴纳竞买保证金，到账截止时间为</w:t>
      </w:r>
      <w:r>
        <w:rPr>
          <w:rStyle w:val="22"/>
          <w:rFonts w:ascii="仿宋" w:hAnsi="仿宋" w:eastAsia="仿宋" w:cs="宋体"/>
          <w:color w:val="FF0000"/>
          <w:sz w:val="28"/>
          <w:szCs w:val="28"/>
        </w:rPr>
        <w:t>202</w:t>
      </w:r>
      <w:r>
        <w:rPr>
          <w:rStyle w:val="22"/>
          <w:rFonts w:hint="eastAsia" w:ascii="仿宋" w:hAnsi="仿宋" w:eastAsia="仿宋" w:cs="宋体"/>
          <w:color w:val="FF0000"/>
          <w:sz w:val="28"/>
          <w:szCs w:val="28"/>
        </w:rPr>
        <w:t>1年1</w:t>
      </w:r>
      <w:r>
        <w:rPr>
          <w:rStyle w:val="22"/>
          <w:rFonts w:hint="eastAsia" w:ascii="仿宋" w:hAnsi="仿宋" w:eastAsia="仿宋" w:cs="宋体"/>
          <w:color w:val="FF0000"/>
          <w:sz w:val="28"/>
          <w:szCs w:val="28"/>
          <w:lang w:val="en-US" w:eastAsia="zh-CN"/>
        </w:rPr>
        <w:t>2</w:t>
      </w:r>
      <w:r>
        <w:rPr>
          <w:rStyle w:val="22"/>
          <w:rFonts w:hint="eastAsia" w:ascii="仿宋" w:hAnsi="仿宋" w:eastAsia="仿宋" w:cs="宋体"/>
          <w:color w:val="FF0000"/>
          <w:sz w:val="28"/>
          <w:szCs w:val="28"/>
        </w:rPr>
        <w:t>月</w:t>
      </w:r>
      <w:r>
        <w:rPr>
          <w:rStyle w:val="22"/>
          <w:rFonts w:hint="eastAsia" w:ascii="仿宋" w:hAnsi="仿宋" w:eastAsia="仿宋" w:cs="宋体"/>
          <w:color w:val="FF0000"/>
          <w:sz w:val="28"/>
          <w:szCs w:val="28"/>
          <w:lang w:val="en-US" w:eastAsia="zh-CN"/>
        </w:rPr>
        <w:t>8</w:t>
      </w:r>
      <w:r>
        <w:rPr>
          <w:rStyle w:val="22"/>
          <w:rFonts w:hint="eastAsia" w:ascii="仿宋" w:hAnsi="仿宋" w:eastAsia="仿宋" w:cs="宋体"/>
          <w:color w:val="FF0000"/>
          <w:sz w:val="28"/>
          <w:szCs w:val="28"/>
        </w:rPr>
        <w:t>日</w:t>
      </w:r>
      <w:r>
        <w:rPr>
          <w:rStyle w:val="22"/>
          <w:rFonts w:ascii="仿宋" w:hAnsi="仿宋" w:eastAsia="仿宋" w:cs="宋体"/>
          <w:color w:val="FF0000"/>
          <w:sz w:val="28"/>
          <w:szCs w:val="28"/>
        </w:rPr>
        <w:t>17:00</w:t>
      </w:r>
      <w:r>
        <w:rPr>
          <w:rStyle w:val="22"/>
          <w:rFonts w:hint="eastAsia" w:cs="宋体" w:asciiTheme="minorEastAsia" w:hAnsiTheme="minorEastAsia" w:eastAsiaTheme="minorEastAsia"/>
          <w:b/>
          <w:color w:val="FF0000"/>
          <w:sz w:val="28"/>
          <w:szCs w:val="28"/>
        </w:rPr>
        <w:t>时</w:t>
      </w:r>
      <w:r>
        <w:rPr>
          <w:rStyle w:val="22"/>
          <w:rFonts w:hint="eastAsia" w:cs="宋体" w:asciiTheme="minorEastAsia" w:hAnsiTheme="minorEastAsia" w:eastAsiaTheme="minorEastAsia"/>
          <w:color w:val="FF0000"/>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已提交申请的竞买申请人须在</w:t>
      </w:r>
      <w:r>
        <w:rPr>
          <w:rFonts w:hint="eastAsia" w:ascii="楷体" w:hAnsi="楷体" w:eastAsia="楷体" w:cs="宋体"/>
          <w:b/>
          <w:color w:val="000000" w:themeColor="text1"/>
          <w:sz w:val="28"/>
          <w:szCs w:val="28"/>
        </w:rPr>
        <w:t>资格审查当日（</w:t>
      </w:r>
      <w:r>
        <w:rPr>
          <w:rFonts w:hint="eastAsia" w:ascii="楷体" w:hAnsi="楷体" w:eastAsia="楷体" w:cs="宋体"/>
          <w:b/>
          <w:color w:val="FF0000"/>
          <w:sz w:val="28"/>
          <w:szCs w:val="28"/>
        </w:rPr>
        <w:t xml:space="preserve"> 2021</w:t>
      </w:r>
      <w:r>
        <w:rPr>
          <w:rFonts w:hint="eastAsia" w:ascii="楷体" w:hAnsi="楷体" w:eastAsia="楷体" w:cs="宋体"/>
          <w:b/>
          <w:color w:val="FF0000"/>
          <w:sz w:val="28"/>
          <w:szCs w:val="28"/>
          <w:u w:val="single"/>
        </w:rPr>
        <w:t>年1</w:t>
      </w:r>
      <w:r>
        <w:rPr>
          <w:rFonts w:hint="eastAsia" w:ascii="楷体" w:hAnsi="楷体" w:eastAsia="楷体" w:cs="宋体"/>
          <w:b/>
          <w:color w:val="FF0000"/>
          <w:sz w:val="28"/>
          <w:szCs w:val="28"/>
          <w:u w:val="single"/>
          <w:lang w:val="en-US" w:eastAsia="zh-CN"/>
        </w:rPr>
        <w:t>2</w:t>
      </w:r>
      <w:r>
        <w:rPr>
          <w:rFonts w:hint="eastAsia" w:ascii="楷体" w:hAnsi="楷体" w:eastAsia="楷体" w:cs="宋体"/>
          <w:b/>
          <w:color w:val="FF0000"/>
          <w:sz w:val="28"/>
          <w:szCs w:val="28"/>
          <w:u w:val="single"/>
        </w:rPr>
        <w:t>月</w:t>
      </w:r>
      <w:r>
        <w:rPr>
          <w:rFonts w:hint="eastAsia" w:ascii="楷体" w:hAnsi="楷体" w:eastAsia="楷体" w:cs="宋体"/>
          <w:b/>
          <w:color w:val="FF0000"/>
          <w:sz w:val="28"/>
          <w:szCs w:val="28"/>
          <w:u w:val="single"/>
          <w:lang w:val="en-US" w:eastAsia="zh-CN"/>
        </w:rPr>
        <w:t>9</w:t>
      </w:r>
      <w:r>
        <w:rPr>
          <w:rFonts w:hint="eastAsia" w:ascii="楷体" w:hAnsi="楷体" w:eastAsia="楷体" w:cs="宋体"/>
          <w:b/>
          <w:color w:val="FF0000"/>
          <w:sz w:val="28"/>
          <w:szCs w:val="28"/>
          <w:u w:val="single"/>
        </w:rPr>
        <w:t>日</w:t>
      </w:r>
      <w:r>
        <w:rPr>
          <w:rFonts w:hint="eastAsia" w:ascii="楷体" w:hAnsi="楷体" w:eastAsia="楷体" w:cs="宋体"/>
          <w:b/>
          <w:color w:val="FF0000"/>
          <w:sz w:val="28"/>
          <w:szCs w:val="28"/>
        </w:rPr>
        <w:t>）</w:t>
      </w:r>
      <w:r>
        <w:rPr>
          <w:rFonts w:ascii="仿宋" w:hAnsi="仿宋" w:eastAsia="仿宋" w:cs="宋体"/>
          <w:b/>
          <w:color w:val="FF0000"/>
          <w:sz w:val="28"/>
          <w:szCs w:val="28"/>
          <w:u w:val="single"/>
        </w:rPr>
        <w:t>8:30</w:t>
      </w:r>
      <w:r>
        <w:rPr>
          <w:rFonts w:hint="eastAsia" w:cs="宋体" w:asciiTheme="minorEastAsia" w:hAnsiTheme="minorEastAsia" w:eastAsiaTheme="minorEastAsia"/>
          <w:color w:val="000000" w:themeColor="text1"/>
          <w:sz w:val="28"/>
          <w:szCs w:val="28"/>
        </w:rPr>
        <w:t>之前将竞买申请文件原件现场提交至达州市公共资源交易服务中心</w:t>
      </w:r>
      <w:r>
        <w:rPr>
          <w:rFonts w:hint="eastAsia" w:ascii="仿宋" w:hAnsi="仿宋" w:eastAsia="仿宋" w:cs="宋体"/>
          <w:color w:val="000000" w:themeColor="text1"/>
          <w:sz w:val="28"/>
          <w:szCs w:val="28"/>
          <w:u w:val="single"/>
        </w:rPr>
        <w:t>4B-17</w:t>
      </w:r>
      <w:r>
        <w:rPr>
          <w:rFonts w:hint="eastAsia" w:cs="宋体" w:asciiTheme="minorEastAsia" w:hAnsiTheme="minorEastAsia" w:eastAsiaTheme="minorEastAsia"/>
          <w:color w:val="000000" w:themeColor="text1"/>
          <w:sz w:val="28"/>
          <w:szCs w:val="28"/>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通过竞买资格审查的竞买申请人须在</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w:t>
      </w:r>
      <w:r>
        <w:rPr>
          <w:rFonts w:hint="eastAsia" w:cs="宋体" w:asciiTheme="minorEastAsia" w:hAnsiTheme="minorEastAsia" w:eastAsiaTheme="minorEastAsia"/>
          <w:b/>
          <w:color w:val="FF0000"/>
          <w:sz w:val="28"/>
          <w:szCs w:val="28"/>
          <w:u w:val="single"/>
          <w:lang w:val="en-US" w:eastAsia="zh-CN"/>
        </w:rPr>
        <w:t>2</w:t>
      </w:r>
      <w:r>
        <w:rPr>
          <w:rFonts w:hint="eastAsia" w:cs="宋体" w:asciiTheme="minorEastAsia" w:hAnsiTheme="minorEastAsia" w:eastAsiaTheme="minorEastAsia"/>
          <w:b/>
          <w:color w:val="FF0000"/>
          <w:sz w:val="28"/>
          <w:szCs w:val="28"/>
          <w:u w:val="single"/>
        </w:rPr>
        <w:t>月</w:t>
      </w:r>
      <w:r>
        <w:rPr>
          <w:rFonts w:hint="eastAsia" w:cs="宋体" w:asciiTheme="minorEastAsia" w:hAnsiTheme="minorEastAsia" w:eastAsiaTheme="minorEastAsia"/>
          <w:b/>
          <w:color w:val="FF0000"/>
          <w:sz w:val="28"/>
          <w:szCs w:val="28"/>
          <w:u w:val="single"/>
          <w:lang w:val="en-US" w:eastAsia="zh-CN"/>
        </w:rPr>
        <w:t>9</w:t>
      </w:r>
      <w:r>
        <w:rPr>
          <w:rFonts w:hint="eastAsia" w:cs="宋体" w:asciiTheme="minorEastAsia" w:hAnsiTheme="minorEastAsia" w:eastAsiaTheme="minorEastAsia"/>
          <w:b/>
          <w:color w:val="FF0000"/>
          <w:sz w:val="28"/>
          <w:szCs w:val="28"/>
          <w:u w:val="single"/>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cs="宋体" w:asciiTheme="minorEastAsia" w:hAnsiTheme="minorEastAsia" w:eastAsiaTheme="minorEastAsia"/>
          <w:color w:val="000000" w:themeColor="text1"/>
          <w:sz w:val="28"/>
          <w:szCs w:val="28"/>
        </w:rPr>
        <w:t>前自行通过达州市公共资源交易服务</w:t>
      </w:r>
      <w:r>
        <w:rPr>
          <w:rStyle w:val="22"/>
          <w:rFonts w:hint="eastAsia" w:cs="宋体" w:asciiTheme="minorEastAsia" w:hAnsiTheme="minorEastAsia" w:eastAsiaTheme="minorEastAsia"/>
          <w:color w:val="000000" w:themeColor="text1"/>
          <w:sz w:val="28"/>
          <w:szCs w:val="28"/>
          <w:u w:val="none"/>
        </w:rPr>
        <w:t>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Style w:val="22"/>
          <w:rFonts w:hint="eastAsia" w:cs="宋体" w:asciiTheme="minorEastAsia" w:hAnsiTheme="minorEastAsia" w:eastAsiaTheme="minorEastAsia"/>
          <w:color w:val="000000" w:themeColor="text1"/>
          <w:sz w:val="28"/>
          <w:szCs w:val="28"/>
          <w:u w:val="none"/>
        </w:rPr>
        <w:t>）</w:t>
      </w:r>
      <w:r>
        <w:rPr>
          <w:rFonts w:hint="eastAsia" w:cs="宋体" w:asciiTheme="minorEastAsia" w:hAnsiTheme="minorEastAsia" w:eastAsiaTheme="minorEastAsia"/>
          <w:color w:val="000000" w:themeColor="text1"/>
          <w:sz w:val="28"/>
          <w:szCs w:val="28"/>
        </w:rPr>
        <w:t>打印竞买资格确认书并带到拍卖现场</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打印时间可能因资格审查而延迟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六、</w:t>
      </w:r>
      <w:r>
        <w:rPr>
          <w:rFonts w:hint="eastAsia" w:asciiTheme="minorEastAsia" w:hAnsiTheme="minorEastAsia" w:eastAsiaTheme="minorEastAsia"/>
          <w:color w:val="000000" w:themeColor="text1"/>
          <w:sz w:val="28"/>
          <w:szCs w:val="28"/>
        </w:rPr>
        <w:t>本次国有建设用地使用权拍卖会定</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w:t>
      </w:r>
      <w:r>
        <w:rPr>
          <w:rFonts w:hint="eastAsia" w:cs="宋体" w:asciiTheme="minorEastAsia" w:hAnsiTheme="minorEastAsia" w:eastAsiaTheme="minorEastAsia"/>
          <w:b/>
          <w:color w:val="FF0000"/>
          <w:sz w:val="28"/>
          <w:szCs w:val="28"/>
          <w:u w:val="single"/>
          <w:lang w:val="en-US" w:eastAsia="zh-CN"/>
        </w:rPr>
        <w:t>2</w:t>
      </w:r>
      <w:r>
        <w:rPr>
          <w:rFonts w:hint="eastAsia" w:cs="宋体" w:asciiTheme="minorEastAsia" w:hAnsiTheme="minorEastAsia" w:eastAsiaTheme="minorEastAsia"/>
          <w:b/>
          <w:color w:val="FF0000"/>
          <w:sz w:val="28"/>
          <w:szCs w:val="28"/>
          <w:u w:val="single"/>
        </w:rPr>
        <w:t>月</w:t>
      </w:r>
      <w:r>
        <w:rPr>
          <w:rFonts w:hint="eastAsia" w:cs="宋体" w:asciiTheme="minorEastAsia" w:hAnsiTheme="minorEastAsia" w:eastAsiaTheme="minorEastAsia"/>
          <w:b/>
          <w:color w:val="FF0000"/>
          <w:sz w:val="28"/>
          <w:szCs w:val="28"/>
          <w:u w:val="single"/>
          <w:lang w:val="en-US" w:eastAsia="zh-CN"/>
        </w:rPr>
        <w:t>9</w:t>
      </w:r>
      <w:r>
        <w:rPr>
          <w:rFonts w:hint="eastAsia" w:cs="宋体" w:asciiTheme="minorEastAsia" w:hAnsiTheme="minorEastAsia" w:eastAsiaTheme="minorEastAsia"/>
          <w:b/>
          <w:color w:val="FF0000"/>
          <w:sz w:val="28"/>
          <w:szCs w:val="28"/>
          <w:u w:val="single"/>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asciiTheme="minorEastAsia" w:hAnsiTheme="minorEastAsia" w:eastAsiaTheme="minorEastAsia"/>
          <w:color w:val="000000" w:themeColor="text1"/>
          <w:sz w:val="28"/>
          <w:szCs w:val="28"/>
        </w:rPr>
        <w:t>在</w:t>
      </w:r>
      <w:r>
        <w:rPr>
          <w:rFonts w:hint="eastAsia" w:asciiTheme="minorEastAsia" w:hAnsiTheme="minorEastAsia" w:eastAsiaTheme="minorEastAsia"/>
          <w:color w:val="FF0000"/>
          <w:sz w:val="28"/>
          <w:szCs w:val="28"/>
          <w:u w:val="single"/>
        </w:rPr>
        <w:t>开标二厅</w:t>
      </w:r>
      <w:r>
        <w:rPr>
          <w:rFonts w:hint="eastAsia" w:asciiTheme="minorEastAsia" w:hAnsiTheme="minorEastAsia" w:eastAsiaTheme="minorEastAsia"/>
          <w:color w:val="000000" w:themeColor="text1"/>
          <w:sz w:val="28"/>
          <w:szCs w:val="28"/>
        </w:rPr>
        <w:t>举行</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拍卖会时间可能因资格审查而延迟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rPr>
      </w:pPr>
      <w:r>
        <w:rPr>
          <w:rFonts w:hint="eastAsia" w:cs="Times New Roman" w:asciiTheme="minorEastAsia" w:hAnsiTheme="minorEastAsia" w:eastAsiaTheme="minor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八、本公告未尽事宜详见拍卖出让文件（拍卖出让文件可在</w:t>
      </w:r>
      <w:r>
        <w:rPr>
          <w:rFonts w:hint="eastAsia" w:cs="宋体" w:asciiTheme="minorEastAsia" w:hAnsiTheme="minorEastAsia" w:eastAsiaTheme="minorEastAsia"/>
          <w:color w:val="000000" w:themeColor="text1"/>
          <w:w w:val="90"/>
          <w:sz w:val="28"/>
          <w:szCs w:val="28"/>
        </w:rPr>
        <w:t>达州市公共资源交易服务网（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Fonts w:hint="eastAsia" w:cs="宋体" w:asciiTheme="minorEastAsia" w:hAnsiTheme="minorEastAsia" w:eastAsiaTheme="minorEastAsia"/>
          <w:color w:val="000000" w:themeColor="text1"/>
          <w:w w:val="90"/>
          <w:sz w:val="28"/>
          <w:szCs w:val="28"/>
        </w:rPr>
        <w:t>）下载）</w:t>
      </w:r>
      <w:r>
        <w:rPr>
          <w:rFonts w:hint="eastAsia" w:asciiTheme="minorEastAsia" w:hAnsiTheme="minorEastAsia" w:eastAsiaTheme="minor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建设银行开户行：</w:t>
      </w:r>
      <w:r>
        <w:rPr>
          <w:rFonts w:hint="eastAsia" w:ascii="仿宋" w:hAnsi="仿宋" w:eastAsia="仿宋" w:cs="Times New Roman"/>
          <w:color w:val="000000" w:themeColor="text1"/>
          <w:kern w:val="2"/>
          <w:sz w:val="28"/>
          <w:szCs w:val="28"/>
          <w:u w:val="single"/>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农业银行开户行：</w:t>
      </w:r>
      <w:r>
        <w:rPr>
          <w:rFonts w:hint="eastAsia" w:ascii="仿宋" w:hAnsi="仿宋" w:eastAsia="仿宋" w:cs="Times New Roman"/>
          <w:color w:val="000000" w:themeColor="text1"/>
          <w:kern w:val="2"/>
          <w:sz w:val="28"/>
          <w:szCs w:val="28"/>
          <w:u w:val="single"/>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工商银行开户行：</w:t>
      </w:r>
      <w:r>
        <w:rPr>
          <w:rFonts w:hint="eastAsia" w:ascii="仿宋" w:hAnsi="仿宋" w:eastAsia="仿宋" w:cs="Times New Roman"/>
          <w:color w:val="000000" w:themeColor="text1"/>
          <w:kern w:val="2"/>
          <w:sz w:val="28"/>
          <w:szCs w:val="28"/>
          <w:u w:val="single"/>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snapToGrid w:val="0"/>
        <w:spacing w:line="578"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asciiTheme="minorEastAsia" w:hAnsiTheme="minorEastAsia" w:eastAsiaTheme="minorEastAsia"/>
          <w:color w:val="000000" w:themeColor="text1"/>
          <w:sz w:val="28"/>
          <w:szCs w:val="28"/>
        </w:rPr>
        <w:t>、联系方式</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出让人：</w:t>
      </w:r>
      <w:r>
        <w:rPr>
          <w:rFonts w:hint="eastAsia" w:ascii="仿宋" w:hAnsi="仿宋" w:eastAsia="仿宋"/>
          <w:color w:val="000000" w:themeColor="text1"/>
          <w:sz w:val="28"/>
          <w:szCs w:val="28"/>
        </w:rPr>
        <w:t>达州市自然资源</w:t>
      </w:r>
      <w:r>
        <w:rPr>
          <w:rFonts w:hint="eastAsia" w:ascii="仿宋" w:hAnsi="仿宋" w:eastAsia="仿宋"/>
          <w:color w:val="000000" w:themeColor="text1"/>
          <w:sz w:val="28"/>
          <w:szCs w:val="28"/>
          <w:lang w:val="en-US" w:eastAsia="zh-CN"/>
        </w:rPr>
        <w:t>和规划</w:t>
      </w:r>
      <w:r>
        <w:rPr>
          <w:rFonts w:hint="eastAsia" w:ascii="仿宋" w:hAnsi="仿宋" w:eastAsia="仿宋"/>
          <w:color w:val="000000" w:themeColor="text1"/>
          <w:sz w:val="28"/>
          <w:szCs w:val="28"/>
        </w:rPr>
        <w:t>局</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达州市通川区白塔路243号</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 xml:space="preserve">联系电话：  </w:t>
      </w:r>
      <w:r>
        <w:rPr>
          <w:rFonts w:hint="eastAsia" w:ascii="仿宋" w:hAnsi="仿宋" w:eastAsia="仿宋"/>
          <w:color w:val="000000" w:themeColor="text1"/>
          <w:sz w:val="28"/>
          <w:szCs w:val="28"/>
        </w:rPr>
        <w:t>0818-2377534</w:t>
      </w:r>
    </w:p>
    <w:p>
      <w:pPr>
        <w:snapToGrid w:val="0"/>
        <w:spacing w:line="578" w:lineRule="exact"/>
        <w:ind w:left="556" w:leftChars="265"/>
        <w:rPr>
          <w:rFonts w:ascii="仿宋" w:hAnsi="仿宋" w:eastAsia="仿宋"/>
          <w:color w:val="000000" w:themeColor="text1"/>
          <w:sz w:val="28"/>
          <w:szCs w:val="28"/>
        </w:rPr>
      </w:pPr>
      <w:r>
        <w:rPr>
          <w:rFonts w:ascii="仿宋" w:hAnsi="仿宋" w:eastAsia="仿宋"/>
          <w:color w:val="000000" w:themeColor="text1"/>
          <w:sz w:val="28"/>
          <w:szCs w:val="28"/>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w:t>
      </w:r>
      <w:r>
        <w:rPr>
          <w:rFonts w:ascii="仿宋" w:hAnsi="仿宋" w:eastAsia="仿宋" w:cs="宋体"/>
          <w:b/>
          <w:color w:val="000000" w:themeColor="text1"/>
          <w:sz w:val="28"/>
          <w:szCs w:val="28"/>
          <w:u w:val="single"/>
        </w:rPr>
        <w:t>达州市马踏洞新区龙马大道与鱼泉路交叉口处新政务服务大楼</w:t>
      </w:r>
    </w:p>
    <w:p>
      <w:pPr>
        <w:snapToGrid w:val="0"/>
        <w:spacing w:line="578" w:lineRule="exact"/>
        <w:ind w:firstLine="555"/>
        <w:rPr>
          <w:rFonts w:hint="default" w:ascii="仿宋" w:hAnsi="仿宋" w:eastAsia="仿宋"/>
          <w:color w:val="000000" w:themeColor="text1"/>
          <w:sz w:val="28"/>
          <w:szCs w:val="28"/>
          <w:lang w:val="en-US"/>
        </w:rPr>
      </w:pPr>
      <w:r>
        <w:rPr>
          <w:rFonts w:ascii="仿宋" w:hAnsi="仿宋" w:eastAsia="仿宋"/>
          <w:color w:val="000000" w:themeColor="text1"/>
          <w:sz w:val="28"/>
          <w:szCs w:val="28"/>
        </w:rPr>
        <w:t>联系电话: 0818-333</w:t>
      </w:r>
      <w:r>
        <w:rPr>
          <w:rFonts w:hint="eastAsia" w:ascii="仿宋" w:hAnsi="仿宋" w:eastAsia="仿宋"/>
          <w:color w:val="000000" w:themeColor="text1"/>
          <w:sz w:val="28"/>
          <w:szCs w:val="28"/>
          <w:lang w:val="en-US" w:eastAsia="zh-CN"/>
        </w:rPr>
        <w:t>3699</w:t>
      </w:r>
    </w:p>
    <w:p>
      <w:pPr>
        <w:snapToGrid w:val="0"/>
        <w:spacing w:line="578" w:lineRule="exact"/>
        <w:ind w:firstLine="555"/>
        <w:rPr>
          <w:rFonts w:ascii="仿宋" w:hAnsi="仿宋" w:eastAsia="仿宋"/>
          <w:color w:val="000000" w:themeColor="text1"/>
          <w:sz w:val="28"/>
          <w:szCs w:val="28"/>
        </w:rPr>
      </w:pPr>
    </w:p>
    <w:p>
      <w:pPr>
        <w:snapToGrid w:val="0"/>
        <w:spacing w:line="578" w:lineRule="exact"/>
        <w:ind w:firstLine="555"/>
        <w:rPr>
          <w:rFonts w:ascii="仿宋" w:hAnsi="仿宋" w:eastAsia="仿宋"/>
          <w:color w:val="000000" w:themeColor="text1"/>
          <w:sz w:val="28"/>
          <w:szCs w:val="28"/>
        </w:rPr>
      </w:pPr>
    </w:p>
    <w:p>
      <w:pPr>
        <w:snapToGrid w:val="0"/>
        <w:spacing w:line="578" w:lineRule="exact"/>
        <w:ind w:right="104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达州市自然资源</w:t>
      </w:r>
      <w:r>
        <w:rPr>
          <w:rFonts w:hint="eastAsia" w:ascii="仿宋" w:hAnsi="仿宋" w:eastAsia="仿宋" w:cs="宋体"/>
          <w:color w:val="000000" w:themeColor="text1"/>
          <w:sz w:val="28"/>
          <w:szCs w:val="28"/>
          <w:lang w:val="en-US" w:eastAsia="zh-CN"/>
        </w:rPr>
        <w:t>和规划</w:t>
      </w:r>
      <w:r>
        <w:rPr>
          <w:rFonts w:hint="eastAsia" w:ascii="仿宋" w:hAnsi="仿宋" w:eastAsia="仿宋" w:cs="宋体"/>
          <w:color w:val="000000" w:themeColor="text1"/>
          <w:sz w:val="28"/>
          <w:szCs w:val="28"/>
        </w:rPr>
        <w:t>局</w:t>
      </w:r>
    </w:p>
    <w:p>
      <w:pPr>
        <w:snapToGrid w:val="0"/>
        <w:spacing w:line="578" w:lineRule="exact"/>
        <w:ind w:right="62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达州市公共资源交易服务中心</w:t>
      </w:r>
    </w:p>
    <w:p>
      <w:pPr>
        <w:snapToGrid w:val="0"/>
        <w:spacing w:line="578" w:lineRule="exact"/>
        <w:ind w:right="1100"/>
        <w:jc w:val="center"/>
        <w:rPr>
          <w:rFonts w:ascii="仿宋" w:hAnsi="仿宋" w:eastAsia="仿宋" w:cs="宋体"/>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hint="eastAsia" w:ascii="仿宋" w:hAnsi="仿宋" w:eastAsia="仿宋" w:cs="宋体"/>
          <w:color w:val="000000" w:themeColor="text1"/>
          <w:sz w:val="28"/>
          <w:szCs w:val="28"/>
          <w:lang w:val="en-US" w:eastAsia="zh-CN"/>
        </w:rPr>
        <w:t xml:space="preserve">                                  </w:t>
      </w:r>
      <w:r>
        <w:rPr>
          <w:rFonts w:hint="eastAsia" w:ascii="仿宋" w:hAnsi="仿宋" w:eastAsia="仿宋" w:cs="宋体"/>
          <w:color w:val="000000" w:themeColor="text1"/>
          <w:sz w:val="28"/>
          <w:szCs w:val="28"/>
        </w:rPr>
        <w:t>2021年</w:t>
      </w:r>
      <w:r>
        <w:rPr>
          <w:rFonts w:hint="eastAsia" w:ascii="仿宋" w:hAnsi="仿宋" w:eastAsia="仿宋" w:cs="宋体"/>
          <w:color w:val="000000" w:themeColor="text1"/>
          <w:sz w:val="28"/>
          <w:szCs w:val="28"/>
          <w:lang w:val="en-US" w:eastAsia="zh-CN"/>
        </w:rPr>
        <w:t>11</w:t>
      </w:r>
      <w:r>
        <w:rPr>
          <w:rFonts w:hint="eastAsia" w:ascii="仿宋" w:hAnsi="仿宋" w:eastAsia="仿宋" w:cs="宋体"/>
          <w:color w:val="000000" w:themeColor="text1"/>
          <w:sz w:val="28"/>
          <w:szCs w:val="28"/>
        </w:rPr>
        <w:t>月1</w:t>
      </w:r>
      <w:r>
        <w:rPr>
          <w:rFonts w:hint="eastAsia" w:ascii="仿宋" w:hAnsi="仿宋" w:eastAsia="仿宋" w:cs="宋体"/>
          <w:color w:val="000000" w:themeColor="text1"/>
          <w:sz w:val="28"/>
          <w:szCs w:val="28"/>
          <w:lang w:val="en-US" w:eastAsia="zh-CN"/>
        </w:rPr>
        <w:t>9</w:t>
      </w:r>
      <w:r>
        <w:rPr>
          <w:rFonts w:hint="eastAsia" w:ascii="仿宋" w:hAnsi="仿宋" w:eastAsia="仿宋" w:cs="宋体"/>
          <w:color w:val="000000" w:themeColor="text1"/>
          <w:sz w:val="28"/>
          <w:szCs w:val="28"/>
        </w:rPr>
        <w:t>日</w:t>
      </w:r>
    </w:p>
    <w:p>
      <w:pPr>
        <w:pStyle w:val="12"/>
        <w:spacing w:before="0" w:after="0" w:line="600" w:lineRule="exact"/>
        <w:rPr>
          <w:rFonts w:ascii="方正小标宋简体" w:hAnsi="宋体" w:eastAsia="方正小标宋简体"/>
          <w:b w:val="0"/>
          <w:color w:val="000000" w:themeColor="text1"/>
          <w:sz w:val="44"/>
          <w:szCs w:val="44"/>
        </w:rPr>
      </w:pPr>
      <w:bookmarkStart w:id="2" w:name="_Toc3391971"/>
      <w:bookmarkStart w:id="3" w:name="_Toc3391742"/>
      <w:r>
        <w:rPr>
          <w:rFonts w:hint="eastAsia" w:ascii="方正小标宋简体" w:hAnsi="宋体" w:eastAsia="方正小标宋简体"/>
          <w:b w:val="0"/>
          <w:color w:val="000000" w:themeColor="text1"/>
          <w:sz w:val="44"/>
          <w:szCs w:val="44"/>
        </w:rPr>
        <w:t>国有建设用地使用权拍卖出让须知</w:t>
      </w:r>
      <w:bookmarkEnd w:id="2"/>
      <w:bookmarkEnd w:id="3"/>
    </w:p>
    <w:p>
      <w:pPr>
        <w:spacing w:line="600" w:lineRule="exact"/>
        <w:rPr>
          <w:rFonts w:ascii="宋体"/>
          <w:color w:val="000000" w:themeColor="text1"/>
          <w:sz w:val="28"/>
          <w:szCs w:val="28"/>
        </w:rPr>
      </w:pPr>
    </w:p>
    <w:p>
      <w:pPr>
        <w:wordWrap w:val="0"/>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达州市人民政府</w:t>
      </w:r>
      <w:r>
        <w:rPr>
          <w:rFonts w:hint="eastAsia" w:ascii="宋体" w:hAnsi="宋体"/>
          <w:color w:val="000000" w:themeColor="text1"/>
          <w:sz w:val="28"/>
          <w:szCs w:val="28"/>
        </w:rPr>
        <w:t>批准</w:t>
      </w:r>
      <w:r>
        <w:rPr>
          <w:rFonts w:ascii="宋体"/>
          <w:color w:val="000000" w:themeColor="text1"/>
          <w:sz w:val="28"/>
          <w:szCs w:val="28"/>
        </w:rPr>
        <w:t>,</w:t>
      </w:r>
      <w:r>
        <w:rPr>
          <w:rFonts w:hint="eastAsia" w:ascii="楷体_GB2312" w:hAnsi="宋体" w:eastAsia="楷体_GB2312"/>
          <w:b/>
          <w:color w:val="000000" w:themeColor="text1"/>
          <w:sz w:val="28"/>
          <w:szCs w:val="28"/>
          <w:u w:val="single"/>
        </w:rPr>
        <w:t xml:space="preserve"> 达州市自然资源</w:t>
      </w:r>
      <w:r>
        <w:rPr>
          <w:rFonts w:hint="eastAsia" w:ascii="楷体_GB2312" w:hAnsi="宋体" w:eastAsia="楷体_GB2312"/>
          <w:b/>
          <w:color w:val="000000" w:themeColor="text1"/>
          <w:sz w:val="28"/>
          <w:szCs w:val="28"/>
          <w:u w:val="single"/>
          <w:lang w:val="en-US" w:eastAsia="zh-CN"/>
        </w:rPr>
        <w:t>和规划</w:t>
      </w:r>
      <w:r>
        <w:rPr>
          <w:rFonts w:hint="eastAsia" w:ascii="楷体_GB2312" w:hAnsi="宋体" w:eastAsia="楷体_GB2312"/>
          <w:b/>
          <w:color w:val="000000" w:themeColor="text1"/>
          <w:sz w:val="28"/>
          <w:szCs w:val="28"/>
          <w:u w:val="single"/>
        </w:rPr>
        <w:t>局</w:t>
      </w:r>
      <w:r>
        <w:rPr>
          <w:rFonts w:hint="eastAsia" w:ascii="宋体" w:hAnsi="宋体"/>
          <w:color w:val="000000" w:themeColor="text1"/>
          <w:sz w:val="28"/>
          <w:szCs w:val="28"/>
        </w:rPr>
        <w:t>决定拍卖出让</w:t>
      </w:r>
      <w:r>
        <w:rPr>
          <w:rFonts w:hint="eastAsia" w:ascii="宋体" w:hAnsi="宋体" w:cs="宋体"/>
          <w:color w:val="000000" w:themeColor="text1"/>
          <w:sz w:val="28"/>
          <w:szCs w:val="28"/>
          <w:u w:val="single"/>
          <w:lang w:val="en-US" w:eastAsia="zh-CN"/>
        </w:rPr>
        <w:t>柳家坝片区A-05-02</w:t>
      </w:r>
      <w:r>
        <w:rPr>
          <w:rFonts w:hint="eastAsia" w:ascii="宋体" w:hAnsi="宋体"/>
          <w:color w:val="000000" w:themeColor="text1"/>
          <w:sz w:val="28"/>
          <w:szCs w:val="28"/>
          <w:u w:val="single"/>
        </w:rPr>
        <w:t>地块</w:t>
      </w:r>
      <w:r>
        <w:rPr>
          <w:rFonts w:hint="eastAsia" w:ascii="宋体" w:hAnsi="宋体"/>
          <w:color w:val="000000" w:themeColor="text1"/>
          <w:sz w:val="28"/>
          <w:szCs w:val="28"/>
        </w:rPr>
        <w:t>国有建设用地使用权。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一、本次国有建设用地使用权拍卖出让的出让人为</w:t>
      </w:r>
      <w:r>
        <w:rPr>
          <w:rFonts w:hint="eastAsia" w:ascii="楷体_GB2312" w:hAnsi="宋体" w:eastAsia="楷体_GB2312"/>
          <w:b/>
          <w:color w:val="000000" w:themeColor="text1"/>
          <w:sz w:val="28"/>
          <w:szCs w:val="28"/>
          <w:u w:val="single"/>
        </w:rPr>
        <w:t>达州市自然资源</w:t>
      </w:r>
      <w:r>
        <w:rPr>
          <w:rFonts w:hint="eastAsia" w:ascii="楷体_GB2312" w:hAnsi="宋体" w:eastAsia="楷体_GB2312"/>
          <w:b/>
          <w:color w:val="000000" w:themeColor="text1"/>
          <w:sz w:val="28"/>
          <w:szCs w:val="28"/>
          <w:u w:val="single"/>
          <w:lang w:val="en-US" w:eastAsia="zh-CN"/>
        </w:rPr>
        <w:t>和规划</w:t>
      </w:r>
      <w:r>
        <w:rPr>
          <w:rFonts w:hint="eastAsia" w:ascii="楷体_GB2312" w:hAnsi="宋体" w:eastAsia="楷体_GB2312"/>
          <w:b/>
          <w:color w:val="000000" w:themeColor="text1"/>
          <w:sz w:val="28"/>
          <w:szCs w:val="28"/>
          <w:u w:val="single"/>
        </w:rPr>
        <w:t>局</w:t>
      </w:r>
      <w:r>
        <w:rPr>
          <w:rFonts w:hint="eastAsia" w:ascii="楷体" w:hAnsi="楷体" w:eastAsia="楷体"/>
          <w:b/>
          <w:color w:val="000000" w:themeColor="text1"/>
          <w:sz w:val="28"/>
          <w:szCs w:val="28"/>
        </w:rPr>
        <w:t>，</w:t>
      </w:r>
      <w:r>
        <w:rPr>
          <w:rFonts w:hint="eastAsia" w:ascii="宋体" w:hAnsi="宋体"/>
          <w:color w:val="000000" w:themeColor="text1"/>
          <w:sz w:val="28"/>
          <w:szCs w:val="28"/>
        </w:rPr>
        <w:t>由达州市公共资源交易服务中心</w:t>
      </w:r>
      <w:r>
        <w:rPr>
          <w:rFonts w:ascii="宋体" w:hAnsi="宋体"/>
          <w:color w:val="000000" w:themeColor="text1"/>
          <w:sz w:val="28"/>
          <w:szCs w:val="28"/>
        </w:rPr>
        <w:t>(</w:t>
      </w:r>
      <w:r>
        <w:rPr>
          <w:rFonts w:hint="eastAsia" w:ascii="宋体" w:hAnsi="宋体"/>
          <w:color w:val="000000" w:themeColor="text1"/>
          <w:sz w:val="28"/>
          <w:szCs w:val="28"/>
        </w:rPr>
        <w:t>简称：拍卖人</w:t>
      </w:r>
      <w:r>
        <w:rPr>
          <w:rFonts w:ascii="宋体" w:hAnsi="宋体"/>
          <w:color w:val="000000" w:themeColor="text1"/>
          <w:sz w:val="28"/>
          <w:szCs w:val="28"/>
        </w:rPr>
        <w:t>)</w:t>
      </w:r>
      <w:r>
        <w:rPr>
          <w:rFonts w:hint="eastAsia" w:ascii="宋体" w:hAnsi="宋体"/>
          <w:color w:val="000000" w:themeColor="text1"/>
          <w:sz w:val="28"/>
          <w:szCs w:val="28"/>
        </w:rPr>
        <w:t>具体组织实施。</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二、本次国有建设用地使用权拍卖出让遵循公开、公平、公正和诚实信用原则。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三、出让地块的基本情况及相关要求</w:t>
      </w:r>
    </w:p>
    <w:p>
      <w:pPr>
        <w:spacing w:line="600" w:lineRule="exact"/>
        <w:ind w:firstLine="560" w:firstLineChars="200"/>
        <w:jc w:val="left"/>
        <w:rPr>
          <w:rFonts w:hint="eastAsia" w:ascii="宋体" w:hAnsi="宋体"/>
          <w:color w:val="000000" w:themeColor="text1"/>
          <w:sz w:val="28"/>
          <w:szCs w:val="28"/>
        </w:rPr>
      </w:pPr>
      <w:r>
        <w:rPr>
          <w:rFonts w:hint="eastAsia" w:ascii="宋体" w:hAnsi="宋体"/>
          <w:color w:val="000000" w:themeColor="text1"/>
          <w:sz w:val="28"/>
          <w:szCs w:val="28"/>
        </w:rPr>
        <w:t>（一）地块位置：通川区</w:t>
      </w:r>
      <w:r>
        <w:rPr>
          <w:rFonts w:hint="eastAsia" w:ascii="宋体" w:hAnsi="宋体"/>
          <w:color w:val="000000" w:themeColor="text1"/>
          <w:sz w:val="28"/>
          <w:szCs w:val="28"/>
          <w:lang w:val="en-US" w:eastAsia="zh-CN"/>
        </w:rPr>
        <w:t>罗江镇石燕社区十四组</w:t>
      </w:r>
      <w:r>
        <w:rPr>
          <w:rFonts w:hint="eastAsia" w:ascii="宋体" w:hAnsi="宋体"/>
          <w:color w:val="000000" w:themeColor="text1"/>
          <w:sz w:val="28"/>
          <w:szCs w:val="28"/>
        </w:rPr>
        <w:t>。</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（二）地块范围： 详见《达州市</w:t>
      </w:r>
      <w:r>
        <w:rPr>
          <w:rFonts w:hint="eastAsia" w:ascii="宋体" w:hAnsi="宋体"/>
          <w:color w:val="000000" w:themeColor="text1"/>
          <w:sz w:val="28"/>
          <w:szCs w:val="28"/>
          <w:lang w:val="en-US" w:eastAsia="zh-CN"/>
        </w:rPr>
        <w:t>柳家坝片区</w:t>
      </w:r>
      <w:r>
        <w:rPr>
          <w:rFonts w:hint="eastAsia" w:ascii="宋体" w:hAnsi="宋体"/>
          <w:color w:val="000000" w:themeColor="text1"/>
          <w:sz w:val="28"/>
          <w:szCs w:val="28"/>
        </w:rPr>
        <w:t>A-0</w:t>
      </w:r>
      <w:r>
        <w:rPr>
          <w:rFonts w:hint="eastAsia" w:ascii="宋体" w:hAnsi="宋体"/>
          <w:color w:val="000000" w:themeColor="text1"/>
          <w:sz w:val="28"/>
          <w:szCs w:val="28"/>
          <w:lang w:val="en-US" w:eastAsia="zh-CN"/>
        </w:rPr>
        <w:t>5</w:t>
      </w:r>
      <w:r>
        <w:rPr>
          <w:rFonts w:hint="eastAsia" w:ascii="宋体" w:hAnsi="宋体"/>
          <w:color w:val="000000" w:themeColor="text1"/>
          <w:sz w:val="28"/>
          <w:szCs w:val="28"/>
        </w:rPr>
        <w:t>-02地块用地红线图》。</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（三）出让面积：</w:t>
      </w:r>
      <w:r>
        <w:rPr>
          <w:rFonts w:hint="eastAsia" w:ascii="宋体" w:hAnsi="宋体"/>
          <w:color w:val="000000" w:themeColor="text1"/>
          <w:sz w:val="28"/>
          <w:szCs w:val="28"/>
          <w:lang w:val="en-US" w:eastAsia="zh-CN"/>
        </w:rPr>
        <w:t>27469.49</w:t>
      </w:r>
      <w:r>
        <w:rPr>
          <w:rFonts w:hint="eastAsia" w:ascii="宋体" w:hAnsi="宋体"/>
          <w:color w:val="000000" w:themeColor="text1"/>
          <w:sz w:val="28"/>
          <w:szCs w:val="28"/>
        </w:rPr>
        <w:t>平方米（折合</w:t>
      </w:r>
      <w:r>
        <w:rPr>
          <w:rFonts w:hint="eastAsia" w:ascii="宋体" w:hAnsi="宋体"/>
          <w:color w:val="000000" w:themeColor="text1"/>
          <w:sz w:val="28"/>
          <w:szCs w:val="28"/>
          <w:lang w:val="en-US" w:eastAsia="zh-CN"/>
        </w:rPr>
        <w:t>41.2</w:t>
      </w:r>
      <w:r>
        <w:rPr>
          <w:rFonts w:hint="eastAsia" w:ascii="宋体" w:hAnsi="宋体"/>
          <w:color w:val="000000" w:themeColor="text1"/>
          <w:sz w:val="28"/>
          <w:szCs w:val="28"/>
        </w:rPr>
        <w:t>亩）。</w:t>
      </w:r>
    </w:p>
    <w:p>
      <w:pPr>
        <w:spacing w:line="600" w:lineRule="exact"/>
        <w:ind w:firstLine="560" w:firstLineChars="200"/>
        <w:jc w:val="left"/>
        <w:rPr>
          <w:rFonts w:hint="eastAsia" w:ascii="宋体" w:hAnsi="宋体" w:cs="Times New Roman"/>
          <w:color w:val="000000" w:themeColor="text1"/>
          <w:sz w:val="28"/>
          <w:szCs w:val="28"/>
          <w:lang w:val="en-US" w:eastAsia="zh-CN"/>
        </w:rPr>
      </w:pPr>
      <w:r>
        <w:rPr>
          <w:rFonts w:hint="eastAsia" w:ascii="宋体" w:hAnsi="宋体"/>
          <w:color w:val="000000" w:themeColor="text1"/>
          <w:sz w:val="28"/>
          <w:szCs w:val="28"/>
        </w:rPr>
        <w:t>（四）土地用途：</w:t>
      </w:r>
      <w:r>
        <w:rPr>
          <w:rFonts w:hint="eastAsia" w:ascii="宋体" w:hAnsi="宋体"/>
          <w:color w:val="000000" w:themeColor="text1"/>
          <w:sz w:val="28"/>
          <w:szCs w:val="28"/>
          <w:lang w:val="en-US" w:eastAsia="zh-CN"/>
        </w:rPr>
        <w:t>二类居住用地</w:t>
      </w:r>
      <w:r>
        <w:rPr>
          <w:rFonts w:hint="eastAsia" w:ascii="宋体" w:hAnsi="宋体" w:cs="Times New Roman"/>
          <w:color w:val="000000" w:themeColor="text1"/>
          <w:sz w:val="28"/>
          <w:szCs w:val="28"/>
          <w:lang w:val="en-US" w:eastAsia="zh-CN"/>
        </w:rPr>
        <w:t>（用地用海分类为二类城镇住宅用地）。</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（五）出让年限：商业40年、住宅70年。</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eastAsia" w:ascii="宋体" w:hAnsi="宋体" w:cs="Times New Roman"/>
          <w:color w:val="000000" w:themeColor="text1"/>
          <w:sz w:val="28"/>
          <w:szCs w:val="28"/>
        </w:rPr>
      </w:pPr>
      <w:r>
        <w:rPr>
          <w:rFonts w:hint="eastAsia" w:ascii="宋体" w:hAnsi="宋体"/>
          <w:color w:val="000000" w:themeColor="text1"/>
          <w:sz w:val="28"/>
          <w:szCs w:val="28"/>
          <w:lang w:val="en-US" w:eastAsia="zh-CN"/>
        </w:rPr>
        <w:t xml:space="preserve">    </w:t>
      </w:r>
      <w:r>
        <w:rPr>
          <w:rFonts w:hint="eastAsia" w:ascii="宋体" w:hAnsi="宋体"/>
          <w:color w:val="000000" w:themeColor="text1"/>
          <w:sz w:val="28"/>
          <w:szCs w:val="28"/>
        </w:rPr>
        <w:t>（六）规划条件：详见《</w:t>
      </w:r>
      <w:r>
        <w:rPr>
          <w:rFonts w:hint="eastAsia" w:ascii="宋体" w:hAnsi="宋体" w:cs="Times New Roman"/>
          <w:color w:val="000000" w:themeColor="text1"/>
          <w:sz w:val="28"/>
          <w:szCs w:val="28"/>
        </w:rPr>
        <w:t>达州市</w:t>
      </w:r>
      <w:r>
        <w:rPr>
          <w:rFonts w:hint="eastAsia" w:ascii="宋体" w:hAnsi="宋体" w:cs="Times New Roman"/>
          <w:color w:val="000000" w:themeColor="text1"/>
          <w:sz w:val="28"/>
          <w:szCs w:val="28"/>
          <w:lang w:eastAsia="zh-CN"/>
        </w:rPr>
        <w:t>柳家坝</w:t>
      </w:r>
      <w:r>
        <w:rPr>
          <w:rFonts w:hint="eastAsia" w:ascii="宋体" w:hAnsi="宋体" w:cs="Times New Roman"/>
          <w:color w:val="000000" w:themeColor="text1"/>
          <w:sz w:val="28"/>
          <w:szCs w:val="28"/>
        </w:rPr>
        <w:t>片区</w:t>
      </w:r>
      <w:r>
        <w:rPr>
          <w:rFonts w:hint="eastAsia" w:ascii="宋体" w:hAnsi="宋体" w:cs="Times New Roman"/>
          <w:color w:val="000000" w:themeColor="text1"/>
          <w:sz w:val="28"/>
          <w:szCs w:val="28"/>
          <w:lang w:val="en-US" w:eastAsia="zh-CN"/>
        </w:rPr>
        <w:t>A-05-02</w:t>
      </w:r>
      <w:r>
        <w:rPr>
          <w:rFonts w:hint="eastAsia" w:ascii="宋体" w:hAnsi="宋体" w:cs="Times New Roman"/>
          <w:color w:val="000000" w:themeColor="text1"/>
          <w:sz w:val="28"/>
          <w:szCs w:val="28"/>
        </w:rPr>
        <w:t>地块规划条件》。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cs="Times New Roman"/>
          <w:color w:val="000000" w:themeColor="text1"/>
          <w:sz w:val="28"/>
          <w:szCs w:val="28"/>
          <w:lang w:eastAsia="zh-CN"/>
        </w:rPr>
      </w:pPr>
      <w:r>
        <w:rPr>
          <w:rFonts w:hint="eastAsia" w:ascii="宋体" w:hAnsi="宋体"/>
          <w:color w:val="000000" w:themeColor="text1"/>
          <w:sz w:val="28"/>
          <w:szCs w:val="28"/>
        </w:rPr>
        <w:t>（七）</w:t>
      </w:r>
      <w:r>
        <w:rPr>
          <w:rFonts w:hint="eastAsia" w:ascii="宋体" w:hAnsi="宋体" w:cs="Times New Roman"/>
          <w:color w:val="000000" w:themeColor="text1"/>
          <w:sz w:val="28"/>
          <w:szCs w:val="28"/>
          <w:lang w:val="en-US" w:eastAsia="zh-CN"/>
        </w:rPr>
        <w:t>该地块可配建不大于计容总建筑面积10%的商业服务用房（且商业用房在设计方案中须设置商业专用烟道）。其</w:t>
      </w:r>
      <w:r>
        <w:rPr>
          <w:rFonts w:hint="eastAsia" w:ascii="宋体" w:hAnsi="宋体" w:cs="Times New Roman"/>
          <w:color w:val="000000" w:themeColor="text1"/>
          <w:sz w:val="28"/>
          <w:szCs w:val="28"/>
        </w:rPr>
        <w:t>设计方案中商业、居住须分离布局，</w:t>
      </w:r>
      <w:r>
        <w:rPr>
          <w:rFonts w:hint="eastAsia" w:ascii="宋体" w:hAnsi="宋体" w:cs="Times New Roman"/>
          <w:color w:val="000000" w:themeColor="text1"/>
          <w:sz w:val="28"/>
          <w:szCs w:val="28"/>
          <w:lang w:eastAsia="zh-CN"/>
        </w:rPr>
        <w:t>临东侧、西北侧规划道路的</w:t>
      </w:r>
      <w:r>
        <w:rPr>
          <w:rFonts w:hint="eastAsia" w:ascii="宋体" w:hAnsi="宋体" w:cs="Times New Roman"/>
          <w:color w:val="000000" w:themeColor="text1"/>
          <w:sz w:val="28"/>
          <w:szCs w:val="28"/>
        </w:rPr>
        <w:t>建筑外立面</w:t>
      </w:r>
      <w:r>
        <w:rPr>
          <w:rFonts w:hint="eastAsia" w:ascii="宋体" w:hAnsi="宋体" w:cs="Times New Roman"/>
          <w:color w:val="000000" w:themeColor="text1"/>
          <w:sz w:val="28"/>
          <w:szCs w:val="28"/>
          <w:lang w:val="en-US" w:eastAsia="zh-CN"/>
        </w:rPr>
        <w:t>须</w:t>
      </w:r>
      <w:r>
        <w:rPr>
          <w:rFonts w:hint="eastAsia" w:ascii="宋体" w:hAnsi="宋体" w:cs="Times New Roman"/>
          <w:color w:val="000000" w:themeColor="text1"/>
          <w:sz w:val="28"/>
          <w:szCs w:val="28"/>
        </w:rPr>
        <w:t>作公建化设计。</w:t>
      </w:r>
      <w:r>
        <w:rPr>
          <w:rFonts w:hint="eastAsia" w:ascii="宋体" w:hAnsi="宋体" w:cs="Times New Roman"/>
          <w:color w:val="000000" w:themeColor="text1"/>
          <w:sz w:val="28"/>
          <w:szCs w:val="28"/>
          <w:lang w:val="en-US" w:eastAsia="zh-CN"/>
        </w:rPr>
        <w:t>方案设计时住宅建筑连续面宽不超过30米；商业建筑最大连续面宽超过《达州市国土空间规划管理技术规定（2021版）》及其补充规划中关于建筑面宽相关条文规定的，断开距离不得低于15米。</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（八）配套服务设施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cs="Times New Roman"/>
          <w:color w:val="000000" w:themeColor="text1"/>
          <w:sz w:val="28"/>
          <w:szCs w:val="28"/>
          <w:lang w:val="en-US" w:eastAsia="zh-CN"/>
        </w:rPr>
      </w:pPr>
      <w:r>
        <w:rPr>
          <w:rFonts w:hint="eastAsia" w:ascii="宋体" w:hAnsi="宋体" w:cs="Times New Roman"/>
          <w:color w:val="000000" w:themeColor="text1"/>
          <w:sz w:val="28"/>
          <w:szCs w:val="28"/>
          <w:lang w:val="en-US" w:eastAsia="zh-CN"/>
        </w:rPr>
        <w:t>社区综合服务设施建筑面积≥250平方米。根据《达州市人民政府办公室关于印发达州市中心城区新建住宅小区配套建设社区综合服务设施实施办法的通知》（达市府办〔2018〕57号）要求，社区综合服务设施无偿配建，建筑面积不计入项目容积率，其不动产权和使用权归地方政府。物业服务用房建筑面积≥165平方米。业主议事用房建筑面积≥30平方米。垃圾用房建筑面积≥66平方米。全民健身活动场所用地面积≥300平方米。机动车停车位910个。</w:t>
      </w:r>
    </w:p>
    <w:p>
      <w:pPr>
        <w:spacing w:line="56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（九）其他规划要求：</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cs="Times New Roman"/>
          <w:color w:val="000000" w:themeColor="text1"/>
          <w:sz w:val="28"/>
          <w:szCs w:val="28"/>
          <w:lang w:val="en-US" w:eastAsia="zh-CN"/>
        </w:rPr>
      </w:pPr>
      <w:r>
        <w:rPr>
          <w:rFonts w:hint="eastAsia" w:ascii="宋体" w:hAnsi="宋体" w:cs="Times New Roman"/>
          <w:color w:val="000000" w:themeColor="text1"/>
          <w:sz w:val="28"/>
          <w:szCs w:val="28"/>
          <w:lang w:val="en-US" w:eastAsia="zh-CN"/>
        </w:rPr>
        <w:t>鉴于该地块周边污水管网均未修建完善，无法明确相应污水接口的坐标及高程。须待地块出让后，将地块范围内的各类市政管网规划布局平图纳入方案文本一并审查。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地块内建筑间距、停车泊位等须满足《城市居住区规划设计标准》（GB50180-2018）、《达州市国土空间规划管理技术规定（2021版）》、《达州市柳家坝片区控制性详细规划》等规范及文件的相关规定。</w:t>
      </w:r>
    </w:p>
    <w:p>
      <w:pPr>
        <w:spacing w:line="600" w:lineRule="exact"/>
        <w:ind w:firstLine="560" w:firstLineChars="200"/>
        <w:rPr>
          <w:rFonts w:ascii="宋体"/>
          <w:b/>
          <w:color w:val="FF0000"/>
          <w:sz w:val="28"/>
          <w:szCs w:val="28"/>
          <w:u w:val="single"/>
        </w:rPr>
      </w:pPr>
      <w:r>
        <w:rPr>
          <w:rFonts w:hint="eastAsia" w:ascii="宋体" w:hAnsi="宋体"/>
          <w:sz w:val="28"/>
          <w:szCs w:val="28"/>
        </w:rPr>
        <w:t>（十）本宗地实行现状出让：</w:t>
      </w:r>
      <w:r>
        <w:rPr>
          <w:rFonts w:hint="eastAsia" w:ascii="楷体_GB2312" w:hAnsi="黑体" w:eastAsia="楷体_GB2312" w:cs="宋体"/>
          <w:b/>
          <w:color w:val="FF0000"/>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rPr>
          <w:rFonts w:hint="eastAsia" w:ascii="Times New Roman" w:hAnsi="Times New Roman" w:eastAsia="仿宋_GB2312" w:cs="Times New Roman"/>
          <w:color w:val="000000" w:themeColor="text1"/>
          <w:sz w:val="32"/>
          <w:szCs w:val="32"/>
        </w:rPr>
      </w:pPr>
      <w:r>
        <w:rPr>
          <w:rFonts w:hint="eastAsia" w:ascii="宋体" w:hAnsi="宋体"/>
          <w:sz w:val="28"/>
          <w:szCs w:val="28"/>
        </w:rPr>
        <w:t>（十一）动工及竣工期限：</w:t>
      </w:r>
      <w:r>
        <w:rPr>
          <w:rFonts w:hint="eastAsia" w:ascii="Times New Roman" w:hAnsi="Times New Roman" w:eastAsia="仿宋_GB2312" w:cs="Times New Roman"/>
          <w:color w:val="000000" w:themeColor="text1"/>
          <w:sz w:val="32"/>
          <w:szCs w:val="32"/>
        </w:rPr>
        <w:t>受让人须自交地之日起 1 年内开工，自开工之日起 3 年内建成；受让人不能按期开工，</w:t>
      </w:r>
      <w:r>
        <w:rPr>
          <w:rFonts w:hint="eastAsia" w:ascii="Times New Roman" w:hAnsi="Times New Roman" w:eastAsia="仿宋_GB2312" w:cs="Times New Roman"/>
          <w:color w:val="000000" w:themeColor="text1"/>
          <w:sz w:val="32"/>
          <w:szCs w:val="32"/>
          <w:lang w:val="en-US" w:eastAsia="zh-CN"/>
        </w:rPr>
        <w:t>须</w:t>
      </w:r>
      <w:r>
        <w:rPr>
          <w:rFonts w:hint="eastAsia" w:ascii="Times New Roman" w:hAnsi="Times New Roman" w:eastAsia="仿宋_GB2312" w:cs="Times New Roman"/>
          <w:color w:val="000000" w:themeColor="text1"/>
          <w:sz w:val="32"/>
          <w:szCs w:val="32"/>
        </w:rPr>
        <w:t>提前30 日向出让人提出延建申请，经出让人同意延建的，其项目竣工时间相应顺延，但延建期限不得超过一年。</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（十二）土地竞得人须严格按照达州市</w:t>
      </w:r>
      <w:r>
        <w:rPr>
          <w:rFonts w:hint="eastAsia" w:eastAsia="仿宋_GB2312"/>
          <w:color w:val="000000" w:themeColor="text1"/>
          <w:sz w:val="32"/>
          <w:szCs w:val="32"/>
          <w:lang w:val="en-US" w:eastAsia="zh-CN"/>
        </w:rPr>
        <w:t>柳家坝片区</w:t>
      </w:r>
      <w:r>
        <w:rPr>
          <w:rFonts w:hint="eastAsia" w:eastAsia="仿宋_GB2312"/>
          <w:color w:val="000000" w:themeColor="text1"/>
          <w:sz w:val="32"/>
          <w:szCs w:val="32"/>
        </w:rPr>
        <w:t>A-0</w:t>
      </w:r>
      <w:r>
        <w:rPr>
          <w:rFonts w:hint="eastAsia" w:eastAsia="仿宋_GB2312"/>
          <w:color w:val="000000" w:themeColor="text1"/>
          <w:sz w:val="32"/>
          <w:szCs w:val="32"/>
          <w:lang w:val="en-US" w:eastAsia="zh-CN"/>
        </w:rPr>
        <w:t>5</w:t>
      </w:r>
      <w:r>
        <w:rPr>
          <w:rFonts w:hint="eastAsia" w:eastAsia="仿宋_GB2312"/>
          <w:color w:val="000000" w:themeColor="text1"/>
          <w:sz w:val="32"/>
          <w:szCs w:val="32"/>
        </w:rPr>
        <w:t>-02地块规划条件及要求进行开发</w:t>
      </w:r>
      <w:r>
        <w:rPr>
          <w:rFonts w:hint="eastAsia" w:eastAsia="仿宋_GB2312"/>
          <w:color w:val="000000" w:themeColor="text1"/>
          <w:sz w:val="32"/>
          <w:szCs w:val="32"/>
          <w:lang w:val="en-US" w:eastAsia="zh-CN"/>
        </w:rPr>
        <w:t>利用</w:t>
      </w:r>
      <w:r>
        <w:rPr>
          <w:rFonts w:hint="eastAsia" w:eastAsia="仿宋_GB2312"/>
          <w:color w:val="000000" w:themeColor="text1"/>
          <w:sz w:val="32"/>
          <w:szCs w:val="32"/>
        </w:rPr>
        <w:t>；严格按照地质灾害防治的相关要求，落实地质灾害防治措施；须严格按照生态环境保护的相关要求，开展环境影响评价，</w:t>
      </w:r>
      <w:r>
        <w:rPr>
          <w:rFonts w:hint="eastAsia" w:eastAsia="仿宋_GB2312"/>
          <w:color w:val="000000" w:themeColor="text1"/>
          <w:sz w:val="32"/>
          <w:szCs w:val="32"/>
          <w:lang w:val="en-US" w:eastAsia="zh-CN"/>
        </w:rPr>
        <w:t>全面</w:t>
      </w:r>
      <w:r>
        <w:rPr>
          <w:rFonts w:hint="eastAsia" w:eastAsia="仿宋_GB2312"/>
          <w:color w:val="000000" w:themeColor="text1"/>
          <w:sz w:val="32"/>
          <w:szCs w:val="32"/>
        </w:rPr>
        <w:t>落实生态环境保护措施。</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四、竞买资格及要求</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 xml:space="preserve"> (一)竞买资格</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2.在达州市内有下列情形之一的，不得申请参与本次拍卖活动。</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①逾期不签成交确认书、土地出让合同的；</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②欠缴土地出让价款的；</w:t>
      </w:r>
    </w:p>
    <w:p>
      <w:pPr>
        <w:spacing w:line="600" w:lineRule="exact"/>
        <w:ind w:firstLine="640" w:firstLineChars="200"/>
        <w:rPr>
          <w:rFonts w:ascii="仿宋" w:hAnsi="仿宋" w:eastAsia="仿宋" w:cs="宋体"/>
          <w:color w:val="000000" w:themeColor="text1"/>
          <w:sz w:val="28"/>
          <w:szCs w:val="28"/>
        </w:rPr>
      </w:pPr>
      <w:r>
        <w:rPr>
          <w:rFonts w:hint="eastAsia" w:eastAsia="仿宋_GB2312"/>
          <w:color w:val="000000" w:themeColor="text1"/>
          <w:sz w:val="32"/>
          <w:szCs w:val="32"/>
        </w:rPr>
        <w:t>③因企业原因闲置土地一年以上，且尚未完成查处整改的单位和个</w:t>
      </w:r>
      <w:r>
        <w:rPr>
          <w:rFonts w:hint="eastAsia" w:ascii="仿宋" w:hAnsi="仿宋" w:eastAsia="仿宋" w:cs="宋体"/>
          <w:color w:val="000000" w:themeColor="text1"/>
          <w:sz w:val="28"/>
          <w:szCs w:val="28"/>
        </w:rPr>
        <w:t>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④违反土地及城乡规划法律法规受到处罚，且尚未结案的单位和个人。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（二）要求</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1.竞买申请人按照地块拍卖出让公告的日期及方式索取拍卖文件。申请人应认真审阅、全面准确地理解拍卖文件内容，对本次拍卖出让地块的文件有疑问的，可向出让人、拍卖人咨询（咨询电话：出让人电话</w:t>
      </w:r>
      <w:r>
        <w:rPr>
          <w:rFonts w:hint="eastAsia" w:ascii="Times New Roman" w:hAnsi="Times New Roman" w:eastAsia="仿宋_GB2312" w:cs="Times New Roman"/>
          <w:color w:val="000000" w:themeColor="text1"/>
          <w:sz w:val="32"/>
          <w:szCs w:val="32"/>
        </w:rPr>
        <w:t>0818-2377534，</w:t>
      </w:r>
      <w:r>
        <w:rPr>
          <w:rFonts w:hint="eastAsia" w:eastAsia="仿宋_GB2312"/>
          <w:color w:val="000000" w:themeColor="text1"/>
          <w:sz w:val="32"/>
          <w:szCs w:val="32"/>
        </w:rPr>
        <w:t>拍卖人电话0818-333</w:t>
      </w:r>
      <w:r>
        <w:rPr>
          <w:rFonts w:hint="eastAsia" w:eastAsia="仿宋_GB2312"/>
          <w:color w:val="000000" w:themeColor="text1"/>
          <w:sz w:val="32"/>
          <w:szCs w:val="32"/>
          <w:lang w:val="en-US" w:eastAsia="zh-CN"/>
        </w:rPr>
        <w:t>3699</w:t>
      </w:r>
      <w:r>
        <w:rPr>
          <w:rFonts w:hint="eastAsia" w:eastAsia="仿宋_GB2312"/>
          <w:color w:val="000000" w:themeColor="text1"/>
          <w:sz w:val="32"/>
          <w:szCs w:val="32"/>
        </w:rPr>
        <w:t>）。</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3.竞买人须承诺：</w:t>
      </w:r>
      <w:r>
        <w:rPr>
          <w:rFonts w:hint="eastAsia" w:ascii="Times New Roman" w:hAnsi="Times New Roman" w:eastAsia="仿宋_GB2312" w:cs="Times New Roman"/>
          <w:color w:val="000000" w:themeColor="text1"/>
          <w:kern w:val="2"/>
          <w:sz w:val="32"/>
          <w:szCs w:val="32"/>
          <w:lang w:val="en-US" w:eastAsia="zh-CN"/>
        </w:rPr>
        <w:t>土地所在辖区</w:t>
      </w:r>
      <w:r>
        <w:rPr>
          <w:rFonts w:hint="eastAsia" w:ascii="Times New Roman" w:hAnsi="Times New Roman" w:eastAsia="仿宋_GB2312" w:cs="Times New Roman"/>
          <w:color w:val="000000" w:themeColor="text1"/>
          <w:kern w:val="2"/>
          <w:sz w:val="32"/>
          <w:szCs w:val="32"/>
        </w:rPr>
        <w:t>外的竞买人，若竞得土地使用权，必须在</w:t>
      </w:r>
      <w:r>
        <w:rPr>
          <w:rFonts w:hint="eastAsia" w:ascii="Times New Roman" w:hAnsi="Times New Roman" w:eastAsia="仿宋_GB2312" w:cs="Times New Roman"/>
          <w:color w:val="000000" w:themeColor="text1"/>
          <w:kern w:val="2"/>
          <w:sz w:val="32"/>
          <w:szCs w:val="32"/>
          <w:lang w:val="en-US" w:eastAsia="zh-CN"/>
        </w:rPr>
        <w:t>土地所在辖区注册</w:t>
      </w:r>
      <w:r>
        <w:rPr>
          <w:rFonts w:hint="eastAsia" w:ascii="Times New Roman" w:hAnsi="Times New Roman" w:eastAsia="仿宋_GB2312" w:cs="Times New Roman"/>
          <w:color w:val="000000" w:themeColor="text1"/>
          <w:kern w:val="2"/>
          <w:sz w:val="32"/>
          <w:szCs w:val="32"/>
        </w:rPr>
        <w:t>成立一家</w:t>
      </w:r>
      <w:r>
        <w:rPr>
          <w:rFonts w:hint="eastAsia" w:ascii="Times New Roman" w:hAnsi="Times New Roman" w:eastAsia="仿宋_GB2312" w:cs="Times New Roman"/>
          <w:color w:val="000000" w:themeColor="text1"/>
          <w:kern w:val="2"/>
          <w:sz w:val="32"/>
          <w:szCs w:val="32"/>
          <w:lang w:val="en-US" w:eastAsia="zh-CN"/>
        </w:rPr>
        <w:t>新</w:t>
      </w:r>
      <w:r>
        <w:rPr>
          <w:rFonts w:hint="eastAsia" w:ascii="Times New Roman" w:hAnsi="Times New Roman" w:eastAsia="仿宋_GB2312" w:cs="Times New Roman"/>
          <w:color w:val="000000" w:themeColor="text1"/>
          <w:kern w:val="2"/>
          <w:sz w:val="32"/>
          <w:szCs w:val="32"/>
        </w:rPr>
        <w:t>公司对竞得土地进行开发建设。</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五、申请和资格审查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（一）拍卖文件取得</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竞买申请人可于</w:t>
      </w:r>
      <w:r>
        <w:rPr>
          <w:rFonts w:hint="eastAsia" w:ascii="仿宋" w:hAnsi="仿宋" w:eastAsia="仿宋" w:cs="宋体"/>
          <w:b/>
          <w:color w:val="FF0000"/>
          <w:sz w:val="28"/>
          <w:szCs w:val="28"/>
          <w:u w:val="single"/>
        </w:rPr>
        <w:t>20</w:t>
      </w:r>
      <w:r>
        <w:rPr>
          <w:rFonts w:ascii="仿宋" w:hAnsi="仿宋" w:eastAsia="仿宋" w:cs="宋体"/>
          <w:b/>
          <w:color w:val="FF0000"/>
          <w:sz w:val="28"/>
          <w:szCs w:val="28"/>
          <w:u w:val="single"/>
        </w:rPr>
        <w:t>2</w:t>
      </w:r>
      <w:r>
        <w:rPr>
          <w:rFonts w:hint="eastAsia" w:ascii="仿宋" w:hAnsi="仿宋" w:eastAsia="仿宋" w:cs="宋体"/>
          <w:b/>
          <w:color w:val="FF0000"/>
          <w:sz w:val="28"/>
          <w:szCs w:val="28"/>
          <w:u w:val="single"/>
        </w:rPr>
        <w:t>1年</w:t>
      </w:r>
      <w:r>
        <w:rPr>
          <w:rFonts w:hint="eastAsia" w:ascii="仿宋" w:hAnsi="仿宋" w:eastAsia="仿宋" w:cs="宋体"/>
          <w:b/>
          <w:color w:val="FF0000"/>
          <w:sz w:val="28"/>
          <w:szCs w:val="28"/>
          <w:u w:val="single"/>
          <w:lang w:val="en-US" w:eastAsia="zh-CN"/>
        </w:rPr>
        <w:t>11</w:t>
      </w:r>
      <w:r>
        <w:rPr>
          <w:rFonts w:hint="eastAsia" w:ascii="仿宋" w:hAnsi="仿宋" w:eastAsia="仿宋" w:cs="宋体"/>
          <w:b/>
          <w:color w:val="FF0000"/>
          <w:sz w:val="28"/>
          <w:szCs w:val="28"/>
          <w:u w:val="single"/>
        </w:rPr>
        <w:t>月1</w:t>
      </w:r>
      <w:r>
        <w:rPr>
          <w:rFonts w:hint="eastAsia" w:ascii="仿宋" w:hAnsi="仿宋" w:eastAsia="仿宋" w:cs="宋体"/>
          <w:b/>
          <w:color w:val="FF0000"/>
          <w:sz w:val="28"/>
          <w:szCs w:val="28"/>
          <w:u w:val="single"/>
          <w:lang w:val="en-US" w:eastAsia="zh-CN"/>
        </w:rPr>
        <w:t>9</w:t>
      </w:r>
      <w:r>
        <w:rPr>
          <w:rFonts w:hint="eastAsia" w:ascii="仿宋" w:hAnsi="仿宋" w:eastAsia="仿宋" w:cs="宋体"/>
          <w:b/>
          <w:color w:val="FF0000"/>
          <w:sz w:val="28"/>
          <w:szCs w:val="28"/>
          <w:u w:val="single"/>
        </w:rPr>
        <w:t>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w:t>
      </w:r>
      <w:r>
        <w:rPr>
          <w:rFonts w:hint="eastAsia" w:ascii="仿宋" w:hAnsi="仿宋" w:eastAsia="仿宋" w:cs="宋体"/>
          <w:b/>
          <w:color w:val="FF0000"/>
          <w:sz w:val="28"/>
          <w:szCs w:val="28"/>
          <w:u w:val="single"/>
          <w:lang w:val="en-US" w:eastAsia="zh-CN"/>
        </w:rPr>
        <w:t>2</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8</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17:00</w:t>
      </w:r>
      <w:r>
        <w:rPr>
          <w:rFonts w:hint="eastAsia" w:ascii="仿宋" w:hAnsi="仿宋" w:eastAsia="仿宋" w:cs="仿宋_GB2312"/>
          <w:color w:val="000000" w:themeColor="text1"/>
          <w:sz w:val="28"/>
          <w:szCs w:val="28"/>
        </w:rPr>
        <w:t>，</w:t>
      </w:r>
      <w:r>
        <w:rPr>
          <w:rFonts w:hint="eastAsia" w:eastAsia="仿宋_GB2312"/>
          <w:color w:val="000000" w:themeColor="text1"/>
          <w:kern w:val="2"/>
          <w:sz w:val="32"/>
          <w:szCs w:val="32"/>
        </w:rPr>
        <w:t>通过达州市公共资源交易服务网（</w:t>
      </w:r>
      <w:r>
        <w:fldChar w:fldCharType="begin"/>
      </w:r>
      <w:r>
        <w:instrText xml:space="preserve"> HYPERLINK "http://www.dzggzy.cn/" </w:instrText>
      </w:r>
      <w:r>
        <w:fldChar w:fldCharType="separate"/>
      </w:r>
      <w:r>
        <w:rPr>
          <w:rFonts w:hint="eastAsia" w:eastAsia="仿宋_GB2312"/>
          <w:color w:val="000000" w:themeColor="text1"/>
          <w:kern w:val="2"/>
          <w:sz w:val="32"/>
          <w:szCs w:val="32"/>
        </w:rPr>
        <w:t>http://www.dzggzy.cn</w:t>
      </w:r>
      <w:r>
        <w:rPr>
          <w:rFonts w:hint="eastAsia" w:eastAsia="仿宋_GB2312"/>
          <w:color w:val="000000" w:themeColor="text1"/>
          <w:kern w:val="2"/>
          <w:sz w:val="32"/>
          <w:szCs w:val="32"/>
        </w:rPr>
        <w:fldChar w:fldCharType="end"/>
      </w:r>
      <w:r>
        <w:rPr>
          <w:rFonts w:hint="eastAsia" w:eastAsia="仿宋_GB2312"/>
          <w:color w:val="000000" w:themeColor="text1"/>
          <w:kern w:val="2"/>
          <w:sz w:val="32"/>
          <w:szCs w:val="32"/>
        </w:rPr>
        <w:t>）获取拍卖出让文件。</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（二）提交申请文件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竞买申请人应于</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w:t>
      </w:r>
      <w:r>
        <w:rPr>
          <w:rFonts w:hint="eastAsia" w:ascii="仿宋" w:hAnsi="仿宋" w:eastAsia="仿宋" w:cs="宋体"/>
          <w:b/>
          <w:color w:val="FF0000"/>
          <w:sz w:val="28"/>
          <w:szCs w:val="28"/>
          <w:u w:val="single"/>
          <w:lang w:val="en-US" w:eastAsia="zh-CN"/>
        </w:rPr>
        <w:t>11</w:t>
      </w:r>
      <w:r>
        <w:rPr>
          <w:rFonts w:hint="eastAsia" w:ascii="仿宋" w:hAnsi="仿宋" w:eastAsia="仿宋" w:cs="宋体"/>
          <w:b/>
          <w:color w:val="FF0000"/>
          <w:sz w:val="28"/>
          <w:szCs w:val="28"/>
          <w:u w:val="single"/>
        </w:rPr>
        <w:t>月1</w:t>
      </w:r>
      <w:r>
        <w:rPr>
          <w:rFonts w:hint="eastAsia" w:ascii="仿宋" w:hAnsi="仿宋" w:eastAsia="仿宋" w:cs="宋体"/>
          <w:b/>
          <w:color w:val="FF0000"/>
          <w:sz w:val="28"/>
          <w:szCs w:val="28"/>
          <w:u w:val="single"/>
          <w:lang w:val="en-US" w:eastAsia="zh-CN"/>
        </w:rPr>
        <w:t>9</w:t>
      </w:r>
      <w:r>
        <w:rPr>
          <w:rFonts w:hint="eastAsia" w:ascii="仿宋" w:hAnsi="仿宋" w:eastAsia="仿宋" w:cs="宋体"/>
          <w:b/>
          <w:color w:val="FF0000"/>
          <w:sz w:val="28"/>
          <w:szCs w:val="28"/>
          <w:u w:val="single"/>
        </w:rPr>
        <w:t>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w:t>
      </w:r>
      <w:r>
        <w:rPr>
          <w:rFonts w:hint="eastAsia" w:ascii="仿宋" w:hAnsi="仿宋" w:eastAsia="仿宋" w:cs="宋体"/>
          <w:b/>
          <w:color w:val="FF0000"/>
          <w:sz w:val="28"/>
          <w:szCs w:val="28"/>
          <w:u w:val="single"/>
          <w:lang w:val="en-US" w:eastAsia="zh-CN"/>
        </w:rPr>
        <w:t>2</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8</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17:00</w:t>
      </w:r>
      <w:r>
        <w:rPr>
          <w:rFonts w:hint="eastAsia" w:ascii="仿宋" w:hAnsi="仿宋" w:eastAsia="仿宋" w:cs="宋体"/>
          <w:color w:val="000000" w:themeColor="text1"/>
          <w:sz w:val="28"/>
          <w:szCs w:val="28"/>
        </w:rPr>
        <w:t>止</w:t>
      </w:r>
      <w:r>
        <w:rPr>
          <w:rFonts w:hint="eastAsia" w:ascii="仿宋" w:hAnsi="仿宋" w:eastAsia="仿宋" w:cs="仿宋_GB2312"/>
          <w:color w:val="000000" w:themeColor="text1"/>
          <w:sz w:val="28"/>
          <w:szCs w:val="28"/>
        </w:rPr>
        <w:t>，</w:t>
      </w:r>
      <w:r>
        <w:rPr>
          <w:rFonts w:hint="eastAsia" w:eastAsia="仿宋_GB2312"/>
          <w:color w:val="000000" w:themeColor="text1"/>
          <w:sz w:val="32"/>
          <w:szCs w:val="32"/>
        </w:rPr>
        <w:t>达州市公共资源交易服务网（</w:t>
      </w:r>
      <w:r>
        <w:fldChar w:fldCharType="begin"/>
      </w:r>
      <w:r>
        <w:instrText xml:space="preserve"> HYPERLINK "http://www.dzggzy.cn/" </w:instrText>
      </w:r>
      <w:r>
        <w:fldChar w:fldCharType="separate"/>
      </w:r>
      <w:r>
        <w:rPr>
          <w:rFonts w:hint="eastAsia" w:eastAsia="仿宋_GB2312"/>
          <w:color w:val="000000" w:themeColor="text1"/>
          <w:sz w:val="32"/>
          <w:szCs w:val="32"/>
        </w:rPr>
        <w:t>http://www.dzggzy.cn</w:t>
      </w:r>
      <w:r>
        <w:rPr>
          <w:rFonts w:hint="eastAsia" w:eastAsia="仿宋_GB2312"/>
          <w:color w:val="000000" w:themeColor="text1"/>
          <w:sz w:val="32"/>
          <w:szCs w:val="32"/>
        </w:rPr>
        <w:fldChar w:fldCharType="end"/>
      </w:r>
      <w:r>
        <w:rPr>
          <w:rFonts w:hint="eastAsia" w:eastAsia="仿宋_GB2312"/>
          <w:color w:val="000000" w:themeColor="text1"/>
          <w:sz w:val="32"/>
          <w:szCs w:val="32"/>
        </w:rPr>
        <w:t>）通过系统上传申请文件扫描件并提交申请。申请文件包括：</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1.法人申请的，应提交下列文件：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（4）法人单位有效证明文件；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（5）法定代表人的有效身份证明文件；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（6）申请人委托他人代为办理的，应提交授权委托书及委托代理人的有效身份证明文件；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2.自然人申请的，应提交下列文件：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（4）申请人有效身份证明文件；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（5）申请人委托他人代为办理的，应提交授权委托书及委托代理人的身份证明文件；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3.其他组织申请的，应提交下列文件：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（4）表明该组织合法存在的文件或有效证明；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（5）表明该组织负责人身份的有效证明文件；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4.境外申请人申请的，应提交下列文件：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（4）境外法人、自然人、其他组织的有效身份证明文件；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（1）联合申请各方共同签署的申请书；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（2）联合申请各方共同签署的保证金承诺书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（3）联合体各方商业金融机构的资信证明；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（4）联合各方的有效身份证明文件；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（三）资格审查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已提交申请的竞买申请人须在</w:t>
      </w:r>
      <w:r>
        <w:rPr>
          <w:rFonts w:hint="eastAsia" w:ascii="仿宋" w:hAnsi="仿宋" w:eastAsia="仿宋" w:cs="宋体"/>
          <w:b/>
          <w:color w:val="FF0000"/>
          <w:sz w:val="28"/>
          <w:szCs w:val="28"/>
        </w:rPr>
        <w:t>资格审查当日（</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1年1</w:t>
      </w:r>
      <w:r>
        <w:rPr>
          <w:rFonts w:hint="eastAsia" w:ascii="仿宋" w:hAnsi="仿宋" w:eastAsia="仿宋" w:cs="宋体"/>
          <w:b/>
          <w:color w:val="FF0000"/>
          <w:sz w:val="28"/>
          <w:szCs w:val="28"/>
          <w:u w:val="single"/>
          <w:lang w:val="en-US" w:eastAsia="zh-CN"/>
        </w:rPr>
        <w:t>2</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9</w:t>
      </w:r>
      <w:r>
        <w:rPr>
          <w:rFonts w:hint="eastAsia" w:ascii="仿宋" w:hAnsi="仿宋" w:eastAsia="仿宋" w:cs="宋体"/>
          <w:b/>
          <w:color w:val="FF0000"/>
          <w:sz w:val="28"/>
          <w:szCs w:val="28"/>
          <w:u w:val="single"/>
        </w:rPr>
        <w:t>日）</w:t>
      </w:r>
      <w:r>
        <w:rPr>
          <w:rFonts w:ascii="仿宋" w:hAnsi="仿宋" w:eastAsia="仿宋" w:cs="宋体"/>
          <w:b/>
          <w:color w:val="000000" w:themeColor="text1"/>
          <w:sz w:val="28"/>
          <w:szCs w:val="28"/>
          <w:u w:val="single"/>
        </w:rPr>
        <w:t>8:30</w:t>
      </w:r>
      <w:r>
        <w:rPr>
          <w:rFonts w:hint="eastAsia" w:eastAsia="仿宋_GB2312"/>
          <w:color w:val="000000" w:themeColor="text1"/>
          <w:sz w:val="32"/>
          <w:szCs w:val="32"/>
        </w:rPr>
        <w:t>之前将竞买申请文件原件提交至4B-17，未按时提交原件的视为自行放弃竞买资格。</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1.申请人不具备竞买资格的；</w:t>
      </w:r>
    </w:p>
    <w:p>
      <w:pPr>
        <w:pStyle w:val="34"/>
        <w:widowControl w:val="0"/>
        <w:spacing w:line="600" w:lineRule="exact"/>
        <w:ind w:left="0"/>
        <w:rPr>
          <w:rFonts w:eastAsia="仿宋_GB2312"/>
          <w:color w:val="000000" w:themeColor="text1"/>
          <w:kern w:val="2"/>
          <w:sz w:val="32"/>
          <w:szCs w:val="32"/>
        </w:rPr>
      </w:pPr>
      <w:r>
        <w:rPr>
          <w:rFonts w:hint="eastAsia" w:eastAsia="仿宋_GB2312"/>
          <w:color w:val="000000" w:themeColor="text1"/>
          <w:kern w:val="2"/>
          <w:sz w:val="32"/>
          <w:szCs w:val="32"/>
        </w:rPr>
        <w:t xml:space="preserve">    2.未按规定交纳竞买保证金的；</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3.申请文件不齐全或不符合法律法规和出让文件规定的；</w:t>
      </w:r>
    </w:p>
    <w:p>
      <w:pPr>
        <w:pStyle w:val="34"/>
        <w:widowControl w:val="0"/>
        <w:spacing w:line="600" w:lineRule="exact"/>
        <w:ind w:left="0" w:firstLine="570"/>
        <w:rPr>
          <w:rFonts w:eastAsia="仿宋_GB2312"/>
          <w:color w:val="000000" w:themeColor="text1"/>
          <w:kern w:val="2"/>
          <w:sz w:val="32"/>
          <w:szCs w:val="32"/>
        </w:rPr>
      </w:pPr>
      <w:r>
        <w:rPr>
          <w:rFonts w:hint="eastAsia" w:eastAsia="仿宋_GB2312"/>
          <w:color w:val="000000" w:themeColor="text1"/>
          <w:kern w:val="2"/>
          <w:sz w:val="32"/>
          <w:szCs w:val="32"/>
        </w:rPr>
        <w:t>4.委托他人代理，委托文件不齐全或不符合规定的；</w:t>
      </w:r>
    </w:p>
    <w:p>
      <w:pPr>
        <w:pStyle w:val="34"/>
        <w:widowControl w:val="0"/>
        <w:spacing w:line="600" w:lineRule="exact"/>
        <w:ind w:left="0" w:firstLine="585"/>
        <w:rPr>
          <w:rFonts w:eastAsia="仿宋_GB2312"/>
          <w:color w:val="000000" w:themeColor="text1"/>
          <w:kern w:val="2"/>
          <w:sz w:val="32"/>
          <w:szCs w:val="32"/>
        </w:rPr>
      </w:pPr>
      <w:r>
        <w:rPr>
          <w:rFonts w:hint="eastAsia" w:eastAsia="仿宋_GB2312"/>
          <w:color w:val="000000" w:themeColor="text1"/>
          <w:kern w:val="2"/>
          <w:sz w:val="32"/>
          <w:szCs w:val="32"/>
        </w:rPr>
        <w:t>5.法律法规规定的其他情形。</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（四）确认竞买人资格</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取得竞买资格的竞买申请人，请在</w:t>
      </w:r>
      <w:r>
        <w:rPr>
          <w:rFonts w:ascii="仿宋" w:hAnsi="仿宋" w:eastAsia="仿宋" w:cs="宋体"/>
          <w:b/>
          <w:color w:val="FF0000"/>
          <w:sz w:val="28"/>
          <w:szCs w:val="28"/>
        </w:rPr>
        <w:t>202</w:t>
      </w:r>
      <w:r>
        <w:rPr>
          <w:rFonts w:hint="eastAsia" w:ascii="仿宋" w:hAnsi="仿宋" w:eastAsia="仿宋" w:cs="宋体"/>
          <w:b/>
          <w:color w:val="FF0000"/>
          <w:sz w:val="28"/>
          <w:szCs w:val="28"/>
        </w:rPr>
        <w:t>1年1</w:t>
      </w:r>
      <w:r>
        <w:rPr>
          <w:rFonts w:hint="eastAsia" w:ascii="仿宋" w:hAnsi="仿宋" w:eastAsia="仿宋" w:cs="宋体"/>
          <w:b/>
          <w:color w:val="FF0000"/>
          <w:sz w:val="28"/>
          <w:szCs w:val="28"/>
          <w:lang w:val="en-US" w:eastAsia="zh-CN"/>
        </w:rPr>
        <w:t>2</w:t>
      </w:r>
      <w:r>
        <w:rPr>
          <w:rFonts w:hint="eastAsia" w:ascii="仿宋" w:hAnsi="仿宋" w:eastAsia="仿宋" w:cs="宋体"/>
          <w:b/>
          <w:color w:val="FF0000"/>
          <w:sz w:val="28"/>
          <w:szCs w:val="28"/>
        </w:rPr>
        <w:t>月</w:t>
      </w:r>
      <w:r>
        <w:rPr>
          <w:rFonts w:hint="eastAsia" w:ascii="仿宋" w:hAnsi="仿宋" w:eastAsia="仿宋" w:cs="宋体"/>
          <w:b/>
          <w:color w:val="FF0000"/>
          <w:sz w:val="28"/>
          <w:szCs w:val="28"/>
          <w:lang w:val="en-US" w:eastAsia="zh-CN"/>
        </w:rPr>
        <w:t>9</w:t>
      </w:r>
      <w:r>
        <w:rPr>
          <w:rFonts w:hint="eastAsia" w:ascii="仿宋" w:hAnsi="仿宋" w:eastAsia="仿宋" w:cs="宋体"/>
          <w:b/>
          <w:color w:val="FF0000"/>
          <w:sz w:val="28"/>
          <w:szCs w:val="28"/>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：30</w:t>
      </w:r>
      <w:r>
        <w:rPr>
          <w:rFonts w:hint="eastAsia" w:ascii="仿宋" w:hAnsi="仿宋" w:eastAsia="仿宋" w:cs="宋体"/>
          <w:b/>
          <w:color w:val="000000" w:themeColor="text1"/>
          <w:sz w:val="28"/>
          <w:szCs w:val="28"/>
          <w:u w:val="single"/>
        </w:rPr>
        <w:t>前</w:t>
      </w:r>
      <w:r>
        <w:rPr>
          <w:rFonts w:hint="eastAsia" w:eastAsia="仿宋_GB2312"/>
          <w:color w:val="000000" w:themeColor="text1"/>
          <w:sz w:val="32"/>
          <w:szCs w:val="32"/>
        </w:rPr>
        <w:t>自行登录达州市公共资源交易服务平台打印竞买资格确认书并带到拍卖现场（打印时间可能因资格审查而延迟）。</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（五）答疑及现场踏勘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竞买申请人取得拍卖出让文件后，应全面仔细阅读其内容并现场踏勘所需竞买的宗地。</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六、本次出让宗地拍卖会时间、地点及拍卖的起叫价、增价幅度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本次拍卖会地点为：达州市公共资源交易中心开标二厅举行。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本次拍卖会时间为</w:t>
      </w:r>
      <w:r>
        <w:rPr>
          <w:rFonts w:hint="eastAsia" w:eastAsia="仿宋_GB2312"/>
          <w:color w:val="FF0000"/>
          <w:sz w:val="32"/>
          <w:szCs w:val="32"/>
        </w:rPr>
        <w:t>：</w:t>
      </w:r>
      <w:r>
        <w:rPr>
          <w:rFonts w:ascii="仿宋" w:hAnsi="仿宋" w:eastAsia="仿宋"/>
          <w:b/>
          <w:color w:val="FF0000"/>
          <w:sz w:val="28"/>
          <w:szCs w:val="28"/>
          <w:u w:val="single"/>
        </w:rPr>
        <w:t>202</w:t>
      </w:r>
      <w:r>
        <w:rPr>
          <w:rFonts w:hint="eastAsia" w:ascii="仿宋" w:hAnsi="仿宋" w:eastAsia="仿宋"/>
          <w:b/>
          <w:color w:val="FF0000"/>
          <w:sz w:val="28"/>
          <w:szCs w:val="28"/>
          <w:u w:val="single"/>
        </w:rPr>
        <w:t>1年1</w:t>
      </w:r>
      <w:r>
        <w:rPr>
          <w:rFonts w:hint="eastAsia" w:ascii="仿宋" w:hAnsi="仿宋" w:eastAsia="仿宋"/>
          <w:b/>
          <w:color w:val="FF0000"/>
          <w:sz w:val="28"/>
          <w:szCs w:val="28"/>
          <w:u w:val="single"/>
          <w:lang w:val="en-US" w:eastAsia="zh-CN"/>
        </w:rPr>
        <w:t>2</w:t>
      </w:r>
      <w:r>
        <w:rPr>
          <w:rFonts w:hint="eastAsia" w:ascii="仿宋" w:hAnsi="仿宋" w:eastAsia="仿宋"/>
          <w:b/>
          <w:color w:val="FF0000"/>
          <w:sz w:val="28"/>
          <w:szCs w:val="28"/>
          <w:u w:val="single"/>
        </w:rPr>
        <w:t>月</w:t>
      </w:r>
      <w:r>
        <w:rPr>
          <w:rFonts w:hint="eastAsia" w:ascii="仿宋" w:hAnsi="仿宋" w:eastAsia="仿宋"/>
          <w:b/>
          <w:color w:val="FF0000"/>
          <w:sz w:val="28"/>
          <w:szCs w:val="28"/>
          <w:u w:val="single"/>
          <w:lang w:val="en-US" w:eastAsia="zh-CN"/>
        </w:rPr>
        <w:t>9</w:t>
      </w:r>
      <w:r>
        <w:rPr>
          <w:rFonts w:hint="eastAsia" w:ascii="仿宋" w:hAnsi="仿宋" w:eastAsia="仿宋"/>
          <w:b/>
          <w:color w:val="FF0000"/>
          <w:sz w:val="28"/>
          <w:szCs w:val="28"/>
          <w:u w:val="single"/>
        </w:rPr>
        <w:t>日上午</w:t>
      </w:r>
      <w:r>
        <w:rPr>
          <w:rFonts w:ascii="仿宋" w:hAnsi="仿宋" w:eastAsia="仿宋"/>
          <w:b/>
          <w:color w:val="FF0000"/>
          <w:sz w:val="28"/>
          <w:szCs w:val="28"/>
          <w:u w:val="single"/>
        </w:rPr>
        <w:t>1</w:t>
      </w:r>
      <w:r>
        <w:rPr>
          <w:rFonts w:hint="eastAsia" w:ascii="仿宋" w:hAnsi="仿宋" w:eastAsia="仿宋"/>
          <w:b/>
          <w:color w:val="FF0000"/>
          <w:sz w:val="28"/>
          <w:szCs w:val="28"/>
          <w:u w:val="single"/>
        </w:rPr>
        <w:t>0：30</w:t>
      </w:r>
      <w:r>
        <w:rPr>
          <w:rFonts w:hint="eastAsia" w:eastAsia="仿宋_GB2312"/>
          <w:color w:val="000000" w:themeColor="text1"/>
          <w:sz w:val="32"/>
          <w:szCs w:val="32"/>
        </w:rPr>
        <w:t>（拍卖会时间可能因资格审查而延迟）。</w:t>
      </w:r>
    </w:p>
    <w:p>
      <w:pPr>
        <w:snapToGrid w:val="0"/>
        <w:spacing w:line="600" w:lineRule="exact"/>
        <w:ind w:firstLine="555"/>
        <w:rPr>
          <w:rFonts w:eastAsia="仿宋_GB2312"/>
          <w:color w:val="FF0000"/>
          <w:sz w:val="32"/>
          <w:szCs w:val="32"/>
        </w:rPr>
      </w:pPr>
      <w:r>
        <w:rPr>
          <w:rFonts w:hint="eastAsia" w:eastAsia="仿宋_GB2312"/>
          <w:color w:val="000000" w:themeColor="text1"/>
          <w:sz w:val="32"/>
          <w:szCs w:val="32"/>
        </w:rPr>
        <w:t>本次拍卖</w:t>
      </w:r>
      <w:r>
        <w:rPr>
          <w:rFonts w:hint="eastAsia" w:eastAsia="仿宋_GB2312"/>
          <w:color w:val="FF0000"/>
          <w:sz w:val="32"/>
          <w:szCs w:val="32"/>
        </w:rPr>
        <w:t>起叫价</w:t>
      </w:r>
      <w:r>
        <w:rPr>
          <w:rFonts w:hint="eastAsia" w:eastAsia="仿宋_GB2312"/>
          <w:color w:val="FF0000"/>
          <w:sz w:val="32"/>
          <w:szCs w:val="32"/>
          <w:lang w:val="en-US" w:eastAsia="zh-CN"/>
        </w:rPr>
        <w:t>360</w:t>
      </w:r>
      <w:r>
        <w:rPr>
          <w:rFonts w:hint="eastAsia" w:eastAsia="仿宋_GB2312"/>
          <w:color w:val="FF0000"/>
          <w:sz w:val="32"/>
          <w:szCs w:val="32"/>
        </w:rPr>
        <w:t>万元/亩,增价幅度为5万元/亩或5万元/亩的整倍数。成交总地价=拍卖成交最高亩价×出让面积</w:t>
      </w:r>
      <w:r>
        <w:rPr>
          <w:rFonts w:hint="eastAsia" w:eastAsia="仿宋_GB2312"/>
          <w:color w:val="FF0000"/>
          <w:sz w:val="32"/>
          <w:szCs w:val="32"/>
          <w:lang w:val="en-US" w:eastAsia="zh-CN"/>
        </w:rPr>
        <w:t>41</w:t>
      </w:r>
      <w:r>
        <w:rPr>
          <w:rFonts w:hint="eastAsia" w:eastAsia="仿宋_GB2312"/>
          <w:color w:val="FF0000"/>
          <w:sz w:val="32"/>
          <w:szCs w:val="32"/>
        </w:rPr>
        <w:t>.</w:t>
      </w:r>
      <w:r>
        <w:rPr>
          <w:rFonts w:hint="eastAsia" w:eastAsia="仿宋_GB2312"/>
          <w:color w:val="FF0000"/>
          <w:sz w:val="32"/>
          <w:szCs w:val="32"/>
          <w:lang w:val="en-US" w:eastAsia="zh-CN"/>
        </w:rPr>
        <w:t>2</w:t>
      </w:r>
      <w:r>
        <w:rPr>
          <w:rFonts w:hint="eastAsia" w:eastAsia="仿宋_GB2312"/>
          <w:color w:val="FF0000"/>
          <w:sz w:val="32"/>
          <w:szCs w:val="32"/>
        </w:rPr>
        <w:t>亩。</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七、拍卖程序</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（一）拍卖会程序</w:t>
      </w:r>
    </w:p>
    <w:p>
      <w:pPr>
        <w:snapToGrid w:val="0"/>
        <w:spacing w:line="600" w:lineRule="exact"/>
        <w:ind w:firstLine="555"/>
        <w:rPr>
          <w:rFonts w:eastAsia="仿宋_GB2312"/>
          <w:color w:val="000000" w:themeColor="text1"/>
          <w:sz w:val="32"/>
          <w:szCs w:val="32"/>
        </w:rPr>
      </w:pPr>
      <w:r>
        <w:rPr>
          <w:rFonts w:hint="eastAsia" w:eastAsia="仿宋_GB2312"/>
          <w:sz w:val="32"/>
          <w:szCs w:val="32"/>
        </w:rPr>
        <w:t>1.拍卖主持人亮证并宣布拍卖会开始</w:t>
      </w:r>
      <w:r>
        <w:rPr>
          <w:rFonts w:hint="eastAsia" w:eastAsia="仿宋_GB2312"/>
          <w:color w:val="000000" w:themeColor="text1"/>
          <w:sz w:val="32"/>
          <w:szCs w:val="32"/>
        </w:rPr>
        <w:t>；</w:t>
      </w:r>
    </w:p>
    <w:p>
      <w:pPr>
        <w:snapToGrid w:val="0"/>
        <w:spacing w:line="600" w:lineRule="exact"/>
        <w:ind w:firstLine="555"/>
        <w:rPr>
          <w:rFonts w:eastAsia="仿宋_GB2312"/>
          <w:sz w:val="32"/>
          <w:szCs w:val="32"/>
        </w:rPr>
      </w:pPr>
      <w:r>
        <w:rPr>
          <w:rFonts w:hint="eastAsia" w:eastAsia="仿宋_GB2312"/>
          <w:sz w:val="32"/>
          <w:szCs w:val="32"/>
        </w:rPr>
        <w:t>2.拍卖主持人邀请公证员及记录员就位，并介绍相关人员；</w:t>
      </w:r>
    </w:p>
    <w:p>
      <w:pPr>
        <w:snapToGrid w:val="0"/>
        <w:spacing w:line="600" w:lineRule="exact"/>
        <w:ind w:firstLine="555"/>
        <w:rPr>
          <w:rFonts w:eastAsia="仿宋_GB2312"/>
          <w:sz w:val="32"/>
          <w:szCs w:val="32"/>
        </w:rPr>
      </w:pPr>
      <w:r>
        <w:rPr>
          <w:rFonts w:hint="eastAsia" w:eastAsia="仿宋_GB2312"/>
          <w:sz w:val="32"/>
          <w:szCs w:val="32"/>
        </w:rPr>
        <w:t>3.拍卖主持人清点竞买人到场情况并按次序入座；</w:t>
      </w:r>
    </w:p>
    <w:p>
      <w:pPr>
        <w:snapToGrid w:val="0"/>
        <w:spacing w:line="600" w:lineRule="exact"/>
        <w:ind w:firstLine="555"/>
        <w:rPr>
          <w:rFonts w:eastAsia="仿宋_GB2312"/>
          <w:sz w:val="32"/>
          <w:szCs w:val="32"/>
        </w:rPr>
      </w:pPr>
      <w:r>
        <w:rPr>
          <w:rFonts w:hint="eastAsia" w:eastAsia="仿宋_GB2312"/>
          <w:sz w:val="32"/>
          <w:szCs w:val="32"/>
        </w:rPr>
        <w:t>4.公证员核实竞买人身份和举牌人身份；</w:t>
      </w:r>
    </w:p>
    <w:p>
      <w:pPr>
        <w:snapToGrid w:val="0"/>
        <w:spacing w:line="600" w:lineRule="exact"/>
        <w:ind w:firstLine="555"/>
        <w:rPr>
          <w:rFonts w:eastAsia="仿宋_GB2312"/>
          <w:sz w:val="32"/>
          <w:szCs w:val="32"/>
        </w:rPr>
      </w:pPr>
      <w:r>
        <w:rPr>
          <w:rFonts w:hint="eastAsia" w:eastAsia="仿宋_GB2312"/>
          <w:sz w:val="32"/>
          <w:szCs w:val="32"/>
        </w:rPr>
        <w:t>5．设有底价的，公证员检查并展示底价密封情况后，交予拍卖主持人；</w:t>
      </w:r>
    </w:p>
    <w:p>
      <w:pPr>
        <w:snapToGrid w:val="0"/>
        <w:spacing w:line="600" w:lineRule="exact"/>
        <w:ind w:firstLine="555"/>
        <w:rPr>
          <w:rFonts w:eastAsia="仿宋_GB2312"/>
          <w:color w:val="000000" w:themeColor="text1"/>
          <w:sz w:val="32"/>
          <w:szCs w:val="32"/>
        </w:rPr>
      </w:pPr>
      <w:r>
        <w:rPr>
          <w:rFonts w:hint="eastAsia" w:eastAsia="仿宋_GB2312"/>
          <w:sz w:val="32"/>
          <w:szCs w:val="32"/>
        </w:rPr>
        <w:t>6.拍卖主持人介绍拍卖地块的位</w:t>
      </w:r>
      <w:r>
        <w:rPr>
          <w:rFonts w:hint="eastAsia" w:eastAsia="仿宋_GB2312"/>
          <w:color w:val="000000" w:themeColor="text1"/>
          <w:sz w:val="32"/>
          <w:szCs w:val="32"/>
        </w:rPr>
        <w:t>置、面积、用途、使用年限、规划指标要求、建设时间等；</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hint="eastAsia" w:eastAsia="仿宋_GB2312"/>
          <w:color w:val="000000" w:themeColor="text1"/>
          <w:sz w:val="32"/>
          <w:szCs w:val="32"/>
        </w:rPr>
      </w:pPr>
      <w:r>
        <w:rPr>
          <w:rFonts w:hint="eastAsia" w:eastAsia="仿宋_GB2312"/>
          <w:color w:val="000000" w:themeColor="text1"/>
          <w:sz w:val="32"/>
          <w:szCs w:val="32"/>
        </w:rPr>
        <w:t>8.拍卖主持人逐一询问竞买人是否听清、是否明白；</w:t>
      </w:r>
    </w:p>
    <w:p>
      <w:pPr>
        <w:snapToGrid w:val="0"/>
        <w:spacing w:line="600" w:lineRule="exact"/>
        <w:ind w:firstLine="555"/>
        <w:rPr>
          <w:rFonts w:hint="eastAsia"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9.</w:t>
      </w:r>
      <w:r>
        <w:rPr>
          <w:rFonts w:hint="eastAsia" w:ascii="Times New Roman" w:hAnsi="Times New Roman" w:eastAsia="仿宋_GB2312" w:cs="Times New Roman"/>
          <w:color w:val="000000" w:themeColor="text1"/>
          <w:sz w:val="32"/>
          <w:szCs w:val="32"/>
        </w:rPr>
        <w:t>现场抽取确定首轮竞价顺序</w:t>
      </w:r>
      <w:r>
        <w:rPr>
          <w:rFonts w:hint="eastAsia" w:ascii="Times New Roman" w:hAnsi="Times New Roman" w:eastAsia="仿宋_GB2312" w:cs="Times New Roman"/>
          <w:color w:val="000000" w:themeColor="text1"/>
          <w:sz w:val="32"/>
          <w:szCs w:val="32"/>
          <w:lang w:eastAsia="zh-CN"/>
        </w:rPr>
        <w:t>；</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lang w:val="en-US" w:eastAsia="zh-CN"/>
        </w:rPr>
        <w:t>10</w:t>
      </w:r>
      <w:r>
        <w:rPr>
          <w:rFonts w:hint="eastAsia" w:eastAsia="仿宋_GB2312"/>
          <w:color w:val="000000" w:themeColor="text1"/>
          <w:sz w:val="32"/>
          <w:szCs w:val="32"/>
        </w:rPr>
        <w:t>.拍卖主持人报出起叫价，宣布竞价开始；</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1</w:t>
      </w:r>
      <w:r>
        <w:rPr>
          <w:rFonts w:hint="eastAsia" w:eastAsia="仿宋_GB2312"/>
          <w:color w:val="000000" w:themeColor="text1"/>
          <w:sz w:val="32"/>
          <w:szCs w:val="32"/>
        </w:rPr>
        <w:t>.竞买人举牌应价或者报价，首轮竞价完毕后须宣布首轮竞价结束并转为自由竞价；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2</w:t>
      </w:r>
      <w:r>
        <w:rPr>
          <w:rFonts w:hint="eastAsia" w:eastAsia="仿宋_GB2312"/>
          <w:color w:val="000000" w:themeColor="text1"/>
          <w:sz w:val="32"/>
          <w:szCs w:val="32"/>
        </w:rPr>
        <w:t>.拍卖主持人确认该竞买人应价或者报价后继续竞价；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3</w:t>
      </w:r>
      <w:r>
        <w:rPr>
          <w:rFonts w:hint="eastAsia" w:eastAsia="仿宋_GB2312"/>
          <w:color w:val="000000" w:themeColor="text1"/>
          <w:sz w:val="32"/>
          <w:szCs w:val="32"/>
        </w:rPr>
        <w:t>.拍卖主持人连续三次宣布同一应价或报价而没有人再应价或报价，拍卖主持人宣布竞价结束（每次的时间间隔不得短于规定时间）；</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4</w:t>
      </w:r>
      <w:r>
        <w:rPr>
          <w:rFonts w:hint="eastAsia" w:eastAsia="仿宋_GB2312"/>
          <w:color w:val="000000" w:themeColor="text1"/>
          <w:sz w:val="32"/>
          <w:szCs w:val="32"/>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5</w:t>
      </w:r>
      <w:r>
        <w:rPr>
          <w:rFonts w:hint="eastAsia" w:eastAsia="仿宋_GB2312"/>
          <w:color w:val="000000" w:themeColor="text1"/>
          <w:sz w:val="32"/>
          <w:szCs w:val="32"/>
        </w:rPr>
        <w:t>.公证员现场致公证词；</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6</w:t>
      </w:r>
      <w:r>
        <w:rPr>
          <w:rFonts w:hint="eastAsia" w:eastAsia="仿宋_GB2312"/>
          <w:color w:val="000000" w:themeColor="text1"/>
          <w:sz w:val="32"/>
          <w:szCs w:val="32"/>
        </w:rPr>
        <w:t>.拍卖主持人主持拍卖人与竞得人在现场签订《成交确认书》。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（三）出让人与竞得人依据《成交确认书》的约定签订《国有建设用地使用权出让合同》。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（四）出让结果公布：</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八、竞价规则</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（一）本次拍卖采用增价拍卖方式，按价高者得的原则确定竞得人（高于或等于政府底价的基础上）。</w:t>
      </w:r>
    </w:p>
    <w:p>
      <w:pPr>
        <w:snapToGrid w:val="0"/>
        <w:spacing w:line="600" w:lineRule="exact"/>
        <w:ind w:firstLine="555"/>
        <w:rPr>
          <w:rFonts w:hint="eastAsia" w:eastAsia="仿宋_GB2312"/>
          <w:color w:val="000000" w:themeColor="text1"/>
          <w:sz w:val="32"/>
          <w:szCs w:val="32"/>
        </w:rPr>
      </w:pPr>
      <w:r>
        <w:rPr>
          <w:rFonts w:hint="eastAsia" w:eastAsia="仿宋_GB2312"/>
          <w:color w:val="000000" w:themeColor="text1"/>
          <w:sz w:val="32"/>
          <w:szCs w:val="32"/>
        </w:rPr>
        <w:t>（二）凡参加拍卖的竞买人必须承认起叫价，</w:t>
      </w:r>
      <w:r>
        <w:rPr>
          <w:rFonts w:hint="eastAsia" w:eastAsia="仿宋_GB2312"/>
          <w:color w:val="FF0000"/>
          <w:sz w:val="32"/>
          <w:szCs w:val="32"/>
        </w:rPr>
        <w:t>即从起</w:t>
      </w:r>
      <w:r>
        <w:rPr>
          <w:rFonts w:hint="eastAsia" w:eastAsia="仿宋_GB2312"/>
          <w:color w:val="FF0000"/>
          <w:sz w:val="32"/>
          <w:szCs w:val="32"/>
          <w:lang w:val="en-US" w:eastAsia="zh-CN"/>
        </w:rPr>
        <w:t>拍</w:t>
      </w:r>
      <w:bookmarkStart w:id="21" w:name="_GoBack"/>
      <w:bookmarkEnd w:id="21"/>
      <w:r>
        <w:rPr>
          <w:rFonts w:hint="eastAsia" w:eastAsia="仿宋_GB2312"/>
          <w:color w:val="FF0000"/>
          <w:sz w:val="32"/>
          <w:szCs w:val="32"/>
        </w:rPr>
        <w:t>价(</w:t>
      </w:r>
      <w:r>
        <w:rPr>
          <w:rFonts w:hint="eastAsia" w:eastAsia="仿宋_GB2312"/>
          <w:color w:val="FF0000"/>
          <w:sz w:val="32"/>
          <w:szCs w:val="32"/>
          <w:lang w:val="en-US" w:eastAsia="zh-CN"/>
        </w:rPr>
        <w:t>360</w:t>
      </w:r>
      <w:r>
        <w:rPr>
          <w:rFonts w:hint="eastAsia" w:eastAsia="仿宋_GB2312"/>
          <w:color w:val="FF0000"/>
          <w:sz w:val="32"/>
          <w:szCs w:val="32"/>
        </w:rPr>
        <w:t>万元/亩）+最低增价幅度（5万元/亩）=</w:t>
      </w:r>
      <w:r>
        <w:rPr>
          <w:rFonts w:hint="eastAsia" w:eastAsia="仿宋_GB2312"/>
          <w:color w:val="FF0000"/>
          <w:sz w:val="32"/>
          <w:szCs w:val="32"/>
          <w:lang w:val="en-US" w:eastAsia="zh-CN"/>
        </w:rPr>
        <w:t>365</w:t>
      </w:r>
      <w:r>
        <w:rPr>
          <w:rFonts w:hint="eastAsia" w:eastAsia="仿宋_GB2312"/>
          <w:color w:val="FF0000"/>
          <w:sz w:val="32"/>
          <w:szCs w:val="32"/>
        </w:rPr>
        <w:t>万元/亩的价格确认，</w:t>
      </w:r>
      <w:r>
        <w:rPr>
          <w:rFonts w:hint="eastAsia" w:eastAsia="仿宋_GB2312"/>
          <w:color w:val="000000" w:themeColor="text1"/>
          <w:sz w:val="32"/>
          <w:szCs w:val="32"/>
        </w:rPr>
        <w:t>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（三）抽签确定事项: 1.竞买人抽签顺序按资格审查合格的竞买人从达州市公共资源交易服务网（http://www.dzggzy.cn）打印的竞买资格确认书中的竞价牌号从小到大依次进行。2.首轮竞价顺序确定事项：资格审查合格的竞买人在拍卖现场按竞买人抽签顺序依次从密封箱内一次性随机抽取乒乓号球，首轮竞价顺序按从小到大顺序排列确定。</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w:t>
      </w:r>
      <w:r>
        <w:rPr>
          <w:rFonts w:hint="eastAsia" w:eastAsia="仿宋_GB2312"/>
          <w:color w:val="000000" w:themeColor="text1"/>
          <w:sz w:val="32"/>
          <w:szCs w:val="32"/>
          <w:lang w:val="en-US" w:eastAsia="zh-CN"/>
        </w:rPr>
        <w:t>四</w:t>
      </w:r>
      <w:r>
        <w:rPr>
          <w:rFonts w:hint="eastAsia" w:eastAsia="仿宋_GB2312"/>
          <w:color w:val="000000" w:themeColor="text1"/>
          <w:sz w:val="32"/>
          <w:szCs w:val="32"/>
        </w:rPr>
        <w:t>）竞买人以举牌方式应价，也可以报价，但报价的加价幅度不得小于拍卖主持人宣布或调整的增价幅度。竞买人一经应价或报价，不可撤回。</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w:t>
      </w:r>
      <w:r>
        <w:rPr>
          <w:rFonts w:hint="eastAsia" w:eastAsia="仿宋_GB2312"/>
          <w:color w:val="000000" w:themeColor="text1"/>
          <w:sz w:val="32"/>
          <w:szCs w:val="32"/>
          <w:lang w:val="en-US" w:eastAsia="zh-CN"/>
        </w:rPr>
        <w:t>五</w:t>
      </w:r>
      <w:r>
        <w:rPr>
          <w:rFonts w:hint="eastAsia" w:eastAsia="仿宋_GB2312"/>
          <w:color w:val="000000" w:themeColor="text1"/>
          <w:sz w:val="32"/>
          <w:szCs w:val="32"/>
        </w:rPr>
        <w:t>）若设有政府底价，最后应价未达到底价时，拍卖主持人终止本次拍卖活动，拍卖不成交。</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九、注意事项</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（一）特别提醒：资格审查当日，资格审查结束后即进行拍卖活动，通过资格审查的竞买申请人须做好相关准备。</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（六）有下列情形之一的，拍卖人应当在拍卖会前终止拍卖活动，并通知竞买人：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 ．竞买人串通损害国家利益、社会利益或他人合法权益的；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 ．拍卖工作人员私下接触竞买人，足以影响拍卖公正性的；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 ．应当依法终止拍卖活动的其他情形。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（七）竞得人有下列行为之一的，视为违约，出让人可取消其竞得人资格，竞买保证金、定金不予退还：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1.竞得人逾期或拒绝在现场签订《成交确认书》的；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2.竞得人逾期或拒绝签订《国有建设用地使用权出让合同》的；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3.竞得人逾期支付交易服务费的；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adjustRightInd w:val="0"/>
        <w:snapToGrid w:val="0"/>
        <w:spacing w:line="578" w:lineRule="exact"/>
        <w:ind w:firstLine="640" w:firstLineChars="200"/>
        <w:rPr>
          <w:rFonts w:ascii="仿宋_GB2312"/>
          <w:color w:val="000000"/>
          <w:szCs w:val="32"/>
        </w:rPr>
      </w:pPr>
      <w:r>
        <w:rPr>
          <w:rFonts w:hint="eastAsia" w:eastAsia="仿宋_GB2312"/>
          <w:color w:val="000000" w:themeColor="text1"/>
          <w:sz w:val="32"/>
          <w:szCs w:val="32"/>
        </w:rPr>
        <w:t>（九）出让合同签订时间及价款支付：土地拍卖出让成交后须当场签订《成交确认书》，自成交之日起10个工作日内签订《国有建设用地使用权出让合同》，</w:t>
      </w:r>
      <w:r>
        <w:rPr>
          <w:rFonts w:hint="eastAsia" w:eastAsia="仿宋_GB2312"/>
          <w:color w:val="000000" w:themeColor="text1"/>
          <w:sz w:val="32"/>
          <w:szCs w:val="32"/>
          <w:lang w:val="en-US" w:eastAsia="zh-CN"/>
        </w:rPr>
        <w:t>自</w:t>
      </w:r>
      <w:r>
        <w:rPr>
          <w:rFonts w:hint="eastAsia" w:eastAsia="仿宋_GB2312"/>
          <w:color w:val="000000" w:themeColor="text1"/>
          <w:sz w:val="32"/>
          <w:szCs w:val="32"/>
        </w:rPr>
        <w:t>出让合同签订之日起1个月内缴纳拍卖成交价总额50%的首付款，余款在</w:t>
      </w:r>
      <w:r>
        <w:rPr>
          <w:rFonts w:hint="eastAsia" w:eastAsia="仿宋_GB2312"/>
          <w:color w:val="000000" w:themeColor="text1"/>
          <w:sz w:val="32"/>
          <w:szCs w:val="32"/>
          <w:lang w:val="en-US" w:eastAsia="zh-CN"/>
        </w:rPr>
        <w:t>土地成交</w:t>
      </w:r>
      <w:r>
        <w:rPr>
          <w:rFonts w:hint="eastAsia" w:eastAsia="仿宋_GB2312"/>
          <w:color w:val="000000" w:themeColor="text1"/>
          <w:sz w:val="32"/>
          <w:szCs w:val="32"/>
        </w:rPr>
        <w:t>之日起7个月内缴清（不计息）。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（十）土地交付条件及时间：在</w:t>
      </w:r>
      <w:r>
        <w:rPr>
          <w:rFonts w:hint="eastAsia" w:eastAsia="仿宋_GB2312"/>
          <w:color w:val="000000" w:themeColor="text1"/>
          <w:sz w:val="32"/>
          <w:szCs w:val="32"/>
          <w:lang w:val="en-US" w:eastAsia="zh-CN"/>
        </w:rPr>
        <w:t>土地竞得人</w:t>
      </w:r>
      <w:r>
        <w:rPr>
          <w:rFonts w:hint="eastAsia" w:eastAsia="仿宋_GB2312"/>
          <w:color w:val="000000" w:themeColor="text1"/>
          <w:sz w:val="32"/>
          <w:szCs w:val="32"/>
        </w:rPr>
        <w:t>缴清全部土地</w:t>
      </w:r>
      <w:r>
        <w:rPr>
          <w:rFonts w:hint="eastAsia" w:eastAsia="仿宋_GB2312"/>
          <w:color w:val="000000" w:themeColor="text1"/>
          <w:sz w:val="32"/>
          <w:szCs w:val="32"/>
          <w:lang w:val="en-US" w:eastAsia="zh-CN"/>
        </w:rPr>
        <w:t>出让</w:t>
      </w:r>
      <w:r>
        <w:rPr>
          <w:rFonts w:hint="eastAsia" w:eastAsia="仿宋_GB2312"/>
          <w:color w:val="000000" w:themeColor="text1"/>
          <w:sz w:val="32"/>
          <w:szCs w:val="32"/>
        </w:rPr>
        <w:t>价款（含</w:t>
      </w:r>
      <w:r>
        <w:rPr>
          <w:rFonts w:hint="eastAsia" w:eastAsia="仿宋_GB2312"/>
          <w:color w:val="000000" w:themeColor="text1"/>
          <w:sz w:val="32"/>
          <w:szCs w:val="32"/>
          <w:lang w:val="en-US" w:eastAsia="zh-CN"/>
        </w:rPr>
        <w:t>滞纳</w:t>
      </w:r>
      <w:r>
        <w:rPr>
          <w:rFonts w:hint="eastAsia" w:eastAsia="仿宋_GB2312"/>
          <w:color w:val="000000" w:themeColor="text1"/>
          <w:sz w:val="32"/>
          <w:szCs w:val="32"/>
        </w:rPr>
        <w:t>金）</w:t>
      </w:r>
      <w:r>
        <w:rPr>
          <w:rFonts w:hint="eastAsia" w:eastAsia="仿宋_GB2312"/>
          <w:color w:val="000000" w:themeColor="text1"/>
          <w:sz w:val="32"/>
          <w:szCs w:val="32"/>
          <w:lang w:val="en-US" w:eastAsia="zh-CN"/>
        </w:rPr>
        <w:t>之日起</w:t>
      </w:r>
      <w:r>
        <w:rPr>
          <w:rFonts w:hint="eastAsia" w:eastAsia="仿宋_GB2312"/>
          <w:color w:val="000000" w:themeColor="text1"/>
          <w:sz w:val="32"/>
          <w:szCs w:val="32"/>
        </w:rPr>
        <w:t>30日内，</w:t>
      </w:r>
      <w:r>
        <w:rPr>
          <w:rFonts w:hint="eastAsia" w:ascii="仿宋" w:hAnsi="仿宋" w:eastAsia="仿宋" w:cs="宋体"/>
          <w:b/>
          <w:color w:val="000000" w:themeColor="text1"/>
          <w:sz w:val="28"/>
          <w:szCs w:val="28"/>
          <w:u w:val="single"/>
        </w:rPr>
        <w:t>达州市自然资源</w:t>
      </w:r>
      <w:r>
        <w:rPr>
          <w:rFonts w:hint="eastAsia" w:ascii="仿宋" w:hAnsi="仿宋" w:eastAsia="仿宋" w:cs="宋体"/>
          <w:b/>
          <w:color w:val="000000" w:themeColor="text1"/>
          <w:sz w:val="28"/>
          <w:szCs w:val="28"/>
          <w:u w:val="single"/>
          <w:lang w:val="en-US" w:eastAsia="zh-CN"/>
        </w:rPr>
        <w:t>和规划</w:t>
      </w:r>
      <w:r>
        <w:rPr>
          <w:rFonts w:hint="eastAsia" w:ascii="仿宋" w:hAnsi="仿宋" w:eastAsia="仿宋" w:cs="宋体"/>
          <w:b/>
          <w:color w:val="000000" w:themeColor="text1"/>
          <w:sz w:val="28"/>
          <w:szCs w:val="28"/>
          <w:u w:val="single"/>
        </w:rPr>
        <w:t>局</w:t>
      </w:r>
      <w:r>
        <w:rPr>
          <w:rFonts w:hint="eastAsia" w:eastAsia="仿宋_GB2312"/>
          <w:color w:val="000000" w:themeColor="text1"/>
          <w:sz w:val="32"/>
          <w:szCs w:val="32"/>
          <w:lang w:val="en-US" w:eastAsia="zh-CN"/>
        </w:rPr>
        <w:t>以“净地”（仅指无地上建&lt;构&gt;筑物）、</w:t>
      </w:r>
      <w:r>
        <w:rPr>
          <w:rFonts w:hint="eastAsia" w:eastAsia="仿宋_GB2312"/>
          <w:color w:val="000000" w:themeColor="text1"/>
          <w:sz w:val="32"/>
          <w:szCs w:val="32"/>
        </w:rPr>
        <w:t>按现状土地使用条件交付土地，宗地范围内的地下资源、埋藏物不属于国有建设用地使用权出让范围。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（十一）对出让地块如涉及电力、通讯、光缆、输气管道等设施的，竞得人应按其管理部门避让等规定和要求办理。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（十二）拍卖不成交的或成交不签订《成交确认书》的，由</w:t>
      </w:r>
      <w:r>
        <w:rPr>
          <w:rFonts w:hint="eastAsia" w:ascii="仿宋" w:hAnsi="仿宋" w:eastAsia="仿宋"/>
          <w:color w:val="000000" w:themeColor="text1"/>
          <w:sz w:val="28"/>
          <w:szCs w:val="28"/>
          <w:u w:val="single"/>
        </w:rPr>
        <w:t>达州市公共资源交易服务中心</w:t>
      </w:r>
      <w:r>
        <w:rPr>
          <w:rFonts w:hint="eastAsia" w:eastAsia="仿宋_GB2312"/>
          <w:color w:val="000000" w:themeColor="text1"/>
          <w:sz w:val="32"/>
          <w:szCs w:val="32"/>
        </w:rPr>
        <w:t>在2个工作日内书面函告出让人。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（十三）参加拍卖活动的人员，应遵守现场的纪律，服从管理人员的管理。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（十四）其他未尽事宜依照《招标拍卖挂牌出让国有土地使用权规范》办理。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（十五）达州市自然资源</w:t>
      </w:r>
      <w:r>
        <w:rPr>
          <w:rFonts w:hint="eastAsia" w:eastAsia="仿宋_GB2312"/>
          <w:color w:val="000000" w:themeColor="text1"/>
          <w:sz w:val="32"/>
          <w:szCs w:val="32"/>
          <w:lang w:val="en-US" w:eastAsia="zh-CN"/>
        </w:rPr>
        <w:t>和规划</w:t>
      </w:r>
      <w:r>
        <w:rPr>
          <w:rFonts w:hint="eastAsia" w:eastAsia="仿宋_GB2312"/>
          <w:color w:val="000000" w:themeColor="text1"/>
          <w:sz w:val="32"/>
          <w:szCs w:val="32"/>
        </w:rPr>
        <w:t>局、达州市公共资源交易服务中心对本《须知》有解释权。</w:t>
      </w:r>
    </w:p>
    <w:p>
      <w:pPr>
        <w:spacing w:line="600" w:lineRule="exact"/>
        <w:ind w:firstLine="1920" w:firstLineChars="6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hint="eastAsia" w:ascii="黑体" w:eastAsia="黑体"/>
          <w:color w:val="000000" w:themeColor="text1"/>
          <w:sz w:val="44"/>
          <w:szCs w:val="44"/>
        </w:rPr>
      </w:pPr>
      <w:bookmarkStart w:id="4" w:name="_Toc3391972"/>
      <w:bookmarkStart w:id="5" w:name="_Toc3391743"/>
      <w:r>
        <w:rPr>
          <w:rFonts w:hint="eastAsia" w:ascii="黑体" w:eastAsia="黑体"/>
          <w:color w:val="000000" w:themeColor="text1"/>
          <w:sz w:val="44"/>
          <w:szCs w:val="44"/>
        </w:rPr>
        <w:t>地块规划条件相关资</w:t>
      </w:r>
      <w:bookmarkEnd w:id="4"/>
      <w:bookmarkEnd w:id="5"/>
      <w:r>
        <w:rPr>
          <w:rFonts w:hint="eastAsia" w:ascii="黑体" w:eastAsia="黑体"/>
          <w:color w:val="000000" w:themeColor="text1"/>
          <w:sz w:val="44"/>
          <w:szCs w:val="44"/>
        </w:rPr>
        <w:t>料</w:t>
      </w:r>
    </w:p>
    <w:p>
      <w:pPr>
        <w:rPr>
          <w:rFonts w:hint="eastAsia" w:eastAsia="黑体"/>
          <w:lang w:eastAsia="zh-CN"/>
        </w:rPr>
      </w:pPr>
      <w:r>
        <w:rPr>
          <w:rFonts w:hint="eastAsia" w:eastAsia="黑体"/>
          <w:lang w:eastAsia="zh-CN"/>
        </w:rPr>
        <w:drawing>
          <wp:inline distT="0" distB="0" distL="114300" distR="114300">
            <wp:extent cx="5271135" cy="7450455"/>
            <wp:effectExtent l="0" t="0" r="5715" b="17145"/>
            <wp:docPr id="3" name="图片 3" descr="A-05-02规划条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5-02规划条件_00"/>
                    <pic:cNvPicPr>
                      <a:picLocks noChangeAspect="1"/>
                    </pic:cNvPicPr>
                  </pic:nvPicPr>
                  <pic:blipFill>
                    <a:blip r:embed="rId25"/>
                    <a:stretch>
                      <a:fillRect/>
                    </a:stretch>
                  </pic:blipFill>
                  <pic:spPr>
                    <a:xfrm>
                      <a:off x="0" y="0"/>
                      <a:ext cx="5271135" cy="7450455"/>
                    </a:xfrm>
                    <a:prstGeom prst="rect">
                      <a:avLst/>
                    </a:prstGeom>
                  </pic:spPr>
                </pic:pic>
              </a:graphicData>
            </a:graphic>
          </wp:inline>
        </w:drawing>
      </w:r>
      <w:r>
        <w:rPr>
          <w:rFonts w:hint="eastAsia" w:eastAsia="黑体"/>
          <w:lang w:eastAsia="zh-CN"/>
        </w:rPr>
        <w:drawing>
          <wp:inline distT="0" distB="0" distL="114300" distR="114300">
            <wp:extent cx="5271135" cy="7450455"/>
            <wp:effectExtent l="0" t="0" r="5715" b="17145"/>
            <wp:docPr id="2" name="图片 2" descr="A-05-02规划条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05-02规划条件_01"/>
                    <pic:cNvPicPr>
                      <a:picLocks noChangeAspect="1"/>
                    </pic:cNvPicPr>
                  </pic:nvPicPr>
                  <pic:blipFill>
                    <a:blip r:embed="rId26"/>
                    <a:stretch>
                      <a:fillRect/>
                    </a:stretch>
                  </pic:blipFill>
                  <pic:spPr>
                    <a:xfrm>
                      <a:off x="0" y="0"/>
                      <a:ext cx="5271135" cy="7450455"/>
                    </a:xfrm>
                    <a:prstGeom prst="rect">
                      <a:avLst/>
                    </a:prstGeom>
                  </pic:spPr>
                </pic:pic>
              </a:graphicData>
            </a:graphic>
          </wp:inline>
        </w:drawing>
      </w:r>
    </w:p>
    <w:p>
      <w:pPr>
        <w:rPr>
          <w:color w:val="000000" w:themeColor="text1"/>
        </w:rPr>
      </w:pPr>
    </w:p>
    <w:p>
      <w:pPr>
        <w:rPr>
          <w:color w:val="000000" w:themeColor="text1"/>
        </w:rPr>
      </w:pPr>
    </w:p>
    <w:p>
      <w:pPr>
        <w:rPr>
          <w:color w:val="000000" w:themeColor="text1"/>
        </w:rPr>
      </w:pPr>
    </w:p>
    <w:p>
      <w:pPr>
        <w:rPr>
          <w:color w:val="000000" w:themeColor="text1"/>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6" w:name="_Toc3391744"/>
      <w:bookmarkStart w:id="7" w:name="_Toc3391973"/>
      <w:r>
        <w:rPr>
          <w:rFonts w:hint="eastAsia" w:ascii="黑体" w:eastAsia="黑体"/>
          <w:color w:val="000000" w:themeColor="text1"/>
          <w:sz w:val="44"/>
          <w:szCs w:val="44"/>
        </w:rPr>
        <w:t>用地红线图</w:t>
      </w:r>
      <w:bookmarkEnd w:id="6"/>
      <w:bookmarkEnd w:id="7"/>
    </w:p>
    <w:p>
      <w:pPr>
        <w:pStyle w:val="12"/>
        <w:rPr>
          <w:rFonts w:hint="eastAsia" w:ascii="宋体" w:eastAsia="宋体" w:cs="宋体"/>
          <w:color w:val="000000" w:themeColor="text1"/>
          <w:sz w:val="28"/>
          <w:szCs w:val="28"/>
          <w:lang w:eastAsia="zh-CN"/>
        </w:rPr>
      </w:pPr>
      <w:r>
        <w:rPr>
          <w:rFonts w:hint="eastAsia" w:ascii="宋体" w:eastAsia="宋体" w:cs="宋体"/>
          <w:color w:val="000000" w:themeColor="text1"/>
          <w:sz w:val="28"/>
          <w:szCs w:val="28"/>
          <w:lang w:eastAsia="zh-CN"/>
        </w:rPr>
        <w:drawing>
          <wp:inline distT="0" distB="0" distL="114300" distR="114300">
            <wp:extent cx="5269865" cy="3728085"/>
            <wp:effectExtent l="0" t="0" r="6985" b="5715"/>
            <wp:docPr id="4" name="图片 4" descr="A-05-02红线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5-02红线图_00"/>
                    <pic:cNvPicPr>
                      <a:picLocks noChangeAspect="1"/>
                    </pic:cNvPicPr>
                  </pic:nvPicPr>
                  <pic:blipFill>
                    <a:blip r:embed="rId27"/>
                    <a:stretch>
                      <a:fillRect/>
                    </a:stretch>
                  </pic:blipFill>
                  <pic:spPr>
                    <a:xfrm>
                      <a:off x="0" y="0"/>
                      <a:ext cx="5269865" cy="3728085"/>
                    </a:xfrm>
                    <a:prstGeom prst="rect">
                      <a:avLst/>
                    </a:prstGeom>
                  </pic:spPr>
                </pic:pic>
              </a:graphicData>
            </a:graphic>
          </wp:inline>
        </w:drawing>
      </w:r>
    </w:p>
    <w:p>
      <w:pPr>
        <w:pStyle w:val="12"/>
        <w:jc w:val="both"/>
        <w:rPr>
          <w:rFonts w:ascii="宋体" w:eastAsia="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8" w:name="_Toc3391974"/>
      <w:bookmarkStart w:id="9" w:name="_Toc3391745"/>
      <w:r>
        <w:rPr>
          <w:rFonts w:hint="eastAsia" w:ascii="黑体" w:eastAsia="黑体"/>
          <w:color w:val="000000" w:themeColor="text1"/>
          <w:sz w:val="44"/>
          <w:szCs w:val="44"/>
        </w:rPr>
        <w:t>地块勘界图</w:t>
      </w:r>
      <w:bookmarkEnd w:id="8"/>
      <w:bookmarkEnd w:id="9"/>
    </w:p>
    <w:p>
      <w:pPr>
        <w:pStyle w:val="12"/>
        <w:rPr>
          <w:rFonts w:hint="eastAsia" w:ascii="宋体" w:eastAsia="宋体" w:cs="宋体"/>
          <w:color w:val="000000" w:themeColor="text1"/>
          <w:sz w:val="28"/>
          <w:szCs w:val="28"/>
          <w:lang w:eastAsia="zh-CN"/>
        </w:rPr>
      </w:pPr>
      <w:r>
        <w:rPr>
          <w:rFonts w:hint="eastAsia" w:ascii="宋体" w:eastAsia="宋体" w:cs="宋体"/>
          <w:color w:val="000000" w:themeColor="text1"/>
          <w:sz w:val="28"/>
          <w:szCs w:val="28"/>
          <w:lang w:eastAsia="zh-CN"/>
        </w:rPr>
        <w:drawing>
          <wp:inline distT="0" distB="0" distL="114300" distR="114300">
            <wp:extent cx="5269865" cy="3728085"/>
            <wp:effectExtent l="0" t="0" r="6985" b="5715"/>
            <wp:docPr id="5" name="图片 5" descr="A-05-02勘界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05-02勘界图_00"/>
                    <pic:cNvPicPr>
                      <a:picLocks noChangeAspect="1"/>
                    </pic:cNvPicPr>
                  </pic:nvPicPr>
                  <pic:blipFill>
                    <a:blip r:embed="rId28"/>
                    <a:stretch>
                      <a:fillRect/>
                    </a:stretch>
                  </pic:blipFill>
                  <pic:spPr>
                    <a:xfrm>
                      <a:off x="0" y="0"/>
                      <a:ext cx="5269865" cy="3728085"/>
                    </a:xfrm>
                    <a:prstGeom prst="rect">
                      <a:avLst/>
                    </a:prstGeom>
                  </pic:spPr>
                </pic:pic>
              </a:graphicData>
            </a:graphic>
          </wp:inline>
        </w:drawing>
      </w:r>
    </w:p>
    <w:p/>
    <w:p>
      <w:pPr>
        <w:pStyle w:val="12"/>
        <w:rPr>
          <w:rFonts w:ascii="宋体" w:eastAsia="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spacing w:before="0" w:after="0" w:line="500" w:lineRule="exact"/>
        <w:rPr>
          <w:rFonts w:ascii="黑体" w:hAnsi="宋体" w:eastAsia="黑体"/>
          <w:color w:val="000000" w:themeColor="text1"/>
          <w:sz w:val="44"/>
          <w:szCs w:val="44"/>
        </w:rPr>
      </w:pPr>
      <w:bookmarkStart w:id="10" w:name="_Toc3391975"/>
      <w:bookmarkStart w:id="11" w:name="_Toc3391746"/>
      <w:r>
        <w:rPr>
          <w:rFonts w:hint="eastAsia" w:ascii="黑体" w:eastAsia="黑体"/>
          <w:color w:val="000000" w:themeColor="text1"/>
          <w:sz w:val="44"/>
          <w:szCs w:val="44"/>
        </w:rPr>
        <w:t>竞买申请书</w:t>
      </w:r>
      <w:bookmarkEnd w:id="10"/>
      <w:bookmarkEnd w:id="11"/>
    </w:p>
    <w:p>
      <w:pPr>
        <w:pStyle w:val="34"/>
        <w:spacing w:line="420" w:lineRule="exact"/>
        <w:rPr>
          <w:rFonts w:ascii="宋体"/>
          <w:color w:val="000000" w:themeColor="text1"/>
          <w:sz w:val="24"/>
          <w:szCs w:val="24"/>
        </w:rPr>
      </w:pPr>
    </w:p>
    <w:p>
      <w:pPr>
        <w:pStyle w:val="34"/>
        <w:spacing w:line="420" w:lineRule="exact"/>
        <w:ind w:left="0"/>
        <w:rPr>
          <w:rFonts w:ascii="宋体"/>
          <w:color w:val="000000" w:themeColor="text1"/>
          <w:sz w:val="24"/>
          <w:szCs w:val="24"/>
        </w:rPr>
      </w:pP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w:t>
      </w:r>
    </w:p>
    <w:p>
      <w:pPr>
        <w:pStyle w:val="34"/>
        <w:spacing w:line="420" w:lineRule="exact"/>
        <w:ind w:left="0" w:firstLine="480" w:firstLineChars="200"/>
        <w:jc w:val="left"/>
        <w:rPr>
          <w:rFonts w:ascii="宋体" w:hAnsi="宋体"/>
          <w:color w:val="000000" w:themeColor="text1"/>
          <w:sz w:val="28"/>
          <w:szCs w:val="28"/>
          <w:u w:val="single"/>
        </w:rPr>
      </w:pPr>
      <w:r>
        <w:rPr>
          <w:rFonts w:hint="eastAsia" w:ascii="宋体" w:hAnsi="宋体"/>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34"/>
        <w:spacing w:line="420" w:lineRule="exact"/>
        <w:ind w:left="105" w:leftChars="50" w:firstLine="480" w:firstLineChars="200"/>
        <w:jc w:val="left"/>
        <w:rPr>
          <w:rFonts w:ascii="宋体" w:hAns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u w:val="single"/>
        </w:rPr>
        <w:t xml:space="preserve">202 </w:t>
      </w:r>
      <w:r>
        <w:rPr>
          <w:rFonts w:hint="eastAsia" w:ascii="宋体" w:hAnsi="宋体"/>
          <w:color w:val="000000" w:themeColor="text1"/>
          <w:sz w:val="24"/>
          <w:szCs w:val="24"/>
          <w:u w:val="single"/>
        </w:rPr>
        <w:t>年  月  日</w:t>
      </w:r>
      <w:r>
        <w:rPr>
          <w:rFonts w:hint="eastAsia"/>
          <w:color w:val="000000" w:themeColor="text1"/>
          <w:sz w:val="24"/>
          <w:szCs w:val="24"/>
        </w:rPr>
        <w:t>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举行的</w:t>
      </w:r>
      <w:r>
        <w:rPr>
          <w:rFonts w:hint="eastAsia" w:ascii="宋体" w:hAnsi="宋体"/>
          <w:b/>
          <w:color w:val="000000" w:themeColor="text1"/>
          <w:sz w:val="24"/>
          <w:szCs w:val="24"/>
          <w:u w:val="single"/>
        </w:rPr>
        <w:t>X</w:t>
      </w:r>
      <w:r>
        <w:rPr>
          <w:rFonts w:ascii="宋体" w:hAnsi="宋体"/>
          <w:b/>
          <w:color w:val="000000" w:themeColor="text1"/>
          <w:sz w:val="24"/>
          <w:szCs w:val="24"/>
          <w:u w:val="single"/>
        </w:rPr>
        <w:t>XX</w:t>
      </w:r>
      <w:r>
        <w:rPr>
          <w:rFonts w:hint="eastAsia" w:ascii="宋体" w:hAnsi="宋体"/>
          <w:color w:val="000000" w:themeColor="text1"/>
          <w:sz w:val="24"/>
          <w:szCs w:val="24"/>
        </w:rPr>
        <w:t>地块国有建设用地使用权拍卖活动，愿意按拍卖出让文件规定缴纳竞买保证金人民币万元（大写）（</w:t>
      </w:r>
      <w:r>
        <w:rPr>
          <w:rFonts w:hint="eastAsia" w:ascii="仿宋_GB2312" w:hAnsi="仿宋" w:eastAsia="仿宋_GB2312"/>
          <w:color w:val="000000" w:themeColor="text1"/>
          <w:w w:val="90"/>
          <w:sz w:val="24"/>
          <w:szCs w:val="24"/>
        </w:rPr>
        <w:t>￥</w:t>
      </w:r>
      <w:r>
        <w:rPr>
          <w:rFonts w:hint="eastAsia" w:ascii="宋体" w:hAnsi="宋体"/>
          <w:color w:val="000000" w:themeColor="text1"/>
          <w:sz w:val="24"/>
          <w:szCs w:val="24"/>
        </w:rPr>
        <w:t>万元）。</w:t>
      </w:r>
    </w:p>
    <w:p>
      <w:pPr>
        <w:pStyle w:val="34"/>
        <w:spacing w:line="420" w:lineRule="exact"/>
        <w:ind w:left="0" w:firstLine="480" w:firstLineChars="200"/>
        <w:jc w:val="left"/>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34"/>
        <w:spacing w:line="420" w:lineRule="exact"/>
        <w:ind w:left="0" w:firstLine="482" w:firstLineChars="200"/>
        <w:jc w:val="left"/>
        <w:rPr>
          <w:rFonts w:ascii="宋体"/>
          <w:b/>
          <w:color w:val="000000" w:themeColor="text1"/>
          <w:sz w:val="24"/>
          <w:szCs w:val="24"/>
          <w:u w:val="single"/>
        </w:rPr>
      </w:pPr>
      <w:r>
        <w:rPr>
          <w:rFonts w:hint="eastAsia" w:ascii="宋体" w:hAnsi="宋体"/>
          <w:b/>
          <w:color w:val="000000" w:themeColor="text1"/>
          <w:sz w:val="24"/>
          <w:szCs w:val="24"/>
        </w:rPr>
        <w:t>（一）竞得土地使用权后</w:t>
      </w:r>
      <w:r>
        <w:rPr>
          <w:rFonts w:ascii="宋体" w:hAnsi="宋体"/>
          <w:b/>
          <w:color w:val="000000" w:themeColor="text1"/>
          <w:sz w:val="24"/>
          <w:szCs w:val="24"/>
        </w:rPr>
        <w:t>3</w:t>
      </w:r>
      <w:r>
        <w:rPr>
          <w:rFonts w:hint="eastAsia" w:ascii="宋体" w:hAnsi="宋体"/>
          <w:b/>
          <w:color w:val="000000" w:themeColor="text1"/>
          <w:sz w:val="24"/>
          <w:szCs w:val="24"/>
        </w:rPr>
        <w:t>个月内在</w:t>
      </w:r>
      <w:r>
        <w:rPr>
          <w:rFonts w:hint="eastAsia" w:ascii="宋体" w:hAnsi="宋体"/>
          <w:b/>
          <w:color w:val="000000" w:themeColor="text1"/>
          <w:sz w:val="24"/>
          <w:szCs w:val="24"/>
          <w:u w:val="single"/>
        </w:rPr>
        <w:t>土地所在辖区</w:t>
      </w:r>
      <w:r>
        <w:rPr>
          <w:rFonts w:hint="eastAsia" w:ascii="宋体" w:hAnsi="宋体"/>
          <w:b/>
          <w:color w:val="000000" w:themeColor="text1"/>
          <w:sz w:val="24"/>
          <w:szCs w:val="24"/>
        </w:rPr>
        <w:t>注册成立一家公司对竞得土地进行开发建设，新公司出资构成为</w:t>
      </w:r>
      <w:r>
        <w:rPr>
          <w:rFonts w:ascii="宋体" w:hAnsi="宋体"/>
          <w:b/>
          <w:color w:val="000000" w:themeColor="text1"/>
          <w:sz w:val="24"/>
          <w:szCs w:val="24"/>
        </w:rPr>
        <w:t>(</w:t>
      </w:r>
      <w:r>
        <w:rPr>
          <w:rFonts w:hint="eastAsia" w:ascii="宋体" w:hAnsi="宋体"/>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hint="eastAsia" w:ascii="宋体" w:hAnsi="宋体"/>
          <w:b/>
          <w:color w:val="000000" w:themeColor="text1"/>
          <w:sz w:val="24"/>
          <w:szCs w:val="24"/>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rPr>
        <w:t>的竞买人必须承诺</w:t>
      </w:r>
      <w:r>
        <w:rPr>
          <w:rFonts w:ascii="宋体" w:hAnsi="宋体"/>
          <w:b/>
          <w:color w:val="000000" w:themeColor="text1"/>
          <w:sz w:val="24"/>
          <w:szCs w:val="24"/>
        </w:rPr>
        <w:t>)</w:t>
      </w:r>
      <w:r>
        <w:rPr>
          <w:rFonts w:hint="eastAsia" w:ascii="宋体" w:hAnsi="宋体"/>
          <w:b/>
          <w:color w:val="000000" w:themeColor="text1"/>
          <w:sz w:val="24"/>
          <w:szCs w:val="24"/>
        </w:rPr>
        <w:t>。</w:t>
      </w:r>
    </w:p>
    <w:p>
      <w:pPr>
        <w:pStyle w:val="34"/>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34"/>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34"/>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34"/>
        <w:spacing w:line="420" w:lineRule="exact"/>
        <w:ind w:firstLine="470" w:firstLineChars="196"/>
        <w:rPr>
          <w:rFonts w:ascii="宋体"/>
          <w:color w:val="000000" w:themeColor="text1"/>
          <w:sz w:val="24"/>
          <w:szCs w:val="24"/>
        </w:rPr>
      </w:pP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竞买申请人（盖章）：</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法定代表人（本人签名）：</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联系人：</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地址：</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电话：</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申请日期：  年   月   日</w:t>
      </w:r>
    </w:p>
    <w:p>
      <w:pPr>
        <w:pStyle w:val="34"/>
        <w:spacing w:line="420" w:lineRule="exact"/>
        <w:ind w:left="0" w:firstLine="510"/>
        <w:rPr>
          <w:rFonts w:ascii="宋体"/>
          <w:color w:val="000000" w:themeColor="text1"/>
          <w:sz w:val="24"/>
          <w:szCs w:val="24"/>
        </w:rPr>
      </w:pPr>
    </w:p>
    <w:p>
      <w:pPr>
        <w:pStyle w:val="34"/>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12"/>
        <w:spacing w:before="0" w:after="0" w:line="600" w:lineRule="exact"/>
        <w:rPr>
          <w:rFonts w:ascii="黑体" w:eastAsia="黑体"/>
          <w:color w:val="000000" w:themeColor="text1"/>
          <w:sz w:val="44"/>
          <w:szCs w:val="44"/>
        </w:rPr>
      </w:pPr>
      <w:r>
        <w:rPr>
          <w:rFonts w:ascii="宋体" w:hAnsi="宋体" w:eastAsia="宋体"/>
          <w:color w:val="000000" w:themeColor="text1"/>
          <w:w w:val="90"/>
        </w:rPr>
        <w:br w:type="page"/>
      </w:r>
      <w:bookmarkStart w:id="12" w:name="_Toc3391976"/>
      <w:bookmarkStart w:id="13" w:name="_Toc3391747"/>
      <w:r>
        <w:rPr>
          <w:rFonts w:hint="eastAsia" w:ascii="黑体" w:eastAsia="黑体"/>
          <w:color w:val="000000" w:themeColor="text1"/>
          <w:sz w:val="44"/>
          <w:szCs w:val="44"/>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u w:val="single"/>
        </w:rPr>
        <w:t>2021</w:t>
      </w:r>
      <w:r>
        <w:rPr>
          <w:rFonts w:hint="eastAsia" w:ascii="仿宋_GB2312" w:hAnsi="仿宋_GB2312" w:eastAsia="仿宋_GB2312" w:cs="仿宋_GB2312"/>
          <w:color w:val="000000" w:themeColor="text1"/>
          <w:sz w:val="30"/>
          <w:szCs w:val="30"/>
          <w:u w:val="single"/>
        </w:rPr>
        <w:t>年  月  日</w:t>
      </w:r>
      <w:r>
        <w:rPr>
          <w:rFonts w:hint="eastAsia" w:ascii="仿宋_GB2312" w:hAnsi="仿宋_GB2312" w:eastAsia="仿宋_GB2312" w:cs="仿宋_GB2312"/>
          <w:color w:val="000000" w:themeColor="text1"/>
          <w:sz w:val="30"/>
          <w:szCs w:val="30"/>
        </w:rPr>
        <w:t>拍卖出让的地块竞买，我方所交保证金不属于银行贷款、股东借款、转贷和募集资金。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right="900" w:firstLine="750" w:firstLineChars="25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12"/>
        <w:rPr>
          <w:rFonts w:ascii="黑体" w:eastAsia="黑体"/>
          <w:color w:val="000000" w:themeColor="text1"/>
          <w:sz w:val="44"/>
          <w:szCs w:val="44"/>
        </w:rPr>
      </w:pPr>
      <w:r>
        <w:rPr>
          <w:rFonts w:ascii="仿宋_GB2312" w:hAnsi="仿宋_GB2312" w:eastAsia="仿宋_GB2312" w:cs="仿宋_GB2312"/>
          <w:color w:val="000000" w:themeColor="text1"/>
          <w:sz w:val="30"/>
          <w:szCs w:val="30"/>
        </w:rPr>
        <w:br w:type="page"/>
      </w:r>
      <w:bookmarkStart w:id="14" w:name="_Toc3391748"/>
      <w:bookmarkStart w:id="15" w:name="_Toc3391977"/>
      <w:r>
        <w:rPr>
          <w:rFonts w:hint="eastAsia" w:ascii="黑体" w:eastAsia="黑体"/>
          <w:color w:val="000000" w:themeColor="text1"/>
          <w:sz w:val="44"/>
          <w:szCs w:val="44"/>
        </w:rPr>
        <w:t>法定代表人身份证明书</w:t>
      </w:r>
      <w:bookmarkEnd w:id="14"/>
      <w:bookmarkEnd w:id="15"/>
    </w:p>
    <w:p>
      <w:pPr>
        <w:pStyle w:val="34"/>
        <w:spacing w:line="627" w:lineRule="atLeast"/>
        <w:ind w:left="0"/>
        <w:jc w:val="left"/>
        <w:rPr>
          <w:rFonts w:ascii="黑体" w:eastAsia="黑体"/>
          <w:color w:val="000000" w:themeColor="text1"/>
          <w:sz w:val="36"/>
          <w:szCs w:val="36"/>
        </w:rPr>
      </w:pPr>
    </w:p>
    <w:p>
      <w:pPr>
        <w:pStyle w:val="34"/>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pStyle w:val="34"/>
        <w:spacing w:line="627" w:lineRule="atLeast"/>
        <w:ind w:left="0" w:firstLine="750" w:firstLineChars="25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34"/>
        <w:spacing w:line="627" w:lineRule="atLeast"/>
        <w:ind w:firstLine="900" w:firstLineChars="300"/>
        <w:jc w:val="left"/>
        <w:rPr>
          <w:rFonts w:ascii="仿宋_GB2312" w:hAnsi="仿宋_GB2312" w:eastAsia="仿宋_GB2312" w:cs="仿宋_GB2312"/>
          <w:color w:val="000000" w:themeColor="text1"/>
          <w:sz w:val="30"/>
          <w:szCs w:val="30"/>
        </w:rPr>
      </w:pPr>
    </w:p>
    <w:p>
      <w:pPr>
        <w:pStyle w:val="34"/>
        <w:spacing w:line="627" w:lineRule="atLeast"/>
        <w:ind w:right="900"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left"/>
        <w:rPr>
          <w:rFonts w:ascii="宋体"/>
          <w:color w:val="000000" w:themeColor="text1"/>
          <w:sz w:val="28"/>
          <w:szCs w:val="28"/>
        </w:rPr>
      </w:pPr>
    </w:p>
    <w:p>
      <w:pPr>
        <w:pStyle w:val="34"/>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34"/>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34"/>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34"/>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34"/>
        <w:spacing w:line="586" w:lineRule="atLeast"/>
        <w:ind w:left="0" w:firstLine="560" w:firstLineChars="200"/>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12"/>
        <w:rPr>
          <w:rFonts w:ascii="黑体" w:eastAsia="黑体"/>
          <w:color w:val="000000" w:themeColor="text1"/>
          <w:sz w:val="44"/>
          <w:szCs w:val="44"/>
        </w:rPr>
      </w:pPr>
      <w:r>
        <w:rPr>
          <w:rFonts w:ascii="Dotum" w:eastAsia="Dotum" w:cs="Dotum"/>
          <w:color w:val="000000" w:themeColor="text1"/>
          <w:sz w:val="44"/>
          <w:szCs w:val="44"/>
        </w:rPr>
        <w:br w:type="page"/>
      </w:r>
      <w:bookmarkStart w:id="16" w:name="_Toc3391978"/>
      <w:bookmarkStart w:id="17" w:name="_Toc3391749"/>
      <w:r>
        <w:rPr>
          <w:rFonts w:hint="eastAsia" w:ascii="黑体" w:eastAsia="黑体"/>
          <w:color w:val="000000" w:themeColor="text1"/>
          <w:sz w:val="44"/>
          <w:szCs w:val="44"/>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举行的</w:t>
            </w:r>
            <w:r>
              <w:rPr>
                <w:rFonts w:hint="eastAsia" w:ascii="宋体" w:hAnsi="宋体"/>
                <w:b/>
                <w:color w:val="000000" w:themeColor="text1"/>
                <w:sz w:val="24"/>
                <w:u w:val="single"/>
              </w:rPr>
              <w:t>X</w:t>
            </w:r>
            <w:r>
              <w:rPr>
                <w:rFonts w:ascii="宋体" w:hAnsi="宋体"/>
                <w:b/>
                <w:color w:val="000000" w:themeColor="text1"/>
                <w:sz w:val="24"/>
                <w:u w:val="single"/>
              </w:rPr>
              <w:t>XX</w:t>
            </w:r>
            <w:r>
              <w:rPr>
                <w:rFonts w:hint="eastAsia" w:ascii="仿宋_GB2312"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ind w:firstLine="3360" w:firstLineChars="1400"/>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34"/>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r>
        <w:rPr>
          <w:rFonts w:ascii="方正小标宋简体" w:hAnsi="宋体" w:eastAsia="方正小标宋简体"/>
          <w:color w:val="000000" w:themeColor="text1"/>
          <w:spacing w:val="-5"/>
          <w:sz w:val="44"/>
          <w:szCs w:val="44"/>
        </w:rPr>
        <w:br w:type="page"/>
      </w:r>
      <w:r>
        <w:rPr>
          <w:rFonts w:hint="eastAsia" w:ascii="黑体" w:hAnsi="Cambria" w:eastAsia="黑体"/>
          <w:b/>
          <w:bCs/>
          <w:color w:val="000000" w:themeColor="text1"/>
          <w:sz w:val="44"/>
          <w:szCs w:val="44"/>
        </w:rPr>
        <w:t>国有建设用地使用权出让成交确认书</w:t>
      </w:r>
    </w:p>
    <w:p>
      <w:pPr>
        <w:spacing w:line="560" w:lineRule="exact"/>
        <w:jc w:val="center"/>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（出让人） </w:t>
      </w:r>
      <w:r>
        <w:rPr>
          <w:rFonts w:hint="eastAsia" w:ascii="仿宋_GB2312" w:hAnsi="宋体" w:eastAsia="仿宋_GB2312"/>
          <w:color w:val="000000" w:themeColor="text1"/>
          <w:sz w:val="30"/>
          <w:szCs w:val="30"/>
        </w:rPr>
        <w:t>委托， 年  月  日，</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rPr>
        <w:t>对</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u w:val="single"/>
        </w:rPr>
        <w:t>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公证员：                    </w:t>
      </w:r>
      <w:r>
        <w:rPr>
          <w:rFonts w:hint="eastAsia" w:ascii="仿宋_GB2312" w:hAnsi="宋体" w:eastAsia="仿宋_GB2312"/>
          <w:color w:val="000000" w:themeColor="text1"/>
          <w:sz w:val="30"/>
          <w:szCs w:val="30"/>
        </w:rPr>
        <w:t>签定时间：年   月   日</w:t>
      </w:r>
    </w:p>
    <w:p>
      <w:pPr>
        <w:pStyle w:val="34"/>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p>
    <w:p>
      <w:pPr>
        <w:pStyle w:val="34"/>
        <w:spacing w:line="600" w:lineRule="exact"/>
        <w:ind w:left="0"/>
        <w:rPr>
          <w:color w:val="000000" w:themeColor="text1"/>
        </w:rPr>
      </w:pPr>
    </w:p>
    <w:p>
      <w:pPr>
        <w:pStyle w:val="34"/>
        <w:spacing w:line="600" w:lineRule="exact"/>
        <w:rPr>
          <w:rFonts w:ascii="宋体"/>
          <w:color w:val="000000" w:themeColor="text1"/>
          <w:w w:val="90"/>
          <w:sz w:val="32"/>
          <w:szCs w:val="32"/>
        </w:rPr>
      </w:pPr>
      <w:r>
        <w:rPr>
          <w:color w:val="000000" w:themeColor="text1"/>
        </w:rPr>
        <w:pict>
          <v:shape id="AutoShape 6" o:spid="_x0000_s1029" o:spt="100" style="position:absolute;left:0pt;margin-left:0pt;margin-top:0pt;height:50pt;width:50pt;visibility:hidden;z-index:251660288;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o:connecttype="segments"/>
            <v:fill focussize="0,0"/>
            <v:stroke joinstyle="round"/>
            <v:imagedata o:title=""/>
            <o:lock v:ext="edit" selection="t"/>
            <v:textbox>
              <w:txbxContent>
                <w:p/>
              </w:txbxContent>
            </v:textbox>
          </v:shape>
        </w:pict>
      </w:r>
      <w:r>
        <w:rPr>
          <w:rFonts w:ascii="黑体" w:hAnsi="宋体" w:eastAsia="黑体" w:cs="黑体"/>
          <w:color w:val="000000" w:themeColor="text1"/>
          <w:sz w:val="36"/>
          <w:szCs w:val="36"/>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rPr>
      </w:pPr>
      <w:r>
        <w:rPr>
          <w:rFonts w:hint="eastAsia" w:hAnsi="宋体"/>
          <w:color w:val="000000" w:themeColor="text1"/>
        </w:rPr>
        <w:t>电子监管号：</w:t>
      </w:r>
    </w:p>
    <w:p>
      <w:pPr>
        <w:pStyle w:val="4"/>
        <w:rPr>
          <w:color w:val="000000" w:themeColor="text1"/>
        </w:rPr>
      </w:pPr>
    </w:p>
    <w:p>
      <w:pPr>
        <w:pStyle w:val="4"/>
        <w:rPr>
          <w:rFonts w:ascii="黑体" w:hAnsi="黑体" w:eastAsia="黑体"/>
          <w:color w:val="000000" w:themeColor="text1"/>
        </w:rPr>
      </w:pPr>
      <w:r>
        <w:rPr>
          <w:rFonts w:hint="eastAsia" w:ascii="黑体" w:hAnsi="黑体" w:eastAsia="黑体"/>
          <w:color w:val="000000" w:themeColor="text1"/>
        </w:rPr>
        <w:t>（样本）</w:t>
      </w:r>
    </w:p>
    <w:p>
      <w:pPr>
        <w:pStyle w:val="4"/>
        <w:rPr>
          <w:rStyle w:val="28"/>
          <w:rFonts w:hAnsi="宋体" w:cs="宋体"/>
          <w:color w:val="000000" w:themeColor="text1"/>
        </w:rPr>
      </w:pPr>
    </w:p>
    <w:p>
      <w:pPr>
        <w:pStyle w:val="4"/>
        <w:rPr>
          <w:rStyle w:val="28"/>
          <w:rFonts w:hAnsi="宋体" w:cs="宋体"/>
          <w:color w:val="000000" w:themeColor="text1"/>
        </w:rPr>
      </w:pPr>
    </w:p>
    <w:p>
      <w:pPr>
        <w:pStyle w:val="2"/>
        <w:jc w:val="center"/>
        <w:rPr>
          <w:rFonts w:ascii="宋体" w:hAnsi="宋体" w:eastAsia="宋体"/>
          <w:color w:val="000000" w:themeColor="text1"/>
          <w:sz w:val="18"/>
          <w:szCs w:val="18"/>
        </w:rPr>
      </w:pPr>
      <w:bookmarkStart w:id="18" w:name="_Toc3391751"/>
      <w:bookmarkStart w:id="19" w:name="_Toc3391980"/>
      <w:r>
        <w:rPr>
          <w:rFonts w:hint="eastAsia" w:ascii="宋体" w:hAnsi="宋体" w:eastAsia="宋体"/>
          <w:color w:val="000000" w:themeColor="text1"/>
        </w:rPr>
        <w:t>国有建设用地使用权出让合同</w:t>
      </w:r>
      <w:bookmarkEnd w:id="18"/>
      <w:bookmarkEnd w:id="19"/>
    </w:p>
    <w:p>
      <w:pPr>
        <w:pStyle w:val="4"/>
        <w:rPr>
          <w:rFonts w:hAnsi="宋体"/>
          <w:b/>
          <w:bCs/>
          <w:color w:val="000000" w:themeColor="text1"/>
          <w:sz w:val="18"/>
          <w:szCs w:val="1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spacing w:line="500" w:lineRule="exact"/>
        <w:jc w:val="left"/>
        <w:rPr>
          <w:rFonts w:hAnsi="宋体"/>
          <w:bCs/>
          <w:color w:val="000000" w:themeColor="text1"/>
        </w:rPr>
      </w:pPr>
      <w:r>
        <w:rPr>
          <w:color w:val="000000" w:themeColor="text1"/>
        </w:rPr>
        <w:pict>
          <v:rect id="Rectangle 7" o:spid="_x0000_s1028" o:spt="1" style="position:absolute;left:0pt;margin-left:319.5pt;margin-top:11.85pt;height:35.1pt;width:48.75pt;z-index:251661312;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Rectangle 8" o:spid="_x0000_s1027" o:spt="1" style="position:absolute;left:0pt;margin-left:36pt;margin-top:0pt;height:62.4pt;width:288pt;z-index:251661312;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hAnsi="宋体"/>
          <w:b/>
          <w:bCs/>
          <w:color w:val="000000" w:themeColor="text1"/>
          <w:sz w:val="36"/>
          <w:szCs w:val="36"/>
        </w:rPr>
      </w:pPr>
    </w:p>
    <w:p>
      <w:pPr>
        <w:pStyle w:val="4"/>
        <w:spacing w:line="578" w:lineRule="exact"/>
        <w:ind w:right="640"/>
        <w:jc w:val="right"/>
        <w:rPr>
          <w:rFonts w:hAnsi="宋体"/>
          <w:color w:val="000000" w:themeColor="text1"/>
          <w:sz w:val="28"/>
          <w:szCs w:val="28"/>
        </w:rPr>
      </w:pPr>
    </w:p>
    <w:p>
      <w:pPr>
        <w:pStyle w:val="4"/>
        <w:spacing w:line="578" w:lineRule="exact"/>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4"/>
        <w:spacing w:line="578" w:lineRule="exact"/>
        <w:jc w:val="center"/>
        <w:rPr>
          <w:rFonts w:ascii="方正小标宋简体" w:hAnsi="宋体" w:eastAsia="方正小标宋简体" w:cs="黑体"/>
          <w:color w:val="000000" w:themeColor="text1"/>
          <w:sz w:val="44"/>
          <w:szCs w:val="44"/>
        </w:rPr>
      </w:pPr>
    </w:p>
    <w:p>
      <w:pPr>
        <w:pStyle w:val="4"/>
        <w:spacing w:line="578"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s="黑体"/>
          <w:color w:val="000000" w:themeColor="text1"/>
          <w:sz w:val="44"/>
          <w:szCs w:val="44"/>
        </w:rPr>
        <w:t>国有建设用地使用权出让合同</w:t>
      </w:r>
    </w:p>
    <w:p>
      <w:pPr>
        <w:pStyle w:val="4"/>
        <w:spacing w:line="578" w:lineRule="exact"/>
        <w:jc w:val="center"/>
        <w:rPr>
          <w:rFonts w:hAnsi="宋体"/>
          <w:color w:val="000000" w:themeColor="text1"/>
          <w:sz w:val="28"/>
          <w:szCs w:val="28"/>
        </w:rPr>
      </w:pP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受让人：；</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4"/>
        <w:spacing w:line="578" w:lineRule="exact"/>
        <w:jc w:val="center"/>
        <w:rPr>
          <w:rFonts w:hAnsi="宋体" w:cs="仿宋_GB2312"/>
          <w:color w:val="000000" w:themeColor="text1"/>
          <w:sz w:val="28"/>
          <w:szCs w:val="28"/>
        </w:rPr>
      </w:pPr>
    </w:p>
    <w:p>
      <w:pPr>
        <w:pStyle w:val="4"/>
        <w:spacing w:line="578" w:lineRule="exact"/>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4"/>
        <w:spacing w:line="578" w:lineRule="exact"/>
        <w:jc w:val="center"/>
        <w:rPr>
          <w:rFonts w:hAnsi="宋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r>
        <w:rPr>
          <w:rFonts w:hint="eastAsia" w:hAnsi="宋体" w:cs="仿宋_GB2312"/>
          <w:color w:val="000000" w:themeColor="text1"/>
          <w:sz w:val="28"/>
          <w:szCs w:val="28"/>
          <w:u w:val="single"/>
        </w:rPr>
        <w:t>：</w:t>
      </w:r>
      <w:r>
        <w:rPr>
          <w:rFonts w:hint="eastAsia" w:hAnsi="宋体" w:cs="仿宋_GB2312"/>
          <w:color w:val="000000" w:themeColor="text1"/>
          <w:sz w:val="28"/>
          <w:szCs w:val="28"/>
        </w:rPr>
        <w:t>。</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主体建筑物性质；</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附属建筑物性质；</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建筑总面积平方米；</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建筑容积率不高于不低于</w:t>
      </w:r>
      <w:r>
        <w:rPr>
          <w:rFonts w:hint="eastAsia" w:hAnsi="宋体" w:cs="仿宋_GB2312"/>
          <w:b/>
          <w:bCs/>
          <w:color w:val="000000" w:themeColor="text1"/>
          <w:sz w:val="28"/>
          <w:szCs w:val="28"/>
        </w:rPr>
        <w:t>；</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建筑限高不高于不低于；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建筑密度不高于不低于；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绿地率不高于不低于；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其他土地利用要求。</w:t>
      </w:r>
    </w:p>
    <w:p>
      <w:pPr>
        <w:pStyle w:val="4"/>
        <w:spacing w:line="578" w:lineRule="exact"/>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4"/>
        <w:spacing w:line="578" w:lineRule="exact"/>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4"/>
        <w:spacing w:line="578" w:lineRule="exact"/>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4"/>
        <w:spacing w:line="578" w:lineRule="exact"/>
        <w:ind w:firstLine="560" w:firstLineChars="200"/>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4"/>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（一）提交仲裁委员会仲裁；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4"/>
        <w:spacing w:line="578" w:lineRule="exact"/>
        <w:jc w:val="center"/>
        <w:rPr>
          <w:rFonts w:hAnsi="宋体"/>
          <w:color w:val="000000" w:themeColor="text1"/>
          <w:sz w:val="28"/>
          <w:szCs w:val="28"/>
        </w:rPr>
      </w:pP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本合同和附件共页整，以中文书写为准。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份，具有同等法律效力。</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补充条款</w:t>
      </w:r>
      <w:r>
        <w:rPr>
          <w:rFonts w:hAnsi="宋体" w:cs="仿宋_GB2312"/>
          <w:color w:val="000000" w:themeColor="text1"/>
          <w:sz w:val="28"/>
          <w:szCs w:val="28"/>
        </w:rPr>
        <w:t>：</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ind w:firstLine="560" w:firstLineChars="200"/>
        <w:rPr>
          <w:rFonts w:hAnsi="宋体"/>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出让人（章）：受让人（章）：</w:t>
      </w:r>
    </w:p>
    <w:p>
      <w:pPr>
        <w:pStyle w:val="4"/>
        <w:spacing w:line="578" w:lineRule="exact"/>
        <w:rPr>
          <w:rFonts w:hAnsi="宋体" w:cs="仿宋_GB2312"/>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（签字）：（签字）：</w:t>
      </w:r>
    </w:p>
    <w:p>
      <w:pPr>
        <w:pStyle w:val="4"/>
        <w:spacing w:line="578" w:lineRule="exact"/>
        <w:rPr>
          <w:rFonts w:hAnsi="宋体"/>
          <w:color w:val="000000" w:themeColor="text1"/>
          <w:sz w:val="28"/>
          <w:szCs w:val="28"/>
        </w:rPr>
      </w:pPr>
    </w:p>
    <w:p>
      <w:pPr>
        <w:pStyle w:val="4"/>
        <w:spacing w:line="578" w:lineRule="exact"/>
        <w:rPr>
          <w:rFonts w:hAnsi="宋体"/>
          <w:color w:val="000000" w:themeColor="text1"/>
          <w:sz w:val="28"/>
          <w:szCs w:val="28"/>
        </w:rPr>
      </w:pPr>
    </w:p>
    <w:p>
      <w:pPr>
        <w:pStyle w:val="4"/>
        <w:ind w:firstLine="5180" w:firstLineChars="1850"/>
        <w:rPr>
          <w:rFonts w:hAnsi="宋体"/>
          <w:color w:val="000000" w:themeColor="text1"/>
        </w:rPr>
      </w:pPr>
      <w:r>
        <w:rPr>
          <w:rFonts w:hint="eastAsia" w:hAnsi="宋体" w:cs="仿宋_GB2312"/>
          <w:color w:val="000000" w:themeColor="text1"/>
          <w:sz w:val="28"/>
          <w:szCs w:val="28"/>
        </w:rPr>
        <w:t>年  月  日</w:t>
      </w:r>
    </w:p>
    <w:p>
      <w:pPr>
        <w:pStyle w:val="4"/>
        <w:spacing w:line="578" w:lineRule="exact"/>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rPr>
      </w:pPr>
      <w:bookmarkStart w:id="20" w:name="_Toc3391981"/>
      <w:r>
        <w:rPr>
          <w:rFonts w:hint="eastAsia" w:ascii="黑体" w:hAnsi="宋体" w:eastAsia="黑体"/>
          <w:color w:val="000000" w:themeColor="text1"/>
          <w:sz w:val="44"/>
          <w:szCs w:val="44"/>
        </w:rPr>
        <w:t>国有建设用地交接地确认书</w:t>
      </w:r>
      <w:bookmarkEnd w:id="20"/>
    </w:p>
    <w:p>
      <w:pPr>
        <w:jc w:val="center"/>
        <w:rPr>
          <w:rFonts w:ascii="方正小标宋简体" w:eastAsia="仿宋_GB2312"/>
          <w:color w:val="000000" w:themeColor="text1"/>
          <w:sz w:val="32"/>
          <w:szCs w:val="32"/>
        </w:rPr>
      </w:pP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《国有建设用地使用权划拨决定书》的相关要求，地块已达到交地条件，从即日起取得该宗地的国有建设用地使用权。</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局于</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年</w:t>
      </w:r>
      <w:r>
        <w:rPr>
          <w:rFonts w:hint="eastAsia" w:ascii="仿宋" w:hAnsi="仿宋" w:eastAsia="仿宋" w:cs="仿宋"/>
          <w:b/>
          <w:color w:val="000000" w:themeColor="text1"/>
          <w:sz w:val="32"/>
          <w:szCs w:val="32"/>
          <w:lang w:val="en-US" w:eastAsia="zh-CN"/>
        </w:rPr>
        <w:t xml:space="preserve"> </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月</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交地方：            （印章）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4176" w:firstLineChars="13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spacing w:line="560" w:lineRule="exact"/>
        <w:ind w:firstLine="645"/>
        <w:rPr>
          <w:rFonts w:ascii="仿宋" w:hAnsi="仿宋" w:eastAsia="仿宋" w:cs="仿宋"/>
          <w:color w:val="000000" w:themeColor="text1"/>
          <w:sz w:val="32"/>
          <w:szCs w:val="32"/>
        </w:rPr>
      </w:pPr>
    </w:p>
    <w:p>
      <w:pPr>
        <w:spacing w:line="560" w:lineRule="exact"/>
        <w:ind w:firstLine="645"/>
        <w:rPr>
          <w:rFonts w:ascii="仿宋" w:hAnsi="仿宋" w:eastAsia="仿宋" w:cs="仿宋"/>
          <w:color w:val="000000" w:themeColor="text1"/>
          <w:sz w:val="32"/>
          <w:szCs w:val="32"/>
        </w:rPr>
      </w:pPr>
    </w:p>
    <w:p>
      <w:pPr>
        <w:spacing w:line="560" w:lineRule="exact"/>
        <w:jc w:val="center"/>
        <w:rPr>
          <w:rFonts w:ascii="黑体" w:hAnsi="黑体" w:eastAsia="黑体" w:cs="仿宋"/>
          <w:color w:val="000000" w:themeColor="text1"/>
          <w:sz w:val="44"/>
          <w:szCs w:val="44"/>
        </w:rPr>
      </w:pPr>
    </w:p>
    <w:p>
      <w:pPr>
        <w:spacing w:line="560" w:lineRule="exact"/>
        <w:jc w:val="center"/>
        <w:rPr>
          <w:rFonts w:ascii="黑体" w:hAnsi="黑体" w:eastAsia="黑体" w:cs="仿宋"/>
          <w:color w:val="000000" w:themeColor="text1"/>
          <w:sz w:val="44"/>
          <w:szCs w:val="44"/>
        </w:rPr>
      </w:pPr>
      <w:r>
        <w:rPr>
          <w:rFonts w:hint="eastAsia" w:ascii="黑体" w:hAnsi="黑体" w:eastAsia="黑体" w:cs="仿宋"/>
          <w:color w:val="000000" w:themeColor="text1"/>
          <w:sz w:val="44"/>
          <w:szCs w:val="44"/>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4"/>
        <w:ind w:left="-141" w:leftChars="-67" w:right="480"/>
        <w:jc w:val="center"/>
        <w:rPr>
          <w:rFonts w:ascii="黑体" w:hAnsi="宋体" w:eastAsia="黑体"/>
          <w:color w:val="000000" w:themeColor="text1"/>
          <w:sz w:val="44"/>
          <w:szCs w:val="44"/>
        </w:rPr>
      </w:pPr>
    </w:p>
    <w:p>
      <w:pPr>
        <w:pStyle w:val="4"/>
        <w:ind w:left="-141" w:leftChars="-67" w:right="480"/>
        <w:jc w:val="center"/>
        <w:rPr>
          <w:rFonts w:ascii="黑体" w:hAnsi="宋体" w:eastAsia="黑体"/>
          <w:color w:val="000000" w:themeColor="text1"/>
          <w:sz w:val="44"/>
          <w:szCs w:val="44"/>
        </w:rPr>
      </w:pPr>
      <w:r>
        <w:rPr>
          <w:rFonts w:hint="eastAsia" w:ascii="黑体" w:hAnsi="宋体" w:eastAsia="黑体"/>
          <w:color w:val="000000" w:themeColor="text1"/>
          <w:sz w:val="44"/>
          <w:szCs w:val="44"/>
        </w:rPr>
        <w:t>建设项目动工开发申报书</w:t>
      </w:r>
    </w:p>
    <w:p>
      <w:pPr>
        <w:pStyle w:val="4"/>
        <w:ind w:left="-141" w:leftChars="-67" w:right="480"/>
        <w:jc w:val="left"/>
        <w:rPr>
          <w:rFonts w:hAnsi="宋体"/>
          <w:color w:val="000000" w:themeColor="text1"/>
        </w:rPr>
      </w:pPr>
    </w:p>
    <w:p>
      <w:pPr>
        <w:pStyle w:val="4"/>
        <w:ind w:right="480"/>
        <w:jc w:val="left"/>
        <w:rPr>
          <w:rFonts w:hAnsi="宋体"/>
          <w:color w:val="000000" w:themeColor="text1"/>
        </w:rPr>
      </w:pPr>
      <w:r>
        <w:rPr>
          <w:rFonts w:hint="eastAsia" w:hAnsi="宋体"/>
          <w:color w:val="000000" w:themeColor="text1"/>
        </w:rPr>
        <w:t>×××局：</w:t>
      </w:r>
    </w:p>
    <w:p>
      <w:pPr>
        <w:pStyle w:val="4"/>
        <w:ind w:left="-141" w:leftChars="-67" w:right="480" w:firstLine="480" w:firstLineChars="15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rPr>
        <w:t>。</w:t>
      </w:r>
    </w:p>
    <w:p>
      <w:pPr>
        <w:pStyle w:val="4"/>
        <w:ind w:left="-141" w:leftChars="-67" w:right="480" w:firstLine="480" w:firstLineChars="150"/>
        <w:jc w:val="left"/>
        <w:rPr>
          <w:rFonts w:hAnsi="宋体"/>
          <w:color w:val="000000" w:themeColor="text1"/>
        </w:rPr>
      </w:pPr>
      <w:r>
        <w:rPr>
          <w:rFonts w:hint="eastAsia" w:hAnsi="宋体"/>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rPr>
      </w:pPr>
      <w:r>
        <w:rPr>
          <w:rFonts w:hint="eastAsia" w:hAnsi="宋体"/>
          <w:color w:val="000000" w:themeColor="text1"/>
        </w:rPr>
        <w:t>特此申报。</w:t>
      </w:r>
    </w:p>
    <w:p>
      <w:pPr>
        <w:pStyle w:val="4"/>
        <w:ind w:left="-141" w:leftChars="-67" w:right="480"/>
        <w:jc w:val="left"/>
        <w:rPr>
          <w:rFonts w:hAnsi="宋体"/>
          <w:color w:val="000000" w:themeColor="text1"/>
        </w:rPr>
      </w:pPr>
    </w:p>
    <w:p>
      <w:pPr>
        <w:pStyle w:val="4"/>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4"/>
        <w:wordWrap w:val="0"/>
        <w:ind w:left="-141" w:leftChars="-67" w:right="800"/>
        <w:jc w:val="right"/>
        <w:rPr>
          <w:rFonts w:hAnsi="宋体"/>
          <w:color w:val="000000" w:themeColor="text1"/>
        </w:rPr>
      </w:pPr>
      <w:r>
        <w:rPr>
          <w:rFonts w:hint="eastAsia" w:hAnsi="宋体"/>
          <w:color w:val="000000" w:themeColor="text1"/>
        </w:rPr>
        <w:t>年 月 日</w:t>
      </w:r>
    </w:p>
    <w:p>
      <w:pPr>
        <w:pStyle w:val="4"/>
        <w:ind w:left="-141" w:leftChars="-67" w:right="480"/>
        <w:jc w:val="left"/>
        <w:rPr>
          <w:rFonts w:hAnsi="宋体"/>
          <w:color w:val="000000" w:themeColor="text1"/>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你局向我方核发的国有建设用地划拨决定书，划拨决定书电子监管号为），宗地四至为，面积为平方米，约定动工日期为年月日，土地权利证号。</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我方在上述宗地按号《建设工程规划许可证》要求建设了项目，已于年月日竣工，完成出让合同（划拨决定书）规定的规划建设内容。请予校验核实。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黑体_GBK">
    <w:panose1 w:val="03000509000000000000"/>
    <w:charset w:val="86"/>
    <w:family w:val="script"/>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6" o:spid="_x0000_s2052"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7" o:spid="_x0000_s2051" o:spt="202" type="#_x0000_t202" style="position:absolute;left:0pt;margin-top:0pt;height:10.35pt;width:4.55pt;mso-position-horizontal:right;mso-position-horizontal-relative:margin;mso-wrap-style:none;z-index:25166643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8" o:spid="_x0000_s2050" o:spt="202" type="#_x0000_t202" style="position:absolute;left:0pt;margin-top:0pt;height:10.35pt;width:9.05pt;mso-position-horizontal:right;mso-position-horizontal-relative:margin;mso-wrap-style:none;z-index:25166438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30</w:t>
                </w:r>
                <w:r>
                  <w:rPr>
                    <w:lang w:val="zh-CN"/>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9" o:spid="_x0000_s2049" o:spt="202" type="#_x0000_t202" style="position:absolute;left:0pt;margin-top:0pt;height:10.35pt;width:9.05pt;mso-position-horizontal:right;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381D7D"/>
    <w:rsid w:val="00005CB8"/>
    <w:rsid w:val="0001446D"/>
    <w:rsid w:val="0001456E"/>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C512D"/>
    <w:rsid w:val="000D17E6"/>
    <w:rsid w:val="000D28F8"/>
    <w:rsid w:val="000D3955"/>
    <w:rsid w:val="000E3493"/>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13CB"/>
    <w:rsid w:val="00171736"/>
    <w:rsid w:val="00176BEE"/>
    <w:rsid w:val="00177F59"/>
    <w:rsid w:val="00182313"/>
    <w:rsid w:val="00182674"/>
    <w:rsid w:val="001849B2"/>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05B2"/>
    <w:rsid w:val="00253807"/>
    <w:rsid w:val="0025569D"/>
    <w:rsid w:val="00256765"/>
    <w:rsid w:val="00260DEB"/>
    <w:rsid w:val="00265FCB"/>
    <w:rsid w:val="00270033"/>
    <w:rsid w:val="00271597"/>
    <w:rsid w:val="00273103"/>
    <w:rsid w:val="00280F72"/>
    <w:rsid w:val="00291512"/>
    <w:rsid w:val="00292C2B"/>
    <w:rsid w:val="002A09DD"/>
    <w:rsid w:val="002A1020"/>
    <w:rsid w:val="002A2A5A"/>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3026FD"/>
    <w:rsid w:val="003055EA"/>
    <w:rsid w:val="00310264"/>
    <w:rsid w:val="00311336"/>
    <w:rsid w:val="003235F6"/>
    <w:rsid w:val="00324175"/>
    <w:rsid w:val="00327996"/>
    <w:rsid w:val="00330403"/>
    <w:rsid w:val="0033062A"/>
    <w:rsid w:val="003349CC"/>
    <w:rsid w:val="0034122B"/>
    <w:rsid w:val="0034334B"/>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3CC"/>
    <w:rsid w:val="00411519"/>
    <w:rsid w:val="00413AE8"/>
    <w:rsid w:val="00415951"/>
    <w:rsid w:val="004173EA"/>
    <w:rsid w:val="00417927"/>
    <w:rsid w:val="00420668"/>
    <w:rsid w:val="004243A2"/>
    <w:rsid w:val="004252F2"/>
    <w:rsid w:val="00426100"/>
    <w:rsid w:val="00434234"/>
    <w:rsid w:val="00437E6F"/>
    <w:rsid w:val="00445175"/>
    <w:rsid w:val="00447C97"/>
    <w:rsid w:val="00447DE7"/>
    <w:rsid w:val="00453F39"/>
    <w:rsid w:val="00454B2E"/>
    <w:rsid w:val="00457421"/>
    <w:rsid w:val="0046082D"/>
    <w:rsid w:val="0046186E"/>
    <w:rsid w:val="00461FAB"/>
    <w:rsid w:val="00465846"/>
    <w:rsid w:val="0046770E"/>
    <w:rsid w:val="00467912"/>
    <w:rsid w:val="00473DBF"/>
    <w:rsid w:val="004742E7"/>
    <w:rsid w:val="00476150"/>
    <w:rsid w:val="00476358"/>
    <w:rsid w:val="00483A0F"/>
    <w:rsid w:val="004851CE"/>
    <w:rsid w:val="004935C4"/>
    <w:rsid w:val="004A0672"/>
    <w:rsid w:val="004A1B6A"/>
    <w:rsid w:val="004A29A7"/>
    <w:rsid w:val="004A39A5"/>
    <w:rsid w:val="004B0B4C"/>
    <w:rsid w:val="004B41A6"/>
    <w:rsid w:val="004B5459"/>
    <w:rsid w:val="004B5F1C"/>
    <w:rsid w:val="004B7005"/>
    <w:rsid w:val="004B7400"/>
    <w:rsid w:val="004C0748"/>
    <w:rsid w:val="004C1A60"/>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2113C"/>
    <w:rsid w:val="00523EAD"/>
    <w:rsid w:val="00524E38"/>
    <w:rsid w:val="005308EF"/>
    <w:rsid w:val="00530B1F"/>
    <w:rsid w:val="00533D25"/>
    <w:rsid w:val="005348A9"/>
    <w:rsid w:val="00536417"/>
    <w:rsid w:val="00554A0F"/>
    <w:rsid w:val="00555FE0"/>
    <w:rsid w:val="00563CCD"/>
    <w:rsid w:val="0057687B"/>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400"/>
    <w:rsid w:val="006B76F7"/>
    <w:rsid w:val="006C0987"/>
    <w:rsid w:val="006C336D"/>
    <w:rsid w:val="006C5540"/>
    <w:rsid w:val="006C58F0"/>
    <w:rsid w:val="006D58D2"/>
    <w:rsid w:val="006E3F71"/>
    <w:rsid w:val="006E4100"/>
    <w:rsid w:val="006E462A"/>
    <w:rsid w:val="006E4D01"/>
    <w:rsid w:val="006E6F1A"/>
    <w:rsid w:val="006F0FC4"/>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25EF"/>
    <w:rsid w:val="007A4F2F"/>
    <w:rsid w:val="007A61CF"/>
    <w:rsid w:val="007B0ECF"/>
    <w:rsid w:val="007B4CD9"/>
    <w:rsid w:val="007C083D"/>
    <w:rsid w:val="007C0910"/>
    <w:rsid w:val="007C1CC7"/>
    <w:rsid w:val="007C2D9D"/>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272CD"/>
    <w:rsid w:val="00833446"/>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261E"/>
    <w:rsid w:val="008B4CA0"/>
    <w:rsid w:val="008C1D25"/>
    <w:rsid w:val="008C3B9B"/>
    <w:rsid w:val="008C4B3C"/>
    <w:rsid w:val="008C7754"/>
    <w:rsid w:val="008D0522"/>
    <w:rsid w:val="008D0E33"/>
    <w:rsid w:val="008D109B"/>
    <w:rsid w:val="008D1470"/>
    <w:rsid w:val="008D331A"/>
    <w:rsid w:val="008D3B54"/>
    <w:rsid w:val="008D79C1"/>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53C1"/>
    <w:rsid w:val="00946FE0"/>
    <w:rsid w:val="00947BCF"/>
    <w:rsid w:val="00950D95"/>
    <w:rsid w:val="0095603D"/>
    <w:rsid w:val="0095642C"/>
    <w:rsid w:val="009605ED"/>
    <w:rsid w:val="00962E09"/>
    <w:rsid w:val="00963318"/>
    <w:rsid w:val="00964C8A"/>
    <w:rsid w:val="00965A46"/>
    <w:rsid w:val="00970555"/>
    <w:rsid w:val="0097220F"/>
    <w:rsid w:val="009802A2"/>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7829"/>
    <w:rsid w:val="009E21FF"/>
    <w:rsid w:val="009E2EDB"/>
    <w:rsid w:val="009E502E"/>
    <w:rsid w:val="009E78C7"/>
    <w:rsid w:val="009F0745"/>
    <w:rsid w:val="009F249F"/>
    <w:rsid w:val="009F32EE"/>
    <w:rsid w:val="009F35C6"/>
    <w:rsid w:val="009F3F08"/>
    <w:rsid w:val="009F5BFB"/>
    <w:rsid w:val="009F740F"/>
    <w:rsid w:val="00A00BCC"/>
    <w:rsid w:val="00A012DE"/>
    <w:rsid w:val="00A04FDF"/>
    <w:rsid w:val="00A0561C"/>
    <w:rsid w:val="00A104B8"/>
    <w:rsid w:val="00A12205"/>
    <w:rsid w:val="00A127E5"/>
    <w:rsid w:val="00A169A8"/>
    <w:rsid w:val="00A21B04"/>
    <w:rsid w:val="00A23C18"/>
    <w:rsid w:val="00A33953"/>
    <w:rsid w:val="00A34857"/>
    <w:rsid w:val="00A41050"/>
    <w:rsid w:val="00A459F9"/>
    <w:rsid w:val="00A45ACA"/>
    <w:rsid w:val="00A469BB"/>
    <w:rsid w:val="00A56A0A"/>
    <w:rsid w:val="00A56CFB"/>
    <w:rsid w:val="00A575CA"/>
    <w:rsid w:val="00A57825"/>
    <w:rsid w:val="00A71758"/>
    <w:rsid w:val="00A722AF"/>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4262"/>
    <w:rsid w:val="00AD60E8"/>
    <w:rsid w:val="00AE37F0"/>
    <w:rsid w:val="00AE66FD"/>
    <w:rsid w:val="00AE75F5"/>
    <w:rsid w:val="00AF30CA"/>
    <w:rsid w:val="00AF40D0"/>
    <w:rsid w:val="00AF49F2"/>
    <w:rsid w:val="00AF7ADC"/>
    <w:rsid w:val="00B019E0"/>
    <w:rsid w:val="00B01A31"/>
    <w:rsid w:val="00B0610E"/>
    <w:rsid w:val="00B06BAC"/>
    <w:rsid w:val="00B077AD"/>
    <w:rsid w:val="00B10AAE"/>
    <w:rsid w:val="00B11E05"/>
    <w:rsid w:val="00B1211A"/>
    <w:rsid w:val="00B131E7"/>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B0038"/>
    <w:rsid w:val="00BB371C"/>
    <w:rsid w:val="00BB54F9"/>
    <w:rsid w:val="00BB55DA"/>
    <w:rsid w:val="00BC0563"/>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36B6"/>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A6D1D"/>
    <w:rsid w:val="00CB1156"/>
    <w:rsid w:val="00CC1A44"/>
    <w:rsid w:val="00CC28C8"/>
    <w:rsid w:val="00CC4CC1"/>
    <w:rsid w:val="00CC62FF"/>
    <w:rsid w:val="00CC6EB2"/>
    <w:rsid w:val="00CD3DB7"/>
    <w:rsid w:val="00CE00D6"/>
    <w:rsid w:val="00CE28C5"/>
    <w:rsid w:val="00CE4A09"/>
    <w:rsid w:val="00CE61B2"/>
    <w:rsid w:val="00CE6C09"/>
    <w:rsid w:val="00CF24CB"/>
    <w:rsid w:val="00CF5254"/>
    <w:rsid w:val="00D027AD"/>
    <w:rsid w:val="00D02A5E"/>
    <w:rsid w:val="00D033D6"/>
    <w:rsid w:val="00D04275"/>
    <w:rsid w:val="00D07BFC"/>
    <w:rsid w:val="00D16877"/>
    <w:rsid w:val="00D2163E"/>
    <w:rsid w:val="00D21B59"/>
    <w:rsid w:val="00D34BFE"/>
    <w:rsid w:val="00D37EFE"/>
    <w:rsid w:val="00D502DD"/>
    <w:rsid w:val="00D54BD2"/>
    <w:rsid w:val="00D559F4"/>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A0224"/>
    <w:rsid w:val="00DA10A1"/>
    <w:rsid w:val="00DA4EC6"/>
    <w:rsid w:val="00DA64D4"/>
    <w:rsid w:val="00DA7315"/>
    <w:rsid w:val="00DB30EC"/>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7CA6"/>
    <w:rsid w:val="00EC0B3D"/>
    <w:rsid w:val="00EC1570"/>
    <w:rsid w:val="00EC3320"/>
    <w:rsid w:val="00ED3AC3"/>
    <w:rsid w:val="00ED4CC4"/>
    <w:rsid w:val="00ED4E76"/>
    <w:rsid w:val="00ED6307"/>
    <w:rsid w:val="00ED6BDE"/>
    <w:rsid w:val="00ED7FA5"/>
    <w:rsid w:val="00EE1AF2"/>
    <w:rsid w:val="00EE445A"/>
    <w:rsid w:val="00EE503F"/>
    <w:rsid w:val="00EE5414"/>
    <w:rsid w:val="00EF0BF7"/>
    <w:rsid w:val="00EF778C"/>
    <w:rsid w:val="00F00A4C"/>
    <w:rsid w:val="00F02FD2"/>
    <w:rsid w:val="00F03066"/>
    <w:rsid w:val="00F069E9"/>
    <w:rsid w:val="00F10224"/>
    <w:rsid w:val="00F10ADD"/>
    <w:rsid w:val="00F11623"/>
    <w:rsid w:val="00F1162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7BA9"/>
    <w:rsid w:val="00F831BD"/>
    <w:rsid w:val="00F86296"/>
    <w:rsid w:val="00F871B6"/>
    <w:rsid w:val="00F92F5F"/>
    <w:rsid w:val="00F93AAF"/>
    <w:rsid w:val="00F94E1E"/>
    <w:rsid w:val="00F97C26"/>
    <w:rsid w:val="00FA15CE"/>
    <w:rsid w:val="00FA4D29"/>
    <w:rsid w:val="00FB0064"/>
    <w:rsid w:val="00FB0B96"/>
    <w:rsid w:val="00FB6B3E"/>
    <w:rsid w:val="00FC5906"/>
    <w:rsid w:val="00FD0152"/>
    <w:rsid w:val="00FD17E6"/>
    <w:rsid w:val="00FD19A5"/>
    <w:rsid w:val="00FD268D"/>
    <w:rsid w:val="00FD3163"/>
    <w:rsid w:val="00FD3832"/>
    <w:rsid w:val="00FD68AF"/>
    <w:rsid w:val="00FE0D35"/>
    <w:rsid w:val="00FE153F"/>
    <w:rsid w:val="00FE5D43"/>
    <w:rsid w:val="00FE7476"/>
    <w:rsid w:val="00FF0451"/>
    <w:rsid w:val="00FF17A3"/>
    <w:rsid w:val="00FF3B64"/>
    <w:rsid w:val="01BB709B"/>
    <w:rsid w:val="01EB1421"/>
    <w:rsid w:val="02683395"/>
    <w:rsid w:val="029972DE"/>
    <w:rsid w:val="02D46B9C"/>
    <w:rsid w:val="034A565C"/>
    <w:rsid w:val="038D2C79"/>
    <w:rsid w:val="038F57CD"/>
    <w:rsid w:val="03AA19C7"/>
    <w:rsid w:val="03B74AF0"/>
    <w:rsid w:val="03DE645D"/>
    <w:rsid w:val="04430AA5"/>
    <w:rsid w:val="04B417B8"/>
    <w:rsid w:val="04BB683E"/>
    <w:rsid w:val="04C05D0D"/>
    <w:rsid w:val="055F5F8F"/>
    <w:rsid w:val="05E1083F"/>
    <w:rsid w:val="05EB6930"/>
    <w:rsid w:val="06071262"/>
    <w:rsid w:val="06D24CA6"/>
    <w:rsid w:val="06FA7189"/>
    <w:rsid w:val="070078AF"/>
    <w:rsid w:val="076C1960"/>
    <w:rsid w:val="07C85206"/>
    <w:rsid w:val="07CE7F6A"/>
    <w:rsid w:val="07D360F9"/>
    <w:rsid w:val="08831E6D"/>
    <w:rsid w:val="08B20E87"/>
    <w:rsid w:val="08F8506B"/>
    <w:rsid w:val="09563133"/>
    <w:rsid w:val="09716552"/>
    <w:rsid w:val="09930DCF"/>
    <w:rsid w:val="0A0A4443"/>
    <w:rsid w:val="0A3E6052"/>
    <w:rsid w:val="0A555DC8"/>
    <w:rsid w:val="0A617182"/>
    <w:rsid w:val="0B1166D4"/>
    <w:rsid w:val="0B1A4AB9"/>
    <w:rsid w:val="0B230F97"/>
    <w:rsid w:val="0B8879F4"/>
    <w:rsid w:val="0C497608"/>
    <w:rsid w:val="0CD833D2"/>
    <w:rsid w:val="0D0A64B3"/>
    <w:rsid w:val="0D976C72"/>
    <w:rsid w:val="0DE1762A"/>
    <w:rsid w:val="0E2D6DD1"/>
    <w:rsid w:val="0E5731F5"/>
    <w:rsid w:val="0EC02526"/>
    <w:rsid w:val="0F035EBA"/>
    <w:rsid w:val="0F497786"/>
    <w:rsid w:val="0F8E6491"/>
    <w:rsid w:val="10C679D7"/>
    <w:rsid w:val="10EA6A3A"/>
    <w:rsid w:val="11623ABF"/>
    <w:rsid w:val="11797BE6"/>
    <w:rsid w:val="11ED5568"/>
    <w:rsid w:val="11EE1DEE"/>
    <w:rsid w:val="12223B9B"/>
    <w:rsid w:val="123B4129"/>
    <w:rsid w:val="128C0E51"/>
    <w:rsid w:val="12B12487"/>
    <w:rsid w:val="13245BF3"/>
    <w:rsid w:val="132F26C0"/>
    <w:rsid w:val="13557F4C"/>
    <w:rsid w:val="13ED13EF"/>
    <w:rsid w:val="14431282"/>
    <w:rsid w:val="146D5FF7"/>
    <w:rsid w:val="147156EC"/>
    <w:rsid w:val="147F467C"/>
    <w:rsid w:val="14E16390"/>
    <w:rsid w:val="155F7C00"/>
    <w:rsid w:val="15994615"/>
    <w:rsid w:val="15CA3584"/>
    <w:rsid w:val="165501C7"/>
    <w:rsid w:val="1669724D"/>
    <w:rsid w:val="16801789"/>
    <w:rsid w:val="175B5274"/>
    <w:rsid w:val="192906CA"/>
    <w:rsid w:val="193057B7"/>
    <w:rsid w:val="1B3A1F86"/>
    <w:rsid w:val="1B862486"/>
    <w:rsid w:val="1DC854F7"/>
    <w:rsid w:val="1DCF1CAD"/>
    <w:rsid w:val="1EAB2DDE"/>
    <w:rsid w:val="1EAE1A51"/>
    <w:rsid w:val="1F180CEC"/>
    <w:rsid w:val="1FF6360A"/>
    <w:rsid w:val="202662CF"/>
    <w:rsid w:val="20652C6C"/>
    <w:rsid w:val="20C02E3B"/>
    <w:rsid w:val="20E5353A"/>
    <w:rsid w:val="21300BE1"/>
    <w:rsid w:val="215C6E1C"/>
    <w:rsid w:val="21916B72"/>
    <w:rsid w:val="21AD621F"/>
    <w:rsid w:val="22B4258F"/>
    <w:rsid w:val="22FB3716"/>
    <w:rsid w:val="23767810"/>
    <w:rsid w:val="23AD634E"/>
    <w:rsid w:val="23E54776"/>
    <w:rsid w:val="23F01B5E"/>
    <w:rsid w:val="2404472D"/>
    <w:rsid w:val="244B0FB9"/>
    <w:rsid w:val="249F1FCC"/>
    <w:rsid w:val="250840B1"/>
    <w:rsid w:val="2512360C"/>
    <w:rsid w:val="2681566A"/>
    <w:rsid w:val="26993A1D"/>
    <w:rsid w:val="269F7E2E"/>
    <w:rsid w:val="26AF0309"/>
    <w:rsid w:val="27CE0267"/>
    <w:rsid w:val="283B1077"/>
    <w:rsid w:val="283D005B"/>
    <w:rsid w:val="2891373D"/>
    <w:rsid w:val="289F46CC"/>
    <w:rsid w:val="28AF3A48"/>
    <w:rsid w:val="2959300C"/>
    <w:rsid w:val="29C36319"/>
    <w:rsid w:val="2A524AC0"/>
    <w:rsid w:val="2AA37C56"/>
    <w:rsid w:val="2AA62BFF"/>
    <w:rsid w:val="2AFB5D0D"/>
    <w:rsid w:val="2C2C4570"/>
    <w:rsid w:val="2D2B72D6"/>
    <w:rsid w:val="2D730CF1"/>
    <w:rsid w:val="2DAB3E8A"/>
    <w:rsid w:val="2DEE5E96"/>
    <w:rsid w:val="2DFB7CF8"/>
    <w:rsid w:val="2E1100C3"/>
    <w:rsid w:val="2E1170AF"/>
    <w:rsid w:val="2E5659FD"/>
    <w:rsid w:val="2E69637E"/>
    <w:rsid w:val="2EF52380"/>
    <w:rsid w:val="2F246B5F"/>
    <w:rsid w:val="2F3436B1"/>
    <w:rsid w:val="2F52394D"/>
    <w:rsid w:val="2FE843C0"/>
    <w:rsid w:val="306F1C58"/>
    <w:rsid w:val="308C2EED"/>
    <w:rsid w:val="31070868"/>
    <w:rsid w:val="31D60342"/>
    <w:rsid w:val="31ED1E3A"/>
    <w:rsid w:val="32125574"/>
    <w:rsid w:val="327B74C9"/>
    <w:rsid w:val="33147AFF"/>
    <w:rsid w:val="33853158"/>
    <w:rsid w:val="338A7999"/>
    <w:rsid w:val="33A45660"/>
    <w:rsid w:val="33DC02C1"/>
    <w:rsid w:val="343C0AB6"/>
    <w:rsid w:val="34613B15"/>
    <w:rsid w:val="346C488F"/>
    <w:rsid w:val="34D461E6"/>
    <w:rsid w:val="357D237E"/>
    <w:rsid w:val="35A640C7"/>
    <w:rsid w:val="35CA5CF9"/>
    <w:rsid w:val="35D85810"/>
    <w:rsid w:val="365111B7"/>
    <w:rsid w:val="368532F2"/>
    <w:rsid w:val="3686532B"/>
    <w:rsid w:val="37232884"/>
    <w:rsid w:val="37A26727"/>
    <w:rsid w:val="37A84496"/>
    <w:rsid w:val="37DA4387"/>
    <w:rsid w:val="39525AEE"/>
    <w:rsid w:val="3965620F"/>
    <w:rsid w:val="39C15E10"/>
    <w:rsid w:val="3A524E5A"/>
    <w:rsid w:val="3A9459CA"/>
    <w:rsid w:val="3B373BF0"/>
    <w:rsid w:val="3B3E5006"/>
    <w:rsid w:val="3B586279"/>
    <w:rsid w:val="3B970C5E"/>
    <w:rsid w:val="3BF5424D"/>
    <w:rsid w:val="3C5F15F7"/>
    <w:rsid w:val="3CAC0CBC"/>
    <w:rsid w:val="3CE50140"/>
    <w:rsid w:val="3CED456F"/>
    <w:rsid w:val="3D1179C2"/>
    <w:rsid w:val="3D170603"/>
    <w:rsid w:val="3DBC6E76"/>
    <w:rsid w:val="3DCE3DD0"/>
    <w:rsid w:val="3DF86F11"/>
    <w:rsid w:val="3E4C593B"/>
    <w:rsid w:val="3E637C3C"/>
    <w:rsid w:val="3E700063"/>
    <w:rsid w:val="3EB30628"/>
    <w:rsid w:val="40C32B14"/>
    <w:rsid w:val="41452A05"/>
    <w:rsid w:val="414B7BD9"/>
    <w:rsid w:val="419D57EA"/>
    <w:rsid w:val="421B1352"/>
    <w:rsid w:val="425126BB"/>
    <w:rsid w:val="42952482"/>
    <w:rsid w:val="42CB665B"/>
    <w:rsid w:val="42F24DC1"/>
    <w:rsid w:val="430408C9"/>
    <w:rsid w:val="43503BE8"/>
    <w:rsid w:val="44036F51"/>
    <w:rsid w:val="44336E6F"/>
    <w:rsid w:val="449B3B70"/>
    <w:rsid w:val="449C1698"/>
    <w:rsid w:val="44C95FCA"/>
    <w:rsid w:val="451347B2"/>
    <w:rsid w:val="452C62DB"/>
    <w:rsid w:val="45826DE9"/>
    <w:rsid w:val="45FB587F"/>
    <w:rsid w:val="462F681E"/>
    <w:rsid w:val="46742E8D"/>
    <w:rsid w:val="469269CB"/>
    <w:rsid w:val="46C52F8D"/>
    <w:rsid w:val="46C66632"/>
    <w:rsid w:val="47EF2633"/>
    <w:rsid w:val="48000CA4"/>
    <w:rsid w:val="481171B5"/>
    <w:rsid w:val="482863DE"/>
    <w:rsid w:val="482A565B"/>
    <w:rsid w:val="48C65B68"/>
    <w:rsid w:val="495D6AE9"/>
    <w:rsid w:val="49862F88"/>
    <w:rsid w:val="49E179D3"/>
    <w:rsid w:val="4A012ACA"/>
    <w:rsid w:val="4A13640C"/>
    <w:rsid w:val="4A3D01D8"/>
    <w:rsid w:val="4A8F60B9"/>
    <w:rsid w:val="4A985E05"/>
    <w:rsid w:val="4B8C4B94"/>
    <w:rsid w:val="4B942F9B"/>
    <w:rsid w:val="4BFC1744"/>
    <w:rsid w:val="4BFC3E79"/>
    <w:rsid w:val="4C05223E"/>
    <w:rsid w:val="4C9A47D7"/>
    <w:rsid w:val="4CBB71D4"/>
    <w:rsid w:val="4CC20504"/>
    <w:rsid w:val="4D1C3846"/>
    <w:rsid w:val="4D335D46"/>
    <w:rsid w:val="4D692582"/>
    <w:rsid w:val="4E066114"/>
    <w:rsid w:val="4E477264"/>
    <w:rsid w:val="4F82784F"/>
    <w:rsid w:val="503B5814"/>
    <w:rsid w:val="507D52C1"/>
    <w:rsid w:val="50E7373C"/>
    <w:rsid w:val="51025ACF"/>
    <w:rsid w:val="514715C4"/>
    <w:rsid w:val="51C06615"/>
    <w:rsid w:val="52E12CD1"/>
    <w:rsid w:val="536415F1"/>
    <w:rsid w:val="53746902"/>
    <w:rsid w:val="544A2F78"/>
    <w:rsid w:val="54944520"/>
    <w:rsid w:val="55085C3D"/>
    <w:rsid w:val="55253541"/>
    <w:rsid w:val="55381293"/>
    <w:rsid w:val="558F06D4"/>
    <w:rsid w:val="55AA7626"/>
    <w:rsid w:val="55AB6EFA"/>
    <w:rsid w:val="55BA7C2C"/>
    <w:rsid w:val="55E81647"/>
    <w:rsid w:val="55EF7F91"/>
    <w:rsid w:val="56364920"/>
    <w:rsid w:val="56D174FF"/>
    <w:rsid w:val="57164958"/>
    <w:rsid w:val="584F1732"/>
    <w:rsid w:val="58A51A29"/>
    <w:rsid w:val="59893690"/>
    <w:rsid w:val="59F4713C"/>
    <w:rsid w:val="5B611913"/>
    <w:rsid w:val="5BDE3891"/>
    <w:rsid w:val="5C474A70"/>
    <w:rsid w:val="5C9F2DEE"/>
    <w:rsid w:val="5CF9463A"/>
    <w:rsid w:val="5DF6228D"/>
    <w:rsid w:val="5EE2786B"/>
    <w:rsid w:val="5F4F09DE"/>
    <w:rsid w:val="5F5C11C0"/>
    <w:rsid w:val="5FAB6D36"/>
    <w:rsid w:val="5FBF30CA"/>
    <w:rsid w:val="5FCD01EE"/>
    <w:rsid w:val="601B7A0C"/>
    <w:rsid w:val="603132DE"/>
    <w:rsid w:val="60D878CF"/>
    <w:rsid w:val="60F0371D"/>
    <w:rsid w:val="610C457C"/>
    <w:rsid w:val="616C1701"/>
    <w:rsid w:val="61D76440"/>
    <w:rsid w:val="62476C10"/>
    <w:rsid w:val="626A37A7"/>
    <w:rsid w:val="62734F95"/>
    <w:rsid w:val="62F8125D"/>
    <w:rsid w:val="640E1A5D"/>
    <w:rsid w:val="64A518E4"/>
    <w:rsid w:val="64DA3D3B"/>
    <w:rsid w:val="65822E44"/>
    <w:rsid w:val="65BA7EE1"/>
    <w:rsid w:val="66380011"/>
    <w:rsid w:val="66AF4807"/>
    <w:rsid w:val="67392E82"/>
    <w:rsid w:val="67B25079"/>
    <w:rsid w:val="67D75C3C"/>
    <w:rsid w:val="67ED50B4"/>
    <w:rsid w:val="687E1002"/>
    <w:rsid w:val="692D7E27"/>
    <w:rsid w:val="693550E1"/>
    <w:rsid w:val="69784A22"/>
    <w:rsid w:val="697945C1"/>
    <w:rsid w:val="69977CE2"/>
    <w:rsid w:val="6A7D0C97"/>
    <w:rsid w:val="6ADE1D94"/>
    <w:rsid w:val="6BCF0CA1"/>
    <w:rsid w:val="6BFF4848"/>
    <w:rsid w:val="6C2072E6"/>
    <w:rsid w:val="6CD1648F"/>
    <w:rsid w:val="6CD52D3E"/>
    <w:rsid w:val="6D105FA2"/>
    <w:rsid w:val="6D57262D"/>
    <w:rsid w:val="6DA03CFA"/>
    <w:rsid w:val="6E7532FC"/>
    <w:rsid w:val="6F2C2D85"/>
    <w:rsid w:val="6FC11C94"/>
    <w:rsid w:val="70197FD7"/>
    <w:rsid w:val="707C2D0B"/>
    <w:rsid w:val="70E058EA"/>
    <w:rsid w:val="71954671"/>
    <w:rsid w:val="71E70E5B"/>
    <w:rsid w:val="725A352D"/>
    <w:rsid w:val="728614B9"/>
    <w:rsid w:val="72997548"/>
    <w:rsid w:val="73352EAF"/>
    <w:rsid w:val="74507187"/>
    <w:rsid w:val="745C561E"/>
    <w:rsid w:val="745D03BD"/>
    <w:rsid w:val="75473782"/>
    <w:rsid w:val="75493809"/>
    <w:rsid w:val="76307F56"/>
    <w:rsid w:val="764D51C5"/>
    <w:rsid w:val="772C4780"/>
    <w:rsid w:val="77476B2A"/>
    <w:rsid w:val="776124F3"/>
    <w:rsid w:val="77F55219"/>
    <w:rsid w:val="78B54D8B"/>
    <w:rsid w:val="79023D50"/>
    <w:rsid w:val="7A6C5B69"/>
    <w:rsid w:val="7B0074E6"/>
    <w:rsid w:val="7B256E54"/>
    <w:rsid w:val="7B3D5FC0"/>
    <w:rsid w:val="7B5363E1"/>
    <w:rsid w:val="7BE65DC2"/>
    <w:rsid w:val="7C0F455C"/>
    <w:rsid w:val="7C5C03EB"/>
    <w:rsid w:val="7CA01162"/>
    <w:rsid w:val="7CA601FE"/>
    <w:rsid w:val="7E5C1CCC"/>
    <w:rsid w:val="7FD75EEF"/>
    <w:rsid w:val="7FEE1AEC"/>
    <w:rsid w:val="7FF245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35"/>
    <w:qFormat/>
    <w:uiPriority w:val="99"/>
    <w:rPr>
      <w:rFonts w:ascii="宋体" w:hAnsi="Courier New"/>
      <w:sz w:val="32"/>
      <w:szCs w:val="20"/>
    </w:rPr>
  </w:style>
  <w:style w:type="paragraph" w:styleId="5">
    <w:name w:val="Balloon Text"/>
    <w:basedOn w:val="1"/>
    <w:link w:val="29"/>
    <w:qFormat/>
    <w:uiPriority w:val="99"/>
    <w:rPr>
      <w:sz w:val="18"/>
      <w:szCs w:val="18"/>
    </w:rPr>
  </w:style>
  <w:style w:type="paragraph" w:styleId="6">
    <w:name w:val="footer"/>
    <w:basedOn w:val="1"/>
    <w:link w:val="30"/>
    <w:qFormat/>
    <w:uiPriority w:val="99"/>
    <w:pPr>
      <w:tabs>
        <w:tab w:val="center" w:pos="4153"/>
        <w:tab w:val="right" w:pos="8306"/>
      </w:tabs>
      <w:snapToGrid w:val="0"/>
      <w:jc w:val="left"/>
    </w:pPr>
    <w:rPr>
      <w:sz w:val="18"/>
      <w:szCs w:val="18"/>
    </w:rPr>
  </w:style>
  <w:style w:type="paragraph" w:styleId="7">
    <w:name w:val="header"/>
    <w:basedOn w:val="1"/>
    <w:link w:val="3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32"/>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33"/>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Emphasis"/>
    <w:basedOn w:val="14"/>
    <w:qFormat/>
    <w:uiPriority w:val="0"/>
    <w:rPr>
      <w:i/>
    </w:rPr>
  </w:style>
  <w:style w:type="character" w:styleId="18">
    <w:name w:val="HTML Definition"/>
    <w:basedOn w:val="14"/>
    <w:semiHidden/>
    <w:unhideWhenUsed/>
    <w:qFormat/>
    <w:locked/>
    <w:uiPriority w:val="99"/>
  </w:style>
  <w:style w:type="character" w:styleId="19">
    <w:name w:val="HTML Typewriter"/>
    <w:basedOn w:val="14"/>
    <w:semiHidden/>
    <w:unhideWhenUsed/>
    <w:qFormat/>
    <w:locked/>
    <w:uiPriority w:val="99"/>
    <w:rPr>
      <w:rFonts w:hint="default" w:ascii="monospace" w:hAnsi="monospace" w:eastAsia="monospace" w:cs="monospace"/>
      <w:sz w:val="20"/>
    </w:rPr>
  </w:style>
  <w:style w:type="character" w:styleId="20">
    <w:name w:val="HTML Acronym"/>
    <w:basedOn w:val="14"/>
    <w:semiHidden/>
    <w:unhideWhenUsed/>
    <w:qFormat/>
    <w:locked/>
    <w:uiPriority w:val="99"/>
  </w:style>
  <w:style w:type="character" w:styleId="21">
    <w:name w:val="HTML Variable"/>
    <w:basedOn w:val="14"/>
    <w:semiHidden/>
    <w:unhideWhenUsed/>
    <w:qFormat/>
    <w:locked/>
    <w:uiPriority w:val="99"/>
  </w:style>
  <w:style w:type="character" w:styleId="22">
    <w:name w:val="Hyperlink"/>
    <w:qFormat/>
    <w:uiPriority w:val="99"/>
    <w:rPr>
      <w:rFonts w:cs="Times New Roman"/>
      <w:color w:val="0000FF"/>
      <w:u w:val="single"/>
    </w:rPr>
  </w:style>
  <w:style w:type="character" w:styleId="23">
    <w:name w:val="HTML Code"/>
    <w:basedOn w:val="14"/>
    <w:semiHidden/>
    <w:unhideWhenUsed/>
    <w:qFormat/>
    <w:locked/>
    <w:uiPriority w:val="99"/>
    <w:rPr>
      <w:rFonts w:ascii="monospace" w:hAnsi="monospace" w:eastAsia="monospace" w:cs="monospace"/>
      <w:sz w:val="20"/>
    </w:rPr>
  </w:style>
  <w:style w:type="character" w:styleId="24">
    <w:name w:val="HTML Cite"/>
    <w:basedOn w:val="14"/>
    <w:semiHidden/>
    <w:unhideWhenUsed/>
    <w:qFormat/>
    <w:locked/>
    <w:uiPriority w:val="99"/>
  </w:style>
  <w:style w:type="character" w:styleId="25">
    <w:name w:val="HTML Keyboard"/>
    <w:basedOn w:val="14"/>
    <w:semiHidden/>
    <w:unhideWhenUsed/>
    <w:qFormat/>
    <w:locked/>
    <w:uiPriority w:val="99"/>
    <w:rPr>
      <w:rFonts w:hint="default" w:ascii="monospace" w:hAnsi="monospace" w:eastAsia="monospace" w:cs="monospace"/>
      <w:sz w:val="20"/>
    </w:rPr>
  </w:style>
  <w:style w:type="character" w:styleId="26">
    <w:name w:val="HTML Sample"/>
    <w:basedOn w:val="14"/>
    <w:semiHidden/>
    <w:unhideWhenUsed/>
    <w:qFormat/>
    <w:locked/>
    <w:uiPriority w:val="99"/>
    <w:rPr>
      <w:rFonts w:hint="default" w:ascii="monospace" w:hAnsi="monospace" w:eastAsia="monospace" w:cs="monospace"/>
    </w:rPr>
  </w:style>
  <w:style w:type="character" w:customStyle="1" w:styleId="27">
    <w:name w:val="标题 1 Char"/>
    <w:link w:val="2"/>
    <w:qFormat/>
    <w:locked/>
    <w:uiPriority w:val="99"/>
    <w:rPr>
      <w:rFonts w:eastAsia="华文中宋" w:cs="Times New Roman"/>
      <w:b/>
      <w:bCs/>
      <w:kern w:val="44"/>
      <w:sz w:val="44"/>
      <w:szCs w:val="44"/>
    </w:rPr>
  </w:style>
  <w:style w:type="character" w:customStyle="1" w:styleId="28">
    <w:name w:val="Plain Text Char"/>
    <w:qFormat/>
    <w:locked/>
    <w:uiPriority w:val="99"/>
    <w:rPr>
      <w:rFonts w:ascii="宋体" w:hAnsi="Courier New" w:cs="Times New Roman"/>
      <w:kern w:val="2"/>
      <w:sz w:val="32"/>
    </w:rPr>
  </w:style>
  <w:style w:type="character" w:customStyle="1" w:styleId="29">
    <w:name w:val="批注框文本 Char"/>
    <w:link w:val="5"/>
    <w:qFormat/>
    <w:locked/>
    <w:uiPriority w:val="99"/>
    <w:rPr>
      <w:rFonts w:cs="Times New Roman"/>
      <w:kern w:val="2"/>
      <w:sz w:val="18"/>
      <w:szCs w:val="18"/>
    </w:rPr>
  </w:style>
  <w:style w:type="character" w:customStyle="1" w:styleId="30">
    <w:name w:val="页脚 Char"/>
    <w:link w:val="6"/>
    <w:qFormat/>
    <w:locked/>
    <w:uiPriority w:val="99"/>
    <w:rPr>
      <w:rFonts w:eastAsia="宋体" w:cs="Times New Roman"/>
      <w:kern w:val="2"/>
      <w:sz w:val="18"/>
      <w:lang w:val="en-US" w:eastAsia="zh-CN"/>
    </w:rPr>
  </w:style>
  <w:style w:type="character" w:customStyle="1" w:styleId="31">
    <w:name w:val="页眉 Char"/>
    <w:link w:val="7"/>
    <w:qFormat/>
    <w:locked/>
    <w:uiPriority w:val="99"/>
    <w:rPr>
      <w:rFonts w:eastAsia="宋体" w:cs="Times New Roman"/>
      <w:kern w:val="2"/>
      <w:sz w:val="18"/>
      <w:lang w:val="en-US" w:eastAsia="zh-CN"/>
    </w:rPr>
  </w:style>
  <w:style w:type="character" w:customStyle="1" w:styleId="32">
    <w:name w:val="副标题 Char"/>
    <w:link w:val="9"/>
    <w:qFormat/>
    <w:locked/>
    <w:uiPriority w:val="99"/>
    <w:rPr>
      <w:rFonts w:ascii="Calibri" w:hAnsi="Calibri" w:eastAsia="宋体" w:cs="Times New Roman"/>
      <w:b/>
      <w:bCs/>
      <w:kern w:val="28"/>
      <w:sz w:val="32"/>
      <w:szCs w:val="32"/>
    </w:rPr>
  </w:style>
  <w:style w:type="character" w:customStyle="1" w:styleId="33">
    <w:name w:val="标题 Char"/>
    <w:link w:val="12"/>
    <w:qFormat/>
    <w:locked/>
    <w:uiPriority w:val="99"/>
    <w:rPr>
      <w:rFonts w:ascii="Cambria" w:hAnsi="Cambria" w:eastAsia="华文中宋" w:cs="Times New Roman"/>
      <w:b/>
      <w:bCs/>
      <w:kern w:val="2"/>
      <w:sz w:val="32"/>
      <w:szCs w:val="32"/>
    </w:rPr>
  </w:style>
  <w:style w:type="paragraph" w:customStyle="1" w:styleId="34">
    <w:name w:val="p0"/>
    <w:basedOn w:val="1"/>
    <w:qFormat/>
    <w:uiPriority w:val="99"/>
    <w:pPr>
      <w:widowControl/>
      <w:spacing w:line="365" w:lineRule="atLeast"/>
      <w:ind w:left="1"/>
    </w:pPr>
    <w:rPr>
      <w:kern w:val="0"/>
      <w:sz w:val="20"/>
      <w:szCs w:val="20"/>
    </w:rPr>
  </w:style>
  <w:style w:type="character" w:customStyle="1" w:styleId="35">
    <w:name w:val="纯文本 Char"/>
    <w:link w:val="4"/>
    <w:semiHidden/>
    <w:qFormat/>
    <w:locked/>
    <w:uiPriority w:val="99"/>
    <w:rPr>
      <w:rFonts w:ascii="宋体" w:hAnsi="Courier New" w:cs="Courier New"/>
      <w:sz w:val="21"/>
      <w:szCs w:val="21"/>
    </w:rPr>
  </w:style>
  <w:style w:type="character" w:customStyle="1" w:styleId="36">
    <w:name w:val="纯文本 Char1"/>
    <w:qFormat/>
    <w:uiPriority w:val="99"/>
    <w:rPr>
      <w:rFonts w:ascii="宋体" w:hAnsi="Courier New" w:cs="Courier New"/>
      <w:kern w:val="2"/>
      <w:sz w:val="21"/>
      <w:szCs w:val="21"/>
    </w:rPr>
  </w:style>
  <w:style w:type="paragraph" w:customStyle="1" w:styleId="37">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8">
    <w:name w:val="List Paragraph"/>
    <w:basedOn w:val="1"/>
    <w:qFormat/>
    <w:uiPriority w:val="99"/>
    <w:pPr>
      <w:ind w:firstLine="420" w:firstLineChars="200"/>
    </w:pPr>
  </w:style>
  <w:style w:type="paragraph" w:customStyle="1" w:styleId="39">
    <w:name w:val="Body text|1"/>
    <w:basedOn w:val="1"/>
    <w:qFormat/>
    <w:uiPriority w:val="0"/>
    <w:pPr>
      <w:spacing w:line="410" w:lineRule="auto"/>
      <w:ind w:firstLine="400"/>
    </w:pPr>
    <w:rPr>
      <w:rFonts w:ascii="宋体" w:hAnsi="宋体" w:cs="宋体"/>
      <w:sz w:val="18"/>
      <w:szCs w:val="1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2"/>
    <customShpInfo spid="_x0000_s2051"/>
    <customShpInfo spid="_x0000_s2050"/>
    <customShpInfo spid="_x0000_s2049"/>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1B0889-7ADC-4CC2-A485-417616337658}">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47</Pages>
  <Words>2817</Words>
  <Characters>16061</Characters>
  <Lines>133</Lines>
  <Paragraphs>37</Paragraphs>
  <TotalTime>24</TotalTime>
  <ScaleCrop>false</ScaleCrop>
  <LinksUpToDate>false</LinksUpToDate>
  <CharactersWithSpaces>18841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犯傻的海</cp:lastModifiedBy>
  <cp:lastPrinted>2021-08-05T06:33:00Z</cp:lastPrinted>
  <dcterms:modified xsi:type="dcterms:W3CDTF">2021-11-18T12:47:03Z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7744F646B3004B34980C41EAEB958832</vt:lpwstr>
  </property>
</Properties>
</file>