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p>
    <w:p>
      <w:pPr>
        <w:rPr>
          <w:color w:val="000000" w:themeColor="text1"/>
          <w:sz w:val="44"/>
        </w:rPr>
      </w:pPr>
      <w:r>
        <w:rPr>
          <w:color w:val="000000" w:themeColor="text1"/>
        </w:rPr>
        <w:pict>
          <v:shape id="Text Box 4" o:spid="_x0000_s1026" o:spt="202" type="#_x0000_t202" style="position:absolute;left:0pt;margin-left:67.2pt;margin-top:129.65pt;height:48.6pt;width:495pt;mso-position-horizontal-relative:page;mso-position-vertical-relative:page;z-index:251659264;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RMjXAAAADAEAAA8AAAAAAAAAAQAgAAAAIgAAAGRycy9kb3ducmV2LnhtbFBLAQIU&#10;ABQAAAAIAIdO4kAiSPBxuwEAAJEDAAAOAAAAAAAAAAEAIAAAACYBAABkcnMvZTJvRG9jLnhtbFBL&#10;BQYAAAAABgAGAFkBAABTBQAAAAA=&#10;">
            <v:path/>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538" w:lineRule="atLeast"/>
                    <w:jc w:val="right"/>
                  </w:pPr>
                  <w:r>
                    <w:rPr>
                      <w:rFonts w:hint="eastAsia" w:ascii="微软雅黑" w:hAnsi="微软雅黑" w:eastAsia="微软雅黑" w:cs="微软雅黑"/>
                      <w:szCs w:val="21"/>
                    </w:rPr>
                    <w:t>DST(P)[ 2021]1</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号</w:t>
                  </w:r>
                </w:p>
                <w:p/>
              </w:txbxContent>
            </v:textbox>
          </v:shape>
        </w:pict>
      </w:r>
    </w:p>
    <w:p>
      <w:pPr>
        <w:jc w:val="left"/>
        <w:rPr>
          <w:color w:val="000000" w:themeColor="text1"/>
          <w:sz w:val="44"/>
        </w:rPr>
      </w:pPr>
    </w:p>
    <w:p>
      <w:pPr>
        <w:rPr>
          <w:color w:val="000000" w:themeColor="text1"/>
          <w:sz w:val="44"/>
        </w:rPr>
      </w:pPr>
    </w:p>
    <w:p>
      <w:pPr>
        <w:ind w:left="260" w:hanging="240" w:hangingChars="50"/>
        <w:jc w:val="center"/>
        <w:rPr>
          <w:rFonts w:hint="default" w:ascii="方正小标宋简体" w:hAnsi="微软雅黑" w:eastAsia="方正小标宋简体"/>
          <w:color w:val="000000" w:themeColor="text1"/>
          <w:sz w:val="48"/>
          <w:szCs w:val="48"/>
          <w:lang w:val="en-US" w:eastAsia="zh-CN"/>
        </w:rPr>
      </w:pPr>
      <w:r>
        <w:rPr>
          <w:rFonts w:hint="eastAsia" w:ascii="方正小标宋简体" w:hAnsi="微软雅黑" w:eastAsia="方正小标宋简体"/>
          <w:color w:val="000000" w:themeColor="text1"/>
          <w:sz w:val="48"/>
          <w:szCs w:val="48"/>
          <w:lang w:val="en-US" w:eastAsia="zh-CN"/>
        </w:rPr>
        <w:t>达州市翠屏山片区B02-01-02地块</w:t>
      </w:r>
    </w:p>
    <w:p>
      <w:pPr>
        <w:ind w:left="260" w:hanging="260" w:hangingChars="50"/>
        <w:jc w:val="center"/>
        <w:rPr>
          <w:rFonts w:hint="eastAsia" w:ascii="方正小标宋简体" w:hAnsi="微软雅黑" w:eastAsia="方正小标宋简体"/>
          <w:color w:val="000000" w:themeColor="text1"/>
          <w:sz w:val="52"/>
          <w:szCs w:val="52"/>
        </w:rPr>
      </w:pPr>
      <w:bookmarkStart w:id="21" w:name="_GoBack"/>
      <w:bookmarkEnd w:id="21"/>
      <w:r>
        <w:rPr>
          <w:rFonts w:hint="eastAsia" w:ascii="方正小标宋简体" w:hAnsi="微软雅黑" w:eastAsia="方正小标宋简体"/>
          <w:color w:val="000000" w:themeColor="text1"/>
          <w:sz w:val="52"/>
          <w:szCs w:val="52"/>
        </w:rPr>
        <w:t>建设用地使用权</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62336;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w:t>
                  </w:r>
                  <w:r>
                    <w:rPr>
                      <w:rFonts w:hint="eastAsia" w:ascii="方正小标宋简体" w:eastAsia="方正小标宋简体"/>
                      <w:color w:val="000000"/>
                      <w:sz w:val="48"/>
                      <w:szCs w:val="48"/>
                      <w:lang w:val="en-US" w:eastAsia="zh-CN"/>
                    </w:rPr>
                    <w:t>和规划</w:t>
                  </w:r>
                  <w:r>
                    <w:rPr>
                      <w:rFonts w:hint="eastAsia" w:ascii="方正小标宋简体" w:eastAsia="方正小标宋简体"/>
                      <w:color w:val="000000"/>
                      <w:sz w:val="48"/>
                      <w:szCs w:val="48"/>
                    </w:rPr>
                    <w:t>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w:t>
      </w:r>
      <w:r>
        <w:rPr>
          <w:rFonts w:hint="eastAsia" w:ascii="宋体"/>
          <w:color w:val="000000" w:themeColor="text1"/>
          <w:w w:val="66"/>
          <w:sz w:val="32"/>
          <w:szCs w:val="32"/>
        </w:rPr>
        <w:t>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w:t>
      </w:r>
      <w:r>
        <w:rPr>
          <w:rFonts w:hint="eastAsia"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30</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44</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34"/>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741"/>
      <w:bookmarkStart w:id="1" w:name="_Toc3391970"/>
      <w:r>
        <w:rPr>
          <w:rFonts w:hint="eastAsia" w:ascii="方正小标宋简体" w:hAnsi="宋体" w:eastAsia="方正小标宋简体" w:cs="宋体"/>
          <w:color w:val="000000" w:themeColor="text1"/>
          <w:sz w:val="44"/>
          <w:szCs w:val="44"/>
        </w:rPr>
        <w:t>达州市自然资源</w:t>
      </w:r>
      <w:r>
        <w:rPr>
          <w:rFonts w:hint="eastAsia" w:ascii="方正小标宋简体" w:hAnsi="宋体" w:eastAsia="方正小标宋简体" w:cs="宋体"/>
          <w:color w:val="000000" w:themeColor="text1"/>
          <w:sz w:val="44"/>
          <w:szCs w:val="44"/>
          <w:lang w:val="en-US" w:eastAsia="zh-CN"/>
        </w:rPr>
        <w:t>和规划</w:t>
      </w:r>
      <w:r>
        <w:rPr>
          <w:rFonts w:hint="eastAsia" w:ascii="方正小标宋简体" w:hAnsi="宋体" w:eastAsia="方正小标宋简体" w:cs="宋体"/>
          <w:color w:val="000000" w:themeColor="text1"/>
          <w:sz w:val="44"/>
          <w:szCs w:val="44"/>
        </w:rPr>
        <w:t>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hAnsi="宋体" w:cs="宋体"/>
          <w:color w:val="FF0000"/>
          <w:sz w:val="28"/>
          <w:szCs w:val="28"/>
        </w:rPr>
      </w:pPr>
      <w:r>
        <w:rPr>
          <w:rFonts w:hint="eastAsia" w:ascii="微软雅黑" w:hAnsi="微软雅黑" w:eastAsia="微软雅黑" w:cs="微软雅黑"/>
          <w:szCs w:val="21"/>
        </w:rPr>
        <w:t>DST(P)[ 2021]1</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号</w:t>
      </w:r>
    </w:p>
    <w:p>
      <w:pPr>
        <w:keepNext w:val="0"/>
        <w:keepLines w:val="0"/>
        <w:pageBreakBefore w:val="0"/>
        <w:widowControl w:val="0"/>
        <w:kinsoku/>
        <w:wordWrap/>
        <w:overflowPunct/>
        <w:topLinePunct w:val="0"/>
        <w:autoSpaceDE/>
        <w:autoSpaceDN/>
        <w:bidi w:val="0"/>
        <w:adjustRightInd/>
        <w:snapToGrid/>
        <w:ind w:left="0" w:firstLine="560" w:firstLineChars="200"/>
        <w:jc w:val="both"/>
        <w:textAlignment w:val="auto"/>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lang w:val="en-US" w:eastAsia="zh-CN"/>
        </w:rPr>
        <w:t>达州市人民政府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，达州市自然资源</w:t>
      </w:r>
      <w:r>
        <w:rPr>
          <w:rFonts w:hint="eastAsia" w:ascii="宋体" w:hAnsi="宋体" w:cs="宋体"/>
          <w:color w:val="000000" w:themeColor="text1"/>
          <w:sz w:val="28"/>
          <w:szCs w:val="28"/>
          <w:u w:val="single"/>
          <w:lang w:val="en-US" w:eastAsia="zh-CN"/>
        </w:rPr>
        <w:t>和规划</w:t>
      </w:r>
      <w:r>
        <w:rPr>
          <w:rFonts w:hint="eastAsia" w:ascii="宋体" w:hAnsi="宋体" w:cs="宋体"/>
          <w:color w:val="000000" w:themeColor="text1"/>
          <w:sz w:val="28"/>
          <w:szCs w:val="28"/>
          <w:u w:val="single"/>
        </w:rPr>
        <w:t>局</w:t>
      </w:r>
      <w:r>
        <w:rPr>
          <w:rFonts w:hint="eastAsia" w:ascii="宋体" w:hAnsi="宋体" w:cs="宋体"/>
          <w:color w:val="000000" w:themeColor="text1"/>
          <w:sz w:val="28"/>
          <w:szCs w:val="28"/>
        </w:rPr>
        <w:t>决定以拍卖方式出让</w:t>
      </w:r>
      <w:r>
        <w:rPr>
          <w:rFonts w:hint="eastAsia" w:ascii="宋体" w:hAnsi="宋体" w:cs="宋体"/>
          <w:color w:val="000000" w:themeColor="text1"/>
          <w:sz w:val="28"/>
          <w:szCs w:val="28"/>
          <w:lang w:val="en-US" w:eastAsia="zh-CN"/>
        </w:rPr>
        <w:t>达</w:t>
      </w:r>
      <w:r>
        <w:rPr>
          <w:rFonts w:hint="eastAsia" w:ascii="宋体" w:hAnsi="宋体" w:cs="宋体"/>
          <w:color w:val="000000" w:themeColor="text1"/>
          <w:sz w:val="28"/>
          <w:szCs w:val="28"/>
          <w:u w:val="single"/>
          <w:lang w:val="en-US" w:eastAsia="zh-CN"/>
        </w:rPr>
        <w:t>州市高新区堰坝片区GX-YB-B18、翠屏山片区B02-01-02、三里坪片区B01-4等三</w:t>
      </w:r>
      <w:r>
        <w:rPr>
          <w:rFonts w:hint="eastAsia" w:ascii="宋体" w:hAnsi="宋体" w:cs="宋体"/>
          <w:color w:val="000000" w:themeColor="text1"/>
          <w:sz w:val="28"/>
          <w:szCs w:val="28"/>
          <w:u w:val="single"/>
        </w:rPr>
        <w:t>宗</w:t>
      </w:r>
      <w:r>
        <w:rPr>
          <w:rFonts w:hint="eastAsia" w:ascii="宋体" w:hAnsi="宋体" w:cs="宋体"/>
          <w:color w:val="000000" w:themeColor="text1"/>
          <w:sz w:val="28"/>
          <w:szCs w:val="28"/>
        </w:rPr>
        <w:t>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w:t>
      </w:r>
      <w:r>
        <w:rPr>
          <w:rFonts w:hint="eastAsia" w:ascii="宋体" w:hAnsi="宋体" w:cs="宋体"/>
          <w:color w:val="000000" w:themeColor="text1"/>
          <w:sz w:val="28"/>
          <w:szCs w:val="28"/>
          <w:lang w:val="en-US" w:eastAsia="zh-CN"/>
        </w:rPr>
        <w:t>三</w:t>
      </w:r>
      <w:r>
        <w:rPr>
          <w:rFonts w:hint="eastAsia" w:ascii="宋体" w:hAnsi="宋体" w:cs="宋体"/>
          <w:color w:val="000000" w:themeColor="text1"/>
          <w:sz w:val="28"/>
          <w:szCs w:val="28"/>
        </w:rPr>
        <w:t>宗</w:t>
      </w:r>
      <w:r>
        <w:rPr>
          <w:rFonts w:hint="eastAsia" w:ascii="宋体" w:hAnsi="宋体" w:cs="宋体"/>
          <w:color w:val="000000" w:themeColor="text1"/>
          <w:kern w:val="0"/>
          <w:sz w:val="28"/>
          <w:szCs w:val="28"/>
        </w:rPr>
        <w:t>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8"/>
        <w:gridCol w:w="669"/>
        <w:gridCol w:w="462"/>
        <w:gridCol w:w="730"/>
        <w:gridCol w:w="616"/>
        <w:gridCol w:w="613"/>
        <w:gridCol w:w="135"/>
        <w:gridCol w:w="679"/>
        <w:gridCol w:w="531"/>
        <w:gridCol w:w="775"/>
        <w:gridCol w:w="1099"/>
        <w:gridCol w:w="1007"/>
        <w:gridCol w:w="647"/>
        <w:gridCol w:w="630"/>
        <w:gridCol w:w="822"/>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47"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序号</w:t>
            </w:r>
          </w:p>
        </w:tc>
        <w:tc>
          <w:tcPr>
            <w:tcW w:w="32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地块</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编号</w:t>
            </w:r>
          </w:p>
        </w:tc>
        <w:tc>
          <w:tcPr>
            <w:tcW w:w="221"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位置</w:t>
            </w:r>
          </w:p>
        </w:tc>
        <w:tc>
          <w:tcPr>
            <w:tcW w:w="35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土地出让面积</w:t>
            </w:r>
            <w:r>
              <w:rPr>
                <w:rFonts w:ascii="黑体" w:hAnsi="黑体" w:eastAsia="黑体" w:cs="宋体"/>
                <w:color w:val="000000" w:themeColor="text1"/>
                <w:sz w:val="13"/>
                <w:szCs w:val="13"/>
              </w:rPr>
              <w:t>(</w:t>
            </w:r>
            <w:r>
              <w:rPr>
                <w:rFonts w:hint="eastAsia" w:ascii="黑体" w:hAnsi="黑体" w:eastAsia="黑体" w:cs="宋体"/>
                <w:color w:val="000000" w:themeColor="text1"/>
                <w:sz w:val="13"/>
                <w:szCs w:val="13"/>
              </w:rPr>
              <w:t>㎡）</w:t>
            </w:r>
          </w:p>
        </w:tc>
        <w:tc>
          <w:tcPr>
            <w:tcW w:w="295"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用途</w:t>
            </w:r>
          </w:p>
        </w:tc>
        <w:tc>
          <w:tcPr>
            <w:tcW w:w="2321" w:type="pct"/>
            <w:gridSpan w:val="7"/>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规划指标要求</w:t>
            </w:r>
          </w:p>
        </w:tc>
        <w:tc>
          <w:tcPr>
            <w:tcW w:w="31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出让</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年限</w:t>
            </w:r>
          </w:p>
        </w:tc>
        <w:tc>
          <w:tcPr>
            <w:tcW w:w="302"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起拍价</w:t>
            </w:r>
          </w:p>
        </w:tc>
        <w:tc>
          <w:tcPr>
            <w:tcW w:w="394"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rPr>
            </w:pPr>
            <w:r>
              <w:rPr>
                <w:rFonts w:hint="eastAsia" w:ascii="黑体" w:hAnsi="黑体" w:eastAsia="黑体" w:cs="宋体"/>
                <w:color w:val="000000" w:themeColor="text1"/>
                <w:spacing w:val="-6"/>
                <w:sz w:val="13"/>
                <w:szCs w:val="13"/>
              </w:rPr>
              <w:t>增价</w:t>
            </w:r>
          </w:p>
          <w:p>
            <w:pPr>
              <w:jc w:val="center"/>
              <w:rPr>
                <w:rFonts w:ascii="黑体" w:hAnsi="黑体" w:eastAsia="黑体"/>
                <w:color w:val="000000" w:themeColor="text1"/>
                <w:spacing w:val="-32"/>
                <w:sz w:val="13"/>
                <w:szCs w:val="13"/>
              </w:rPr>
            </w:pPr>
            <w:r>
              <w:rPr>
                <w:rFonts w:hint="eastAsia" w:ascii="黑体" w:hAnsi="黑体" w:eastAsia="黑体" w:cs="宋体"/>
                <w:color w:val="000000" w:themeColor="text1"/>
                <w:spacing w:val="-6"/>
                <w:sz w:val="13"/>
                <w:szCs w:val="13"/>
              </w:rPr>
              <w:t>幅度</w:t>
            </w:r>
          </w:p>
        </w:tc>
        <w:tc>
          <w:tcPr>
            <w:tcW w:w="335"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竞买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47"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rPr>
            </w:pPr>
          </w:p>
        </w:tc>
        <w:tc>
          <w:tcPr>
            <w:tcW w:w="32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21"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35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95"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358" w:type="pct"/>
            <w:gridSpan w:val="2"/>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容积率</w:t>
            </w:r>
          </w:p>
        </w:tc>
        <w:tc>
          <w:tcPr>
            <w:tcW w:w="325"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密度</w:t>
            </w:r>
          </w:p>
        </w:tc>
        <w:tc>
          <w:tcPr>
            <w:tcW w:w="254"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绿地率</w:t>
            </w:r>
          </w:p>
        </w:tc>
        <w:tc>
          <w:tcPr>
            <w:tcW w:w="371"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限高</w:t>
            </w:r>
          </w:p>
        </w:tc>
        <w:tc>
          <w:tcPr>
            <w:tcW w:w="527"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olor w:val="000000" w:themeColor="text1"/>
                <w:sz w:val="13"/>
                <w:szCs w:val="13"/>
              </w:rPr>
              <w:t>配套设施</w:t>
            </w:r>
          </w:p>
        </w:tc>
        <w:tc>
          <w:tcPr>
            <w:tcW w:w="483"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其他规划指标</w:t>
            </w:r>
          </w:p>
        </w:tc>
        <w:tc>
          <w:tcPr>
            <w:tcW w:w="310"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02"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94" w:type="pct"/>
            <w:vMerge w:val="continue"/>
            <w:tcBorders>
              <w:right w:val="single" w:color="000000" w:sz="4" w:space="0"/>
            </w:tcBorders>
            <w:vAlign w:val="center"/>
          </w:tcPr>
          <w:p>
            <w:pPr>
              <w:widowControl/>
              <w:jc w:val="left"/>
              <w:rPr>
                <w:rFonts w:ascii="黑体" w:hAnsi="黑体" w:eastAsia="黑体"/>
                <w:color w:val="000000" w:themeColor="text1"/>
                <w:spacing w:val="-32"/>
                <w:sz w:val="13"/>
                <w:szCs w:val="13"/>
              </w:rPr>
            </w:pPr>
          </w:p>
        </w:tc>
        <w:tc>
          <w:tcPr>
            <w:tcW w:w="335"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0" w:hRule="atLeast"/>
          <w:jc w:val="center"/>
        </w:trPr>
        <w:tc>
          <w:tcPr>
            <w:tcW w:w="147" w:type="pct"/>
            <w:tcBorders>
              <w:left w:val="single" w:color="000000" w:sz="4" w:space="0"/>
            </w:tcBorders>
            <w:vAlign w:val="center"/>
          </w:tcPr>
          <w:p>
            <w:pPr>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1</w:t>
            </w:r>
          </w:p>
        </w:tc>
        <w:tc>
          <w:tcPr>
            <w:tcW w:w="320" w:type="pct"/>
            <w:tcBorders>
              <w:right w:val="single" w:color="000000" w:sz="4" w:space="0"/>
            </w:tcBorders>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高新区堰坝片区GX-YB-B18</w:t>
            </w:r>
          </w:p>
        </w:tc>
        <w:tc>
          <w:tcPr>
            <w:tcW w:w="221" w:type="pct"/>
            <w:tcBorders>
              <w:right w:val="single" w:color="000000" w:sz="4" w:space="0"/>
            </w:tcBorders>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高新区七河路旁</w:t>
            </w:r>
          </w:p>
        </w:tc>
        <w:tc>
          <w:tcPr>
            <w:tcW w:w="350" w:type="pct"/>
            <w:tcBorders>
              <w:right w:val="single" w:color="000000" w:sz="4" w:space="0"/>
            </w:tcBorders>
            <w:vAlign w:val="center"/>
          </w:tcPr>
          <w:p>
            <w:pPr>
              <w:spacing w:line="200" w:lineRule="exact"/>
              <w:jc w:val="both"/>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lang w:val="en-US" w:eastAsia="zh-CN"/>
              </w:rPr>
              <w:t>76632</w:t>
            </w:r>
            <w:r>
              <w:rPr>
                <w:rFonts w:hint="eastAsia" w:ascii="仿宋_GB2312" w:hAnsi="仿宋_GB2312" w:eastAsia="仿宋_GB2312" w:cs="仿宋_GB2312"/>
                <w:color w:val="000000" w:themeColor="text1"/>
                <w:sz w:val="13"/>
                <w:szCs w:val="13"/>
              </w:rPr>
              <w:t>平方米（折合</w:t>
            </w:r>
            <w:r>
              <w:rPr>
                <w:rFonts w:hint="eastAsia" w:ascii="仿宋_GB2312" w:hAnsi="仿宋_GB2312" w:eastAsia="仿宋_GB2312" w:cs="仿宋_GB2312"/>
                <w:color w:val="000000" w:themeColor="text1"/>
                <w:sz w:val="13"/>
                <w:szCs w:val="13"/>
                <w:lang w:val="en-US" w:eastAsia="zh-CN"/>
              </w:rPr>
              <w:t>114.948</w:t>
            </w:r>
            <w:r>
              <w:rPr>
                <w:rFonts w:hint="eastAsia" w:ascii="仿宋_GB2312" w:hAnsi="仿宋_GB2312" w:eastAsia="仿宋_GB2312" w:cs="仿宋_GB2312"/>
                <w:color w:val="000000" w:themeColor="text1"/>
                <w:sz w:val="13"/>
                <w:szCs w:val="13"/>
              </w:rPr>
              <w:t>亩）</w:t>
            </w:r>
          </w:p>
        </w:tc>
        <w:tc>
          <w:tcPr>
            <w:tcW w:w="295" w:type="pct"/>
            <w:tcBorders>
              <w:right w:val="single" w:color="000000" w:sz="4" w:space="0"/>
            </w:tcBorders>
            <w:vAlign w:val="center"/>
          </w:tcPr>
          <w:p>
            <w:pPr>
              <w:spacing w:line="200" w:lineRule="exact"/>
              <w:jc w:val="both"/>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sz w:val="13"/>
                <w:szCs w:val="13"/>
              </w:rPr>
              <w:t>二类居住用地</w:t>
            </w:r>
            <w:r>
              <w:rPr>
                <w:rFonts w:hint="eastAsia" w:ascii="仿宋_GB2312" w:hAnsi="仿宋_GB2312" w:eastAsia="仿宋_GB2312" w:cs="仿宋_GB2312"/>
                <w:color w:val="auto"/>
                <w:sz w:val="13"/>
                <w:szCs w:val="13"/>
                <w:highlight w:val="none"/>
              </w:rPr>
              <w:t>（用地用海分类为城镇住宅用地）</w:t>
            </w:r>
          </w:p>
        </w:tc>
        <w:tc>
          <w:tcPr>
            <w:tcW w:w="293" w:type="pct"/>
            <w:tcBorders>
              <w:right w:val="single" w:color="000000" w:sz="4" w:space="0"/>
            </w:tcBorders>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1</w:t>
            </w:r>
            <w:r>
              <w:rPr>
                <w:rFonts w:hint="eastAsia" w:ascii="仿宋_GB2312" w:hAnsi="仿宋_GB2312" w:eastAsia="仿宋_GB2312" w:cs="仿宋_GB2312"/>
                <w:color w:val="000000" w:themeColor="text1"/>
                <w:sz w:val="13"/>
                <w:szCs w:val="13"/>
              </w:rPr>
              <w:t>＜F≤</w:t>
            </w:r>
            <w:r>
              <w:rPr>
                <w:rFonts w:hint="eastAsia" w:ascii="仿宋_GB2312" w:hAnsi="仿宋_GB2312" w:eastAsia="仿宋_GB2312" w:cs="仿宋_GB2312"/>
                <w:color w:val="000000" w:themeColor="text1"/>
                <w:sz w:val="13"/>
                <w:szCs w:val="13"/>
                <w:lang w:val="en-US" w:eastAsia="zh-CN"/>
              </w:rPr>
              <w:t>2.6</w:t>
            </w:r>
          </w:p>
        </w:tc>
        <w:tc>
          <w:tcPr>
            <w:tcW w:w="390" w:type="pct"/>
            <w:gridSpan w:val="2"/>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B≤3</w:t>
            </w:r>
            <w:r>
              <w:rPr>
                <w:rFonts w:hint="eastAsia" w:ascii="仿宋_GB2312" w:hAnsi="仿宋_GB2312" w:eastAsia="仿宋_GB2312" w:cs="仿宋_GB2312"/>
                <w:color w:val="000000" w:themeColor="text1"/>
                <w:sz w:val="13"/>
                <w:szCs w:val="13"/>
                <w:lang w:val="en-US" w:eastAsia="zh-CN"/>
              </w:rPr>
              <w:t>0</w:t>
            </w:r>
            <w:r>
              <w:rPr>
                <w:rFonts w:hint="eastAsia" w:ascii="仿宋_GB2312" w:hAnsi="仿宋_GB2312" w:eastAsia="仿宋_GB2312" w:cs="仿宋_GB2312"/>
                <w:color w:val="000000" w:themeColor="text1"/>
                <w:sz w:val="13"/>
                <w:szCs w:val="13"/>
              </w:rPr>
              <w:t>%</w:t>
            </w:r>
          </w:p>
        </w:tc>
        <w:tc>
          <w:tcPr>
            <w:tcW w:w="254" w:type="pct"/>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G≥</w:t>
            </w:r>
            <w:r>
              <w:rPr>
                <w:rFonts w:hint="eastAsia" w:ascii="仿宋_GB2312" w:hAnsi="仿宋_GB2312" w:eastAsia="仿宋_GB2312" w:cs="仿宋_GB2312"/>
                <w:color w:val="000000" w:themeColor="text1"/>
                <w:sz w:val="13"/>
                <w:szCs w:val="13"/>
                <w:lang w:val="en-US" w:eastAsia="zh-CN"/>
              </w:rPr>
              <w:t>35</w:t>
            </w:r>
            <w:r>
              <w:rPr>
                <w:rFonts w:hint="eastAsia" w:ascii="仿宋_GB2312" w:hAnsi="仿宋_GB2312" w:eastAsia="仿宋_GB2312" w:cs="仿宋_GB2312"/>
                <w:color w:val="000000" w:themeColor="text1"/>
                <w:sz w:val="13"/>
                <w:szCs w:val="13"/>
              </w:rPr>
              <w:t>%</w:t>
            </w:r>
          </w:p>
        </w:tc>
        <w:tc>
          <w:tcPr>
            <w:tcW w:w="371" w:type="pct"/>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HL≤80米</w:t>
            </w:r>
          </w:p>
        </w:tc>
        <w:tc>
          <w:tcPr>
            <w:tcW w:w="527" w:type="pct"/>
            <w:vAlign w:val="center"/>
          </w:tcPr>
          <w:p>
            <w:pPr>
              <w:spacing w:line="200" w:lineRule="exact"/>
              <w:jc w:val="left"/>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详见《达州</w:t>
            </w:r>
            <w:r>
              <w:rPr>
                <w:rFonts w:hint="eastAsia" w:ascii="仿宋_GB2312" w:hAnsi="仿宋_GB2312" w:eastAsia="仿宋_GB2312" w:cs="仿宋_GB2312"/>
                <w:color w:val="000000" w:themeColor="text1"/>
                <w:sz w:val="13"/>
                <w:szCs w:val="13"/>
                <w:lang w:val="en-US" w:eastAsia="zh-CN"/>
              </w:rPr>
              <w:t>高新区堰坝片区GX-YB-B18</w:t>
            </w:r>
            <w:r>
              <w:rPr>
                <w:rFonts w:hint="eastAsia" w:ascii="仿宋_GB2312" w:hAnsi="仿宋_GB2312" w:eastAsia="仿宋_GB2312" w:cs="仿宋_GB2312"/>
                <w:color w:val="000000" w:themeColor="text1"/>
                <w:sz w:val="13"/>
                <w:szCs w:val="13"/>
              </w:rPr>
              <w:t>地块规划条件》</w:t>
            </w:r>
          </w:p>
          <w:p>
            <w:pPr>
              <w:spacing w:line="200" w:lineRule="exact"/>
              <w:rPr>
                <w:rFonts w:ascii="仿宋_GB2312" w:hAnsi="仿宋_GB2312" w:eastAsia="仿宋_GB2312" w:cs="仿宋_GB2312"/>
                <w:color w:val="000000" w:themeColor="text1"/>
                <w:kern w:val="2"/>
                <w:sz w:val="13"/>
                <w:szCs w:val="13"/>
                <w:lang w:val="en-US" w:eastAsia="zh-CN" w:bidi="ar-SA"/>
              </w:rPr>
            </w:pPr>
          </w:p>
        </w:tc>
        <w:tc>
          <w:tcPr>
            <w:tcW w:w="483" w:type="pct"/>
            <w:tcBorders>
              <w:right w:val="single" w:color="000000" w:sz="4" w:space="0"/>
            </w:tcBorders>
            <w:vAlign w:val="center"/>
          </w:tcPr>
          <w:p>
            <w:pPr>
              <w:spacing w:line="200" w:lineRule="exact"/>
              <w:jc w:val="left"/>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详见《达州</w:t>
            </w:r>
            <w:r>
              <w:rPr>
                <w:rFonts w:hint="eastAsia" w:ascii="仿宋_GB2312" w:hAnsi="仿宋_GB2312" w:eastAsia="仿宋_GB2312" w:cs="仿宋_GB2312"/>
                <w:color w:val="000000" w:themeColor="text1"/>
                <w:sz w:val="13"/>
                <w:szCs w:val="13"/>
                <w:lang w:val="en-US" w:eastAsia="zh-CN"/>
              </w:rPr>
              <w:t>高新区堰坝片区GX-YB-B18</w:t>
            </w:r>
            <w:r>
              <w:rPr>
                <w:rFonts w:hint="eastAsia" w:ascii="仿宋_GB2312" w:hAnsi="仿宋_GB2312" w:eastAsia="仿宋_GB2312" w:cs="仿宋_GB2312"/>
                <w:color w:val="000000" w:themeColor="text1"/>
                <w:sz w:val="13"/>
                <w:szCs w:val="13"/>
              </w:rPr>
              <w:t>地块规划条件》</w:t>
            </w:r>
          </w:p>
          <w:p>
            <w:pPr>
              <w:spacing w:line="200" w:lineRule="exact"/>
              <w:rPr>
                <w:rFonts w:ascii="仿宋_GB2312" w:hAnsi="仿宋_GB2312" w:eastAsia="仿宋_GB2312" w:cs="仿宋_GB2312"/>
                <w:color w:val="000000" w:themeColor="text1"/>
                <w:sz w:val="13"/>
                <w:szCs w:val="13"/>
              </w:rPr>
            </w:pPr>
          </w:p>
        </w:tc>
        <w:tc>
          <w:tcPr>
            <w:tcW w:w="310" w:type="pct"/>
            <w:tcBorders>
              <w:right w:val="single" w:color="000000" w:sz="4" w:space="0"/>
            </w:tcBorders>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商业40年、住宅70年</w:t>
            </w:r>
          </w:p>
        </w:tc>
        <w:tc>
          <w:tcPr>
            <w:tcW w:w="302" w:type="pct"/>
            <w:tcBorders>
              <w:right w:val="single" w:color="000000" w:sz="4" w:space="0"/>
            </w:tcBorders>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lang w:val="en-US" w:eastAsia="zh-CN"/>
              </w:rPr>
              <w:t>315</w:t>
            </w:r>
            <w:r>
              <w:rPr>
                <w:rFonts w:hint="eastAsia" w:ascii="仿宋_GB2312" w:hAnsi="仿宋_GB2312" w:eastAsia="仿宋_GB2312" w:cs="仿宋_GB2312"/>
                <w:color w:val="000000" w:themeColor="text1"/>
                <w:sz w:val="13"/>
                <w:szCs w:val="13"/>
              </w:rPr>
              <w:t>万元/亩</w:t>
            </w:r>
          </w:p>
          <w:p>
            <w:pPr>
              <w:spacing w:line="200" w:lineRule="exact"/>
              <w:jc w:val="center"/>
              <w:rPr>
                <w:rFonts w:ascii="仿宋_GB2312" w:hAnsi="仿宋_GB2312" w:eastAsia="仿宋_GB2312" w:cs="仿宋_GB2312"/>
                <w:color w:val="000000" w:themeColor="text1"/>
                <w:sz w:val="13"/>
                <w:szCs w:val="13"/>
              </w:rPr>
            </w:pPr>
          </w:p>
        </w:tc>
        <w:tc>
          <w:tcPr>
            <w:tcW w:w="394" w:type="pct"/>
            <w:tcBorders>
              <w:right w:val="single" w:color="000000" w:sz="4" w:space="0"/>
            </w:tcBorders>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5 万元/亩或 5 万元/亩</w:t>
            </w:r>
          </w:p>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的整数倍</w:t>
            </w:r>
          </w:p>
          <w:p>
            <w:pPr>
              <w:spacing w:line="200" w:lineRule="exact"/>
              <w:jc w:val="center"/>
              <w:rPr>
                <w:rFonts w:ascii="仿宋_GB2312" w:hAnsi="仿宋_GB2312" w:eastAsia="仿宋_GB2312" w:cs="仿宋_GB2312"/>
                <w:color w:val="000000" w:themeColor="text1"/>
                <w:sz w:val="13"/>
                <w:szCs w:val="13"/>
              </w:rPr>
            </w:pPr>
          </w:p>
        </w:tc>
        <w:tc>
          <w:tcPr>
            <w:tcW w:w="335" w:type="pct"/>
            <w:tcBorders>
              <w:right w:val="single" w:color="000000" w:sz="4" w:space="0"/>
            </w:tcBorders>
            <w:vAlign w:val="center"/>
          </w:tcPr>
          <w:p>
            <w:pPr>
              <w:spacing w:line="200" w:lineRule="exact"/>
              <w:jc w:val="both"/>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lang w:val="en-US" w:eastAsia="zh-CN"/>
              </w:rPr>
              <w:t>10900</w:t>
            </w:r>
            <w:r>
              <w:rPr>
                <w:rFonts w:hint="eastAsia" w:ascii="仿宋_GB2312" w:hAnsi="仿宋_GB2312" w:eastAsia="仿宋_GB2312" w:cs="仿宋_GB2312"/>
                <w:color w:val="000000" w:themeColor="text1"/>
                <w:sz w:val="13"/>
                <w:szCs w:val="13"/>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5" w:hRule="atLeast"/>
          <w:jc w:val="center"/>
        </w:trPr>
        <w:tc>
          <w:tcPr>
            <w:tcW w:w="147" w:type="pct"/>
            <w:tcBorders>
              <w:lef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2</w:t>
            </w:r>
          </w:p>
        </w:tc>
        <w:tc>
          <w:tcPr>
            <w:tcW w:w="320" w:type="pct"/>
            <w:tcBorders>
              <w:right w:val="single" w:color="000000" w:sz="4" w:space="0"/>
            </w:tcBorders>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翠屏山片区B02-01-02地块（A、B区）</w:t>
            </w:r>
          </w:p>
        </w:tc>
        <w:tc>
          <w:tcPr>
            <w:tcW w:w="221" w:type="pct"/>
            <w:tcBorders>
              <w:right w:val="single" w:color="000000" w:sz="4" w:space="0"/>
            </w:tcBorders>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达州市翠屏山片区</w:t>
            </w:r>
          </w:p>
        </w:tc>
        <w:tc>
          <w:tcPr>
            <w:tcW w:w="350" w:type="pct"/>
            <w:tcBorders>
              <w:right w:val="single" w:color="000000" w:sz="4" w:space="0"/>
            </w:tcBorders>
            <w:vAlign w:val="center"/>
          </w:tcPr>
          <w:p>
            <w:pPr>
              <w:spacing w:line="200" w:lineRule="exact"/>
              <w:jc w:val="center"/>
              <w:rPr>
                <w:rFonts w:hint="eastAsia" w:ascii="仿宋_GB2312" w:hAnsi="仿宋_GB2312" w:eastAsia="仿宋_GB2312" w:cs="仿宋_GB2312"/>
                <w:color w:val="000000" w:themeColor="text1"/>
                <w:sz w:val="13"/>
                <w:szCs w:val="13"/>
                <w:lang w:eastAsia="zh-CN"/>
              </w:rPr>
            </w:pPr>
            <w:r>
              <w:rPr>
                <w:rFonts w:hint="eastAsia" w:ascii="仿宋_GB2312" w:hAnsi="仿宋_GB2312" w:eastAsia="仿宋_GB2312" w:cs="仿宋_GB2312"/>
                <w:color w:val="000000" w:themeColor="text1"/>
                <w:sz w:val="13"/>
                <w:szCs w:val="13"/>
                <w:lang w:val="en-US" w:eastAsia="zh-CN"/>
              </w:rPr>
              <w:t>77332.39</w:t>
            </w:r>
            <w:r>
              <w:rPr>
                <w:rFonts w:hint="eastAsia" w:ascii="仿宋_GB2312" w:hAnsi="仿宋_GB2312" w:eastAsia="仿宋_GB2312" w:cs="仿宋_GB2312"/>
                <w:color w:val="000000" w:themeColor="text1"/>
                <w:sz w:val="13"/>
                <w:szCs w:val="13"/>
              </w:rPr>
              <w:t>平方米</w:t>
            </w:r>
            <w:r>
              <w:rPr>
                <w:rFonts w:hint="eastAsia" w:ascii="仿宋_GB2312" w:hAnsi="仿宋_GB2312" w:eastAsia="仿宋_GB2312" w:cs="仿宋_GB2312"/>
                <w:color w:val="000000" w:themeColor="text1"/>
                <w:sz w:val="13"/>
                <w:szCs w:val="13"/>
                <w:lang w:eastAsia="zh-CN"/>
              </w:rPr>
              <w:t>（</w:t>
            </w:r>
            <w:r>
              <w:rPr>
                <w:rFonts w:hint="eastAsia" w:ascii="仿宋_GB2312" w:hAnsi="仿宋_GB2312" w:eastAsia="仿宋_GB2312" w:cs="仿宋_GB2312"/>
                <w:color w:val="000000" w:themeColor="text1"/>
                <w:sz w:val="13"/>
                <w:szCs w:val="13"/>
                <w:lang w:val="en-US" w:eastAsia="zh-CN"/>
              </w:rPr>
              <w:t>A区42403.08平方米，B区34929.31平方米</w:t>
            </w:r>
            <w:r>
              <w:rPr>
                <w:rFonts w:hint="eastAsia" w:ascii="仿宋_GB2312" w:hAnsi="仿宋_GB2312" w:eastAsia="仿宋_GB2312" w:cs="仿宋_GB2312"/>
                <w:color w:val="000000" w:themeColor="text1"/>
                <w:sz w:val="13"/>
                <w:szCs w:val="13"/>
                <w:lang w:eastAsia="zh-CN"/>
              </w:rPr>
              <w:t>）；</w:t>
            </w:r>
            <w:r>
              <w:rPr>
                <w:rFonts w:hint="eastAsia" w:ascii="仿宋_GB2312" w:hAnsi="仿宋_GB2312" w:eastAsia="仿宋_GB2312" w:cs="仿宋_GB2312"/>
                <w:color w:val="000000" w:themeColor="text1"/>
                <w:sz w:val="13"/>
                <w:szCs w:val="13"/>
              </w:rPr>
              <w:t>折合</w:t>
            </w:r>
            <w:r>
              <w:rPr>
                <w:rFonts w:hint="eastAsia" w:ascii="仿宋_GB2312" w:hAnsi="仿宋_GB2312" w:eastAsia="仿宋_GB2312" w:cs="仿宋_GB2312"/>
                <w:color w:val="000000" w:themeColor="text1"/>
                <w:sz w:val="13"/>
                <w:szCs w:val="13"/>
                <w:lang w:val="en-US" w:eastAsia="zh-CN"/>
              </w:rPr>
              <w:t>116</w:t>
            </w:r>
            <w:r>
              <w:rPr>
                <w:rFonts w:hint="eastAsia" w:ascii="仿宋_GB2312" w:hAnsi="仿宋_GB2312" w:eastAsia="仿宋_GB2312" w:cs="仿宋_GB2312"/>
                <w:color w:val="000000" w:themeColor="text1"/>
                <w:sz w:val="13"/>
                <w:szCs w:val="13"/>
              </w:rPr>
              <w:t>亩</w:t>
            </w:r>
            <w:r>
              <w:rPr>
                <w:rFonts w:hint="eastAsia" w:ascii="仿宋_GB2312" w:hAnsi="仿宋_GB2312" w:eastAsia="仿宋_GB2312" w:cs="仿宋_GB2312"/>
                <w:color w:val="000000" w:themeColor="text1"/>
                <w:sz w:val="13"/>
                <w:szCs w:val="13"/>
                <w:lang w:eastAsia="zh-CN"/>
              </w:rPr>
              <w:t>（</w:t>
            </w:r>
            <w:r>
              <w:rPr>
                <w:rFonts w:hint="eastAsia" w:ascii="仿宋_GB2312" w:hAnsi="仿宋_GB2312" w:eastAsia="仿宋_GB2312" w:cs="仿宋_GB2312"/>
                <w:color w:val="000000" w:themeColor="text1"/>
                <w:sz w:val="13"/>
                <w:szCs w:val="13"/>
                <w:lang w:val="en-US" w:eastAsia="zh-CN"/>
              </w:rPr>
              <w:t>A区63.6亩，B区52.4亩</w:t>
            </w:r>
            <w:r>
              <w:rPr>
                <w:rFonts w:hint="eastAsia" w:ascii="仿宋_GB2312" w:hAnsi="仿宋_GB2312" w:eastAsia="仿宋_GB2312" w:cs="仿宋_GB2312"/>
                <w:color w:val="000000" w:themeColor="text1"/>
                <w:sz w:val="13"/>
                <w:szCs w:val="13"/>
                <w:lang w:eastAsia="zh-CN"/>
              </w:rPr>
              <w:t>）</w:t>
            </w:r>
          </w:p>
        </w:tc>
        <w:tc>
          <w:tcPr>
            <w:tcW w:w="295" w:type="pct"/>
            <w:tcBorders>
              <w:right w:val="single" w:color="000000" w:sz="4" w:space="0"/>
            </w:tcBorders>
            <w:vAlign w:val="center"/>
          </w:tcPr>
          <w:p>
            <w:pPr>
              <w:spacing w:line="200" w:lineRule="exact"/>
              <w:jc w:val="both"/>
              <w:rPr>
                <w:rFonts w:hint="eastAsia" w:ascii="仿宋_GB2312" w:hAnsi="仿宋_GB2312" w:eastAsia="仿宋_GB2312" w:cs="仿宋_GB2312"/>
                <w:color w:val="auto"/>
                <w:sz w:val="13"/>
                <w:szCs w:val="13"/>
                <w:highlight w:val="none"/>
                <w:lang w:val="en-US" w:eastAsia="zh-CN"/>
              </w:rPr>
            </w:pPr>
            <w:r>
              <w:rPr>
                <w:rFonts w:hint="eastAsia" w:ascii="仿宋_GB2312" w:hAnsi="仿宋_GB2312" w:eastAsia="仿宋_GB2312" w:cs="仿宋_GB2312"/>
                <w:color w:val="auto"/>
                <w:sz w:val="13"/>
                <w:szCs w:val="13"/>
                <w:highlight w:val="none"/>
                <w:lang w:val="en-US" w:eastAsia="zh-CN"/>
              </w:rPr>
              <w:t>二类居住用地（</w:t>
            </w:r>
            <w:r>
              <w:rPr>
                <w:rFonts w:hint="eastAsia" w:ascii="仿宋_GB2312" w:hAnsi="仿宋_GB2312" w:eastAsia="仿宋_GB2312" w:cs="仿宋_GB2312"/>
                <w:color w:val="auto"/>
                <w:sz w:val="13"/>
                <w:szCs w:val="13"/>
                <w:highlight w:val="none"/>
              </w:rPr>
              <w:t>用地用海分类为</w:t>
            </w:r>
            <w:r>
              <w:rPr>
                <w:rFonts w:hint="eastAsia" w:ascii="仿宋_GB2312" w:hAnsi="仿宋_GB2312" w:eastAsia="仿宋_GB2312" w:cs="仿宋_GB2312"/>
                <w:color w:val="auto"/>
                <w:sz w:val="13"/>
                <w:szCs w:val="13"/>
                <w:highlight w:val="none"/>
                <w:lang w:val="en-US" w:eastAsia="zh-CN"/>
              </w:rPr>
              <w:t>二类</w:t>
            </w:r>
            <w:r>
              <w:rPr>
                <w:rFonts w:hint="eastAsia" w:ascii="仿宋_GB2312" w:hAnsi="仿宋_GB2312" w:eastAsia="仿宋_GB2312" w:cs="仿宋_GB2312"/>
                <w:color w:val="auto"/>
                <w:sz w:val="13"/>
                <w:szCs w:val="13"/>
                <w:highlight w:val="none"/>
              </w:rPr>
              <w:t>城镇住宅用地</w:t>
            </w:r>
            <w:r>
              <w:rPr>
                <w:rFonts w:hint="eastAsia" w:ascii="仿宋_GB2312" w:hAnsi="仿宋_GB2312" w:eastAsia="仿宋_GB2312" w:cs="仿宋_GB2312"/>
                <w:color w:val="auto"/>
                <w:sz w:val="13"/>
                <w:szCs w:val="13"/>
                <w:highlight w:val="none"/>
                <w:lang w:eastAsia="zh-CN"/>
              </w:rPr>
              <w:t>）</w:t>
            </w:r>
          </w:p>
        </w:tc>
        <w:tc>
          <w:tcPr>
            <w:tcW w:w="293" w:type="pct"/>
            <w:tcBorders>
              <w:right w:val="single" w:color="000000" w:sz="4" w:space="0"/>
            </w:tcBorders>
            <w:vAlign w:val="center"/>
          </w:tcPr>
          <w:p>
            <w:pPr>
              <w:spacing w:line="200" w:lineRule="exact"/>
              <w:jc w:val="both"/>
              <w:rPr>
                <w:rFonts w:hint="default" w:ascii="仿宋_GB2312" w:hAnsi="仿宋_GB2312" w:eastAsia="仿宋_GB2312" w:cs="仿宋_GB2312"/>
                <w:color w:val="auto"/>
                <w:sz w:val="13"/>
                <w:szCs w:val="13"/>
                <w:highlight w:val="none"/>
                <w:lang w:val="en-US" w:eastAsia="zh-CN"/>
              </w:rPr>
            </w:pPr>
            <w:r>
              <w:rPr>
                <w:rFonts w:hint="eastAsia" w:ascii="仿宋_GB2312" w:hAnsi="仿宋_GB2312" w:eastAsia="仿宋_GB2312" w:cs="仿宋_GB2312"/>
                <w:color w:val="auto"/>
                <w:sz w:val="13"/>
                <w:szCs w:val="13"/>
                <w:highlight w:val="none"/>
                <w:lang w:val="en-US" w:eastAsia="zh-CN"/>
              </w:rPr>
              <w:t>1</w:t>
            </w:r>
            <w:r>
              <w:rPr>
                <w:rFonts w:hint="eastAsia" w:ascii="仿宋_GB2312" w:hAnsi="仿宋_GB2312" w:eastAsia="仿宋_GB2312" w:cs="仿宋_GB2312"/>
                <w:color w:val="auto"/>
                <w:sz w:val="13"/>
                <w:szCs w:val="13"/>
                <w:highlight w:val="none"/>
              </w:rPr>
              <w:t>＜F≤</w:t>
            </w:r>
            <w:r>
              <w:rPr>
                <w:rFonts w:hint="eastAsia" w:ascii="仿宋_GB2312" w:hAnsi="仿宋_GB2312" w:eastAsia="仿宋_GB2312" w:cs="仿宋_GB2312"/>
                <w:color w:val="auto"/>
                <w:sz w:val="13"/>
                <w:szCs w:val="13"/>
                <w:highlight w:val="none"/>
                <w:lang w:val="en-US" w:eastAsia="zh-CN"/>
              </w:rPr>
              <w:t>2.2</w:t>
            </w:r>
          </w:p>
        </w:tc>
        <w:tc>
          <w:tcPr>
            <w:tcW w:w="390" w:type="pct"/>
            <w:gridSpan w:val="2"/>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B≤3</w:t>
            </w:r>
            <w:r>
              <w:rPr>
                <w:rFonts w:hint="eastAsia" w:ascii="仿宋_GB2312" w:hAnsi="仿宋_GB2312" w:eastAsia="仿宋_GB2312" w:cs="仿宋_GB2312"/>
                <w:color w:val="000000" w:themeColor="text1"/>
                <w:sz w:val="13"/>
                <w:szCs w:val="13"/>
                <w:lang w:val="en-US" w:eastAsia="zh-CN"/>
              </w:rPr>
              <w:t>0</w:t>
            </w:r>
            <w:r>
              <w:rPr>
                <w:rFonts w:hint="eastAsia" w:ascii="仿宋_GB2312" w:hAnsi="仿宋_GB2312" w:eastAsia="仿宋_GB2312" w:cs="仿宋_GB2312"/>
                <w:color w:val="000000" w:themeColor="text1"/>
                <w:sz w:val="13"/>
                <w:szCs w:val="13"/>
              </w:rPr>
              <w:t>%</w:t>
            </w:r>
          </w:p>
        </w:tc>
        <w:tc>
          <w:tcPr>
            <w:tcW w:w="254" w:type="pct"/>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G≥</w:t>
            </w:r>
            <w:r>
              <w:rPr>
                <w:rFonts w:hint="eastAsia" w:ascii="仿宋_GB2312" w:hAnsi="仿宋_GB2312" w:eastAsia="仿宋_GB2312" w:cs="仿宋_GB2312"/>
                <w:color w:val="000000" w:themeColor="text1"/>
                <w:sz w:val="13"/>
                <w:szCs w:val="13"/>
                <w:lang w:val="en-US" w:eastAsia="zh-CN"/>
              </w:rPr>
              <w:t>30</w:t>
            </w:r>
            <w:r>
              <w:rPr>
                <w:rFonts w:hint="eastAsia" w:ascii="仿宋_GB2312" w:hAnsi="仿宋_GB2312" w:eastAsia="仿宋_GB2312" w:cs="仿宋_GB2312"/>
                <w:color w:val="000000" w:themeColor="text1"/>
                <w:sz w:val="13"/>
                <w:szCs w:val="13"/>
              </w:rPr>
              <w:t>%</w:t>
            </w:r>
          </w:p>
        </w:tc>
        <w:tc>
          <w:tcPr>
            <w:tcW w:w="371" w:type="pct"/>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HL≤80米</w:t>
            </w:r>
          </w:p>
        </w:tc>
        <w:tc>
          <w:tcPr>
            <w:tcW w:w="527" w:type="pct"/>
            <w:vAlign w:val="center"/>
          </w:tcPr>
          <w:p>
            <w:pPr>
              <w:spacing w:line="200" w:lineRule="exact"/>
              <w:jc w:val="left"/>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详见《</w:t>
            </w:r>
            <w:r>
              <w:rPr>
                <w:rFonts w:hint="eastAsia" w:ascii="仿宋_GB2312" w:hAnsi="仿宋_GB2312" w:eastAsia="仿宋_GB2312" w:cs="仿宋_GB2312"/>
                <w:color w:val="000000" w:themeColor="text1"/>
                <w:sz w:val="13"/>
                <w:szCs w:val="13"/>
                <w:lang w:val="en-US" w:eastAsia="zh-CN"/>
              </w:rPr>
              <w:t>达州市翠屏山片区B02-01-01地块规划条件</w:t>
            </w:r>
            <w:r>
              <w:rPr>
                <w:rFonts w:hint="eastAsia" w:ascii="仿宋_GB2312" w:hAnsi="仿宋_GB2312" w:eastAsia="仿宋_GB2312" w:cs="仿宋_GB2312"/>
                <w:color w:val="000000" w:themeColor="text1"/>
                <w:sz w:val="13"/>
                <w:szCs w:val="13"/>
              </w:rPr>
              <w:t>》</w:t>
            </w:r>
          </w:p>
          <w:p>
            <w:pPr>
              <w:spacing w:line="200" w:lineRule="exact"/>
              <w:rPr>
                <w:rFonts w:ascii="仿宋_GB2312" w:hAnsi="仿宋_GB2312" w:eastAsia="仿宋_GB2312" w:cs="仿宋_GB2312"/>
                <w:color w:val="000000" w:themeColor="text1"/>
                <w:kern w:val="2"/>
                <w:sz w:val="13"/>
                <w:szCs w:val="13"/>
                <w:lang w:val="en-US" w:eastAsia="zh-CN" w:bidi="ar-SA"/>
              </w:rPr>
            </w:pPr>
          </w:p>
        </w:tc>
        <w:tc>
          <w:tcPr>
            <w:tcW w:w="483" w:type="pct"/>
            <w:tcBorders>
              <w:right w:val="single" w:color="000000" w:sz="4" w:space="0"/>
            </w:tcBorders>
            <w:vAlign w:val="center"/>
          </w:tcPr>
          <w:p>
            <w:pPr>
              <w:spacing w:line="200" w:lineRule="exact"/>
              <w:jc w:val="left"/>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详见《</w:t>
            </w:r>
            <w:r>
              <w:rPr>
                <w:rFonts w:hint="eastAsia" w:ascii="仿宋_GB2312" w:hAnsi="仿宋_GB2312" w:eastAsia="仿宋_GB2312" w:cs="仿宋_GB2312"/>
                <w:color w:val="000000" w:themeColor="text1"/>
                <w:sz w:val="13"/>
                <w:szCs w:val="13"/>
                <w:lang w:val="en-US" w:eastAsia="zh-CN"/>
              </w:rPr>
              <w:t>达州市翠屏山片区B02-01-01地块规划条件</w:t>
            </w:r>
            <w:r>
              <w:rPr>
                <w:rFonts w:hint="eastAsia" w:ascii="仿宋_GB2312" w:hAnsi="仿宋_GB2312" w:eastAsia="仿宋_GB2312" w:cs="仿宋_GB2312"/>
                <w:color w:val="000000" w:themeColor="text1"/>
                <w:sz w:val="13"/>
                <w:szCs w:val="13"/>
              </w:rPr>
              <w:t>》</w:t>
            </w:r>
          </w:p>
          <w:p>
            <w:pPr>
              <w:spacing w:line="200" w:lineRule="exact"/>
              <w:rPr>
                <w:rFonts w:ascii="仿宋_GB2312" w:hAnsi="仿宋_GB2312" w:eastAsia="仿宋_GB2312" w:cs="仿宋_GB2312"/>
                <w:color w:val="000000" w:themeColor="text1"/>
                <w:sz w:val="13"/>
                <w:szCs w:val="13"/>
              </w:rPr>
            </w:pPr>
          </w:p>
        </w:tc>
        <w:tc>
          <w:tcPr>
            <w:tcW w:w="310" w:type="pct"/>
            <w:tcBorders>
              <w:right w:val="single" w:color="000000" w:sz="4" w:space="0"/>
            </w:tcBorders>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商业40年、住宅70年</w:t>
            </w:r>
          </w:p>
        </w:tc>
        <w:tc>
          <w:tcPr>
            <w:tcW w:w="302" w:type="pct"/>
            <w:tcBorders>
              <w:right w:val="single" w:color="000000" w:sz="4" w:space="0"/>
            </w:tcBorders>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lang w:val="en-US" w:eastAsia="zh-CN"/>
              </w:rPr>
              <w:t>390</w:t>
            </w:r>
            <w:r>
              <w:rPr>
                <w:rFonts w:hint="eastAsia" w:ascii="仿宋_GB2312" w:hAnsi="仿宋_GB2312" w:eastAsia="仿宋_GB2312" w:cs="仿宋_GB2312"/>
                <w:color w:val="000000" w:themeColor="text1"/>
                <w:sz w:val="13"/>
                <w:szCs w:val="13"/>
              </w:rPr>
              <w:t>万元/亩</w:t>
            </w:r>
          </w:p>
          <w:p>
            <w:pPr>
              <w:spacing w:line="200" w:lineRule="exact"/>
              <w:jc w:val="center"/>
              <w:rPr>
                <w:rFonts w:ascii="仿宋_GB2312" w:hAnsi="仿宋_GB2312" w:eastAsia="仿宋_GB2312" w:cs="仿宋_GB2312"/>
                <w:color w:val="000000" w:themeColor="text1"/>
                <w:sz w:val="13"/>
                <w:szCs w:val="13"/>
              </w:rPr>
            </w:pPr>
          </w:p>
        </w:tc>
        <w:tc>
          <w:tcPr>
            <w:tcW w:w="394" w:type="pct"/>
            <w:tcBorders>
              <w:right w:val="single" w:color="000000" w:sz="4" w:space="0"/>
            </w:tcBorders>
            <w:vAlign w:val="center"/>
          </w:tcPr>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5 万元/亩或 5 万元/亩</w:t>
            </w:r>
          </w:p>
          <w:p>
            <w:pPr>
              <w:spacing w:line="200" w:lineRule="exact"/>
              <w:jc w:val="center"/>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rPr>
              <w:t>的整数倍</w:t>
            </w:r>
          </w:p>
          <w:p>
            <w:pPr>
              <w:spacing w:line="200" w:lineRule="exact"/>
              <w:jc w:val="center"/>
              <w:rPr>
                <w:rFonts w:ascii="仿宋_GB2312" w:hAnsi="仿宋_GB2312" w:eastAsia="仿宋_GB2312" w:cs="仿宋_GB2312"/>
                <w:color w:val="000000" w:themeColor="text1"/>
                <w:sz w:val="13"/>
                <w:szCs w:val="13"/>
              </w:rPr>
            </w:pPr>
          </w:p>
        </w:tc>
        <w:tc>
          <w:tcPr>
            <w:tcW w:w="335" w:type="pct"/>
            <w:tcBorders>
              <w:right w:val="single" w:color="000000" w:sz="4" w:space="0"/>
            </w:tcBorders>
            <w:vAlign w:val="center"/>
          </w:tcPr>
          <w:p>
            <w:pPr>
              <w:spacing w:line="200" w:lineRule="exact"/>
              <w:jc w:val="both"/>
              <w:rPr>
                <w:rFonts w:ascii="仿宋_GB2312" w:hAnsi="仿宋_GB2312" w:eastAsia="仿宋_GB2312" w:cs="仿宋_GB2312"/>
                <w:color w:val="000000" w:themeColor="text1"/>
                <w:sz w:val="13"/>
                <w:szCs w:val="13"/>
              </w:rPr>
            </w:pPr>
            <w:r>
              <w:rPr>
                <w:rFonts w:hint="eastAsia" w:ascii="仿宋_GB2312" w:hAnsi="仿宋_GB2312" w:eastAsia="仿宋_GB2312" w:cs="仿宋_GB2312"/>
                <w:color w:val="000000" w:themeColor="text1"/>
                <w:sz w:val="13"/>
                <w:szCs w:val="13"/>
                <w:lang w:val="en-US" w:eastAsia="zh-CN"/>
              </w:rPr>
              <w:t>22620</w:t>
            </w:r>
            <w:r>
              <w:rPr>
                <w:rFonts w:hint="eastAsia" w:ascii="仿宋_GB2312" w:hAnsi="仿宋_GB2312" w:eastAsia="仿宋_GB2312" w:cs="仿宋_GB2312"/>
                <w:color w:val="000000" w:themeColor="text1"/>
                <w:sz w:val="13"/>
                <w:szCs w:val="13"/>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7" w:type="pct"/>
            <w:tcBorders>
              <w:left w:val="single" w:color="000000" w:sz="4" w:space="0"/>
            </w:tcBorders>
            <w:vAlign w:val="center"/>
          </w:tcPr>
          <w:p>
            <w:pPr>
              <w:jc w:val="center"/>
              <w:rPr>
                <w:rFonts w:hint="eastAsia" w:ascii="黑体" w:hAnsi="黑体" w:eastAsia="黑体" w:cs="宋体"/>
                <w:color w:val="000000" w:themeColor="text1"/>
                <w:sz w:val="13"/>
                <w:szCs w:val="13"/>
                <w:lang w:val="en-US" w:eastAsia="zh-CN"/>
              </w:rPr>
            </w:pPr>
            <w:r>
              <w:rPr>
                <w:rFonts w:hint="eastAsia" w:ascii="黑体" w:hAnsi="黑体" w:eastAsia="黑体" w:cs="宋体"/>
                <w:color w:val="000000" w:themeColor="text1"/>
                <w:sz w:val="13"/>
                <w:szCs w:val="13"/>
                <w:lang w:val="en-US" w:eastAsia="zh-CN"/>
              </w:rPr>
              <w:t>3</w:t>
            </w:r>
          </w:p>
        </w:tc>
        <w:tc>
          <w:tcPr>
            <w:tcW w:w="320" w:type="pct"/>
            <w:tcBorders>
              <w:right w:val="single" w:color="000000" w:sz="4" w:space="0"/>
            </w:tcBorders>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三里坪片区B01-4</w:t>
            </w:r>
          </w:p>
        </w:tc>
        <w:tc>
          <w:tcPr>
            <w:tcW w:w="221" w:type="pct"/>
            <w:tcBorders>
              <w:right w:val="single" w:color="000000" w:sz="4" w:space="0"/>
            </w:tcBorders>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达州市三里坪片区</w:t>
            </w:r>
          </w:p>
        </w:tc>
        <w:tc>
          <w:tcPr>
            <w:tcW w:w="350" w:type="pct"/>
            <w:tcBorders>
              <w:right w:val="single" w:color="000000" w:sz="4" w:space="0"/>
            </w:tcBorders>
            <w:vAlign w:val="center"/>
          </w:tcPr>
          <w:p>
            <w:pPr>
              <w:spacing w:line="200" w:lineRule="exact"/>
              <w:jc w:val="both"/>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58380.9方米（折合87.57亩）</w:t>
            </w:r>
          </w:p>
        </w:tc>
        <w:tc>
          <w:tcPr>
            <w:tcW w:w="295" w:type="pct"/>
            <w:tcBorders>
              <w:right w:val="single" w:color="000000" w:sz="4" w:space="0"/>
            </w:tcBorders>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二类居住用地</w:t>
            </w:r>
            <w:r>
              <w:rPr>
                <w:rFonts w:hint="eastAsia" w:ascii="仿宋_GB2312" w:hAnsi="仿宋_GB2312" w:eastAsia="仿宋_GB2312" w:cs="仿宋_GB2312"/>
                <w:color w:val="auto"/>
                <w:sz w:val="13"/>
                <w:szCs w:val="13"/>
                <w:highlight w:val="none"/>
                <w:lang w:val="en-US" w:eastAsia="zh-CN"/>
              </w:rPr>
              <w:t>（</w:t>
            </w:r>
            <w:r>
              <w:rPr>
                <w:rFonts w:hint="eastAsia" w:ascii="仿宋_GB2312" w:hAnsi="仿宋_GB2312" w:eastAsia="仿宋_GB2312" w:cs="仿宋_GB2312"/>
                <w:color w:val="auto"/>
                <w:sz w:val="13"/>
                <w:szCs w:val="13"/>
                <w:highlight w:val="none"/>
              </w:rPr>
              <w:t>用地用海分类为</w:t>
            </w:r>
            <w:r>
              <w:rPr>
                <w:rFonts w:hint="eastAsia" w:ascii="仿宋_GB2312" w:hAnsi="仿宋_GB2312" w:eastAsia="仿宋_GB2312" w:cs="仿宋_GB2312"/>
                <w:color w:val="auto"/>
                <w:sz w:val="13"/>
                <w:szCs w:val="13"/>
                <w:highlight w:val="none"/>
                <w:lang w:val="en-US" w:eastAsia="zh-CN"/>
              </w:rPr>
              <w:t>二类</w:t>
            </w:r>
            <w:r>
              <w:rPr>
                <w:rFonts w:hint="eastAsia" w:ascii="仿宋_GB2312" w:hAnsi="仿宋_GB2312" w:eastAsia="仿宋_GB2312" w:cs="仿宋_GB2312"/>
                <w:color w:val="auto"/>
                <w:sz w:val="13"/>
                <w:szCs w:val="13"/>
                <w:highlight w:val="none"/>
              </w:rPr>
              <w:t>城镇住宅用地</w:t>
            </w:r>
            <w:r>
              <w:rPr>
                <w:rFonts w:hint="eastAsia" w:ascii="仿宋_GB2312" w:hAnsi="仿宋_GB2312" w:eastAsia="仿宋_GB2312" w:cs="仿宋_GB2312"/>
                <w:color w:val="auto"/>
                <w:sz w:val="13"/>
                <w:szCs w:val="13"/>
                <w:highlight w:val="none"/>
                <w:lang w:eastAsia="zh-CN"/>
              </w:rPr>
              <w:t>）</w:t>
            </w:r>
          </w:p>
        </w:tc>
        <w:tc>
          <w:tcPr>
            <w:tcW w:w="293" w:type="pct"/>
            <w:tcBorders>
              <w:right w:val="single" w:color="000000" w:sz="4" w:space="0"/>
            </w:tcBorders>
            <w:vAlign w:val="center"/>
          </w:tcPr>
          <w:p>
            <w:pPr>
              <w:spacing w:line="200" w:lineRule="exact"/>
              <w:jc w:val="both"/>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1</w:t>
            </w:r>
            <w:r>
              <w:rPr>
                <w:rFonts w:hint="eastAsia" w:ascii="仿宋_GB2312" w:hAnsi="仿宋_GB2312" w:eastAsia="仿宋_GB2312" w:cs="仿宋_GB2312"/>
                <w:color w:val="000000" w:themeColor="text1"/>
                <w:sz w:val="13"/>
                <w:szCs w:val="13"/>
              </w:rPr>
              <w:t>＜F≤</w:t>
            </w:r>
            <w:r>
              <w:rPr>
                <w:rFonts w:hint="eastAsia" w:ascii="仿宋_GB2312" w:hAnsi="仿宋_GB2312" w:eastAsia="仿宋_GB2312" w:cs="仿宋_GB2312"/>
                <w:color w:val="000000" w:themeColor="text1"/>
                <w:sz w:val="13"/>
                <w:szCs w:val="13"/>
                <w:lang w:val="en-US" w:eastAsia="zh-CN"/>
              </w:rPr>
              <w:t>3.5</w:t>
            </w:r>
          </w:p>
        </w:tc>
        <w:tc>
          <w:tcPr>
            <w:tcW w:w="390" w:type="pct"/>
            <w:gridSpan w:val="2"/>
            <w:vAlign w:val="center"/>
          </w:tcPr>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B≤25%</w:t>
            </w:r>
          </w:p>
        </w:tc>
        <w:tc>
          <w:tcPr>
            <w:tcW w:w="254" w:type="pct"/>
            <w:vAlign w:val="center"/>
          </w:tcPr>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G≥35%</w:t>
            </w:r>
          </w:p>
        </w:tc>
        <w:tc>
          <w:tcPr>
            <w:tcW w:w="371" w:type="pct"/>
            <w:vAlign w:val="center"/>
          </w:tcPr>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100米</w:t>
            </w:r>
          </w:p>
        </w:tc>
        <w:tc>
          <w:tcPr>
            <w:tcW w:w="527" w:type="pct"/>
            <w:vAlign w:val="center"/>
          </w:tcPr>
          <w:p>
            <w:pPr>
              <w:spacing w:line="200" w:lineRule="exact"/>
              <w:jc w:val="center"/>
              <w:rPr>
                <w:rFonts w:hint="default"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详见《达州市三里坪片区B01-4地块规划条件》</w:t>
            </w:r>
          </w:p>
          <w:p>
            <w:pPr>
              <w:spacing w:line="200" w:lineRule="exact"/>
              <w:jc w:val="center"/>
              <w:rPr>
                <w:rFonts w:hint="eastAsia" w:ascii="仿宋_GB2312" w:hAnsi="仿宋_GB2312" w:eastAsia="仿宋_GB2312" w:cs="仿宋_GB2312"/>
                <w:color w:val="000000" w:themeColor="text1"/>
                <w:kern w:val="2"/>
                <w:sz w:val="13"/>
                <w:szCs w:val="13"/>
                <w:lang w:val="en-US" w:eastAsia="zh-CN" w:bidi="ar-SA"/>
              </w:rPr>
            </w:pPr>
          </w:p>
        </w:tc>
        <w:tc>
          <w:tcPr>
            <w:tcW w:w="483" w:type="pct"/>
            <w:tcBorders>
              <w:right w:val="single" w:color="000000" w:sz="4" w:space="0"/>
            </w:tcBorders>
            <w:vAlign w:val="center"/>
          </w:tcPr>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详见《达州市三里坪片区B01-4地块规划条件》</w:t>
            </w:r>
          </w:p>
        </w:tc>
        <w:tc>
          <w:tcPr>
            <w:tcW w:w="310" w:type="pct"/>
            <w:tcBorders>
              <w:right w:val="single" w:color="000000" w:sz="4" w:space="0"/>
            </w:tcBorders>
            <w:vAlign w:val="center"/>
          </w:tcPr>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商业40年、住宅70年</w:t>
            </w:r>
          </w:p>
        </w:tc>
        <w:tc>
          <w:tcPr>
            <w:tcW w:w="302" w:type="pct"/>
            <w:tcBorders>
              <w:right w:val="single" w:color="000000" w:sz="4" w:space="0"/>
            </w:tcBorders>
            <w:vAlign w:val="center"/>
          </w:tcPr>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537万元/亩</w:t>
            </w:r>
          </w:p>
          <w:p>
            <w:pPr>
              <w:spacing w:line="200" w:lineRule="exact"/>
              <w:jc w:val="center"/>
              <w:rPr>
                <w:rFonts w:hint="eastAsia" w:ascii="仿宋_GB2312" w:hAnsi="仿宋_GB2312" w:eastAsia="仿宋_GB2312" w:cs="仿宋_GB2312"/>
                <w:color w:val="000000" w:themeColor="text1"/>
                <w:sz w:val="13"/>
                <w:szCs w:val="13"/>
                <w:lang w:val="en-US" w:eastAsia="zh-CN"/>
              </w:rPr>
            </w:pPr>
          </w:p>
        </w:tc>
        <w:tc>
          <w:tcPr>
            <w:tcW w:w="394" w:type="pct"/>
            <w:tcBorders>
              <w:right w:val="single" w:color="000000" w:sz="4" w:space="0"/>
            </w:tcBorders>
            <w:vAlign w:val="center"/>
          </w:tcPr>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5 万元/亩或 5 万元/亩</w:t>
            </w:r>
          </w:p>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的整数倍</w:t>
            </w:r>
          </w:p>
          <w:p>
            <w:pPr>
              <w:spacing w:line="200" w:lineRule="exact"/>
              <w:jc w:val="center"/>
              <w:rPr>
                <w:rFonts w:hint="eastAsia" w:ascii="仿宋_GB2312" w:hAnsi="仿宋_GB2312" w:eastAsia="仿宋_GB2312" w:cs="仿宋_GB2312"/>
                <w:color w:val="000000" w:themeColor="text1"/>
                <w:sz w:val="13"/>
                <w:szCs w:val="13"/>
                <w:lang w:val="en-US" w:eastAsia="zh-CN"/>
              </w:rPr>
            </w:pPr>
          </w:p>
        </w:tc>
        <w:tc>
          <w:tcPr>
            <w:tcW w:w="335" w:type="pct"/>
            <w:tcBorders>
              <w:right w:val="single" w:color="000000" w:sz="4" w:space="0"/>
            </w:tcBorders>
            <w:vAlign w:val="center"/>
          </w:tcPr>
          <w:p>
            <w:pPr>
              <w:spacing w:line="200" w:lineRule="exact"/>
              <w:jc w:val="center"/>
              <w:rPr>
                <w:rFonts w:hint="eastAsia" w:ascii="仿宋_GB2312" w:hAnsi="仿宋_GB2312" w:eastAsia="仿宋_GB2312" w:cs="仿宋_GB2312"/>
                <w:color w:val="000000" w:themeColor="text1"/>
                <w:sz w:val="13"/>
                <w:szCs w:val="13"/>
                <w:lang w:val="en-US" w:eastAsia="zh-CN"/>
              </w:rPr>
            </w:pPr>
            <w:r>
              <w:rPr>
                <w:rFonts w:hint="eastAsia" w:ascii="仿宋_GB2312" w:hAnsi="仿宋_GB2312" w:eastAsia="仿宋_GB2312" w:cs="仿宋_GB2312"/>
                <w:color w:val="000000" w:themeColor="text1"/>
                <w:sz w:val="13"/>
                <w:szCs w:val="13"/>
                <w:lang w:val="en-US" w:eastAsia="zh-CN"/>
              </w:rPr>
              <w:t>14100万元</w:t>
            </w:r>
          </w:p>
        </w:tc>
      </w:tr>
    </w:tbl>
    <w:p>
      <w:pPr>
        <w:snapToGrid w:val="0"/>
        <w:spacing w:line="578"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hAns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22"/>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22"/>
          <w:rFonts w:asciiTheme="minorEastAsia" w:hAnsiTheme="minorEastAsia" w:eastAsiaTheme="minorEastAsia"/>
          <w:b/>
          <w:color w:val="FF0000"/>
          <w:sz w:val="28"/>
          <w:szCs w:val="28"/>
        </w:rPr>
      </w:pPr>
      <w:r>
        <w:rPr>
          <w:rStyle w:val="22"/>
          <w:rFonts w:hint="eastAsia" w:cs="宋体" w:asciiTheme="minorEastAsia" w:hAnsiTheme="minorEastAsia" w:eastAsiaTheme="minorEastAsia"/>
          <w:color w:val="000000" w:themeColor="text1"/>
          <w:sz w:val="28"/>
          <w:szCs w:val="28"/>
          <w:u w:val="none"/>
        </w:rPr>
        <w:t>已完成用户注册的竞买申请人须在</w:t>
      </w:r>
      <w:r>
        <w:rPr>
          <w:rStyle w:val="22"/>
          <w:rFonts w:ascii="仿宋" w:hAnsi="仿宋" w:eastAsia="仿宋" w:cs="宋体"/>
          <w:color w:val="FF0000"/>
          <w:sz w:val="28"/>
          <w:szCs w:val="28"/>
        </w:rPr>
        <w:t>202</w:t>
      </w:r>
      <w:r>
        <w:rPr>
          <w:rStyle w:val="22"/>
          <w:rFonts w:hint="eastAsia" w:ascii="仿宋" w:hAnsi="仿宋" w:eastAsia="仿宋" w:cs="宋体"/>
          <w:color w:val="FF0000"/>
          <w:sz w:val="28"/>
          <w:szCs w:val="28"/>
        </w:rPr>
        <w:t>1年1</w:t>
      </w:r>
      <w:r>
        <w:rPr>
          <w:rStyle w:val="22"/>
          <w:rFonts w:hint="eastAsia" w:ascii="仿宋" w:hAnsi="仿宋" w:eastAsia="仿宋" w:cs="宋体"/>
          <w:color w:val="FF0000"/>
          <w:sz w:val="28"/>
          <w:szCs w:val="28"/>
          <w:lang w:val="en-US" w:eastAsia="zh-CN"/>
        </w:rPr>
        <w:t>2</w:t>
      </w:r>
      <w:r>
        <w:rPr>
          <w:rStyle w:val="22"/>
          <w:rFonts w:hint="eastAsia" w:ascii="仿宋" w:hAnsi="仿宋" w:eastAsia="仿宋" w:cs="宋体"/>
          <w:color w:val="FF0000"/>
          <w:sz w:val="28"/>
          <w:szCs w:val="28"/>
        </w:rPr>
        <w:t>月</w:t>
      </w:r>
      <w:r>
        <w:rPr>
          <w:rStyle w:val="22"/>
          <w:rFonts w:hint="eastAsia" w:ascii="仿宋" w:hAnsi="仿宋" w:eastAsia="仿宋" w:cs="宋体"/>
          <w:color w:val="FF0000"/>
          <w:sz w:val="28"/>
          <w:szCs w:val="28"/>
          <w:lang w:val="en-US" w:eastAsia="zh-CN"/>
        </w:rPr>
        <w:t>19</w:t>
      </w:r>
      <w:r>
        <w:rPr>
          <w:rStyle w:val="22"/>
          <w:rFonts w:hint="eastAsia" w:ascii="仿宋" w:hAnsi="仿宋" w:eastAsia="仿宋" w:cs="宋体"/>
          <w:color w:val="FF0000"/>
          <w:sz w:val="28"/>
          <w:szCs w:val="28"/>
        </w:rPr>
        <w:t>日</w:t>
      </w:r>
      <w:r>
        <w:rPr>
          <w:rStyle w:val="22"/>
          <w:rFonts w:ascii="仿宋" w:hAnsi="仿宋" w:eastAsia="仿宋" w:cs="宋体"/>
          <w:color w:val="FF0000"/>
          <w:sz w:val="28"/>
          <w:szCs w:val="28"/>
        </w:rPr>
        <w:t>17:00</w:t>
      </w:r>
      <w:r>
        <w:rPr>
          <w:rStyle w:val="22"/>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22"/>
          <w:rFonts w:ascii="仿宋" w:hAnsi="仿宋" w:eastAsia="仿宋" w:cs="宋体"/>
          <w:color w:val="FF0000"/>
          <w:sz w:val="28"/>
          <w:szCs w:val="28"/>
        </w:rPr>
        <w:t>202</w:t>
      </w:r>
      <w:r>
        <w:rPr>
          <w:rStyle w:val="22"/>
          <w:rFonts w:hint="eastAsia" w:ascii="仿宋" w:hAnsi="仿宋" w:eastAsia="仿宋" w:cs="宋体"/>
          <w:color w:val="FF0000"/>
          <w:sz w:val="28"/>
          <w:szCs w:val="28"/>
        </w:rPr>
        <w:t>1年1</w:t>
      </w:r>
      <w:r>
        <w:rPr>
          <w:rStyle w:val="22"/>
          <w:rFonts w:hint="eastAsia" w:ascii="仿宋" w:hAnsi="仿宋" w:eastAsia="仿宋" w:cs="宋体"/>
          <w:color w:val="FF0000"/>
          <w:sz w:val="28"/>
          <w:szCs w:val="28"/>
          <w:lang w:val="en-US" w:eastAsia="zh-CN"/>
        </w:rPr>
        <w:t>2</w:t>
      </w:r>
      <w:r>
        <w:rPr>
          <w:rStyle w:val="22"/>
          <w:rFonts w:hint="eastAsia" w:ascii="仿宋" w:hAnsi="仿宋" w:eastAsia="仿宋" w:cs="宋体"/>
          <w:color w:val="FF0000"/>
          <w:sz w:val="28"/>
          <w:szCs w:val="28"/>
        </w:rPr>
        <w:t>月</w:t>
      </w:r>
      <w:r>
        <w:rPr>
          <w:rStyle w:val="22"/>
          <w:rFonts w:hint="eastAsia" w:ascii="仿宋" w:hAnsi="仿宋" w:eastAsia="仿宋" w:cs="宋体"/>
          <w:color w:val="FF0000"/>
          <w:sz w:val="28"/>
          <w:szCs w:val="28"/>
          <w:lang w:val="en-US" w:eastAsia="zh-CN"/>
        </w:rPr>
        <w:t>19</w:t>
      </w:r>
      <w:r>
        <w:rPr>
          <w:rStyle w:val="22"/>
          <w:rFonts w:hint="eastAsia" w:ascii="仿宋" w:hAnsi="仿宋" w:eastAsia="仿宋" w:cs="宋体"/>
          <w:color w:val="FF0000"/>
          <w:sz w:val="28"/>
          <w:szCs w:val="28"/>
        </w:rPr>
        <w:t>日</w:t>
      </w:r>
      <w:r>
        <w:rPr>
          <w:rStyle w:val="22"/>
          <w:rFonts w:ascii="仿宋" w:hAnsi="仿宋" w:eastAsia="仿宋" w:cs="宋体"/>
          <w:color w:val="FF0000"/>
          <w:sz w:val="28"/>
          <w:szCs w:val="28"/>
        </w:rPr>
        <w:t>17:00</w:t>
      </w:r>
      <w:r>
        <w:rPr>
          <w:rStyle w:val="22"/>
          <w:rFonts w:hint="eastAsia" w:cs="宋体" w:asciiTheme="minorEastAsia" w:hAnsiTheme="minorEastAsia" w:eastAsiaTheme="minorEastAsia"/>
          <w:b/>
          <w:color w:val="FF0000"/>
          <w:sz w:val="28"/>
          <w:szCs w:val="28"/>
        </w:rPr>
        <w:t>时</w:t>
      </w:r>
      <w:r>
        <w:rPr>
          <w:rStyle w:val="22"/>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w:t>
      </w:r>
      <w:r>
        <w:rPr>
          <w:rFonts w:hint="eastAsia" w:ascii="楷体" w:hAnsi="楷体" w:eastAsia="楷体" w:cs="宋体"/>
          <w:b/>
          <w:color w:val="FF0000"/>
          <w:sz w:val="28"/>
          <w:szCs w:val="28"/>
        </w:rPr>
        <w:t xml:space="preserve"> </w:t>
      </w:r>
      <w:r>
        <w:rPr>
          <w:rFonts w:hint="eastAsia" w:ascii="楷体" w:hAnsi="楷体" w:eastAsia="楷体" w:cs="宋体"/>
          <w:b/>
          <w:color w:val="FF0000"/>
          <w:sz w:val="28"/>
          <w:szCs w:val="28"/>
          <w:u w:val="single"/>
        </w:rPr>
        <w:t>2021年1</w:t>
      </w:r>
      <w:r>
        <w:rPr>
          <w:rFonts w:hint="eastAsia" w:ascii="楷体" w:hAnsi="楷体" w:eastAsia="楷体" w:cs="宋体"/>
          <w:b/>
          <w:color w:val="FF0000"/>
          <w:sz w:val="28"/>
          <w:szCs w:val="28"/>
          <w:u w:val="single"/>
          <w:lang w:val="en-US" w:eastAsia="zh-CN"/>
        </w:rPr>
        <w:t>2</w:t>
      </w:r>
      <w:r>
        <w:rPr>
          <w:rFonts w:hint="eastAsia" w:ascii="楷体" w:hAnsi="楷体" w:eastAsia="楷体" w:cs="宋体"/>
          <w:b/>
          <w:color w:val="FF0000"/>
          <w:sz w:val="28"/>
          <w:szCs w:val="28"/>
          <w:u w:val="single"/>
        </w:rPr>
        <w:t>月</w:t>
      </w:r>
      <w:r>
        <w:rPr>
          <w:rFonts w:hint="eastAsia" w:ascii="楷体" w:hAnsi="楷体" w:eastAsia="楷体" w:cs="宋体"/>
          <w:b/>
          <w:color w:val="FF0000"/>
          <w:sz w:val="28"/>
          <w:szCs w:val="28"/>
          <w:u w:val="single"/>
          <w:lang w:val="en-US" w:eastAsia="zh-CN"/>
        </w:rPr>
        <w:t>20</w:t>
      </w:r>
      <w:r>
        <w:rPr>
          <w:rFonts w:hint="eastAsia" w:ascii="楷体" w:hAnsi="楷体" w:eastAsia="楷体" w:cs="宋体"/>
          <w:b/>
          <w:color w:val="FF0000"/>
          <w:sz w:val="28"/>
          <w:szCs w:val="28"/>
          <w:u w:val="single"/>
        </w:rPr>
        <w:t>日</w:t>
      </w:r>
      <w:r>
        <w:rPr>
          <w:rFonts w:hint="eastAsia" w:ascii="楷体" w:hAnsi="楷体" w:eastAsia="楷体" w:cs="宋体"/>
          <w:b/>
          <w:color w:val="FF0000"/>
          <w:sz w:val="28"/>
          <w:szCs w:val="28"/>
        </w:rPr>
        <w:t>）</w:t>
      </w:r>
      <w:r>
        <w:rPr>
          <w:rFonts w:hint="eastAsia" w:ascii="楷体" w:hAnsi="楷体" w:eastAsia="楷体" w:cs="宋体"/>
          <w:b/>
          <w:color w:val="FF0000"/>
          <w:sz w:val="28"/>
          <w:szCs w:val="28"/>
          <w:u w:val="single"/>
          <w:lang w:val="en-US" w:eastAsia="zh-CN"/>
        </w:rPr>
        <w:t>9</w:t>
      </w:r>
      <w:r>
        <w:rPr>
          <w:rFonts w:ascii="仿宋" w:hAnsi="仿宋" w:eastAsia="仿宋" w:cs="宋体"/>
          <w:b/>
          <w:color w:val="FF0000"/>
          <w:sz w:val="28"/>
          <w:szCs w:val="28"/>
          <w:u w:val="single"/>
        </w:rPr>
        <w:t>:</w:t>
      </w:r>
      <w:r>
        <w:rPr>
          <w:rFonts w:hint="eastAsia" w:ascii="仿宋" w:hAnsi="仿宋" w:eastAsia="仿宋" w:cs="宋体"/>
          <w:b/>
          <w:color w:val="FF0000"/>
          <w:sz w:val="28"/>
          <w:szCs w:val="28"/>
          <w:u w:val="single"/>
          <w:lang w:val="en-US" w:eastAsia="zh-CN"/>
        </w:rPr>
        <w:t>0</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u w:val="single"/>
        </w:rPr>
        <w:t>之</w:t>
      </w:r>
      <w:r>
        <w:rPr>
          <w:rFonts w:hint="eastAsia" w:cs="宋体" w:asciiTheme="minorEastAsia" w:hAnsiTheme="minorEastAsia" w:eastAsiaTheme="minorEastAsia"/>
          <w:color w:val="000000" w:themeColor="text1"/>
          <w:sz w:val="28"/>
          <w:szCs w:val="28"/>
        </w:rPr>
        <w:t>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w:t>
      </w:r>
      <w:r>
        <w:rPr>
          <w:rFonts w:hint="eastAsia" w:cs="宋体" w:asciiTheme="minorEastAsia" w:hAnsiTheme="minorEastAsia" w:eastAsiaTheme="minorEastAsia"/>
          <w:b/>
          <w:color w:val="FF0000"/>
          <w:sz w:val="28"/>
          <w:szCs w:val="28"/>
          <w:u w:val="single"/>
          <w:lang w:val="en-US" w:eastAsia="zh-CN"/>
        </w:rPr>
        <w:t>2</w:t>
      </w:r>
      <w:r>
        <w:rPr>
          <w:rFonts w:hint="eastAsia" w:cs="宋体" w:asciiTheme="minorEastAsia" w:hAnsiTheme="minorEastAsia" w:eastAsiaTheme="minorEastAsia"/>
          <w:b/>
          <w:color w:val="FF0000"/>
          <w:sz w:val="28"/>
          <w:szCs w:val="28"/>
          <w:u w:val="single"/>
        </w:rPr>
        <w:t>月</w:t>
      </w:r>
      <w:r>
        <w:rPr>
          <w:rFonts w:hint="eastAsia" w:cs="宋体" w:asciiTheme="minorEastAsia" w:hAnsiTheme="minorEastAsia" w:eastAsiaTheme="minorEastAsia"/>
          <w:b/>
          <w:color w:val="FF0000"/>
          <w:sz w:val="28"/>
          <w:szCs w:val="28"/>
          <w:u w:val="single"/>
          <w:lang w:val="en-US" w:eastAsia="zh-CN"/>
        </w:rPr>
        <w:t>20</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22"/>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w:t>
      </w:r>
      <w:r>
        <w:rPr>
          <w:rFonts w:hint="eastAsia" w:cs="宋体" w:asciiTheme="minorEastAsia" w:hAnsiTheme="minorEastAsia" w:eastAsiaTheme="minorEastAsia"/>
          <w:b/>
          <w:color w:val="FF0000"/>
          <w:sz w:val="28"/>
          <w:szCs w:val="28"/>
          <w:u w:val="single"/>
          <w:lang w:val="en-US" w:eastAsia="zh-CN"/>
        </w:rPr>
        <w:t>2</w:t>
      </w:r>
      <w:r>
        <w:rPr>
          <w:rFonts w:hint="eastAsia" w:cs="宋体" w:asciiTheme="minorEastAsia" w:hAnsiTheme="minorEastAsia" w:eastAsiaTheme="minorEastAsia"/>
          <w:b/>
          <w:color w:val="FF0000"/>
          <w:sz w:val="28"/>
          <w:szCs w:val="28"/>
          <w:u w:val="single"/>
        </w:rPr>
        <w:t>月</w:t>
      </w:r>
      <w:r>
        <w:rPr>
          <w:rFonts w:hint="eastAsia" w:cs="宋体" w:asciiTheme="minorEastAsia" w:hAnsiTheme="minorEastAsia" w:eastAsiaTheme="minorEastAsia"/>
          <w:b/>
          <w:color w:val="FF0000"/>
          <w:sz w:val="28"/>
          <w:szCs w:val="28"/>
          <w:u w:val="single"/>
          <w:lang w:val="en-US" w:eastAsia="zh-CN"/>
        </w:rPr>
        <w:t>20</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开标二厅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w:t>
      </w:r>
      <w:r>
        <w:rPr>
          <w:rFonts w:hint="eastAsia" w:ascii="仿宋" w:hAnsi="仿宋" w:eastAsia="仿宋"/>
          <w:color w:val="000000" w:themeColor="text1"/>
          <w:sz w:val="28"/>
          <w:szCs w:val="28"/>
        </w:rPr>
        <w:t>达州市自然资源</w:t>
      </w:r>
      <w:r>
        <w:rPr>
          <w:rFonts w:hint="eastAsia" w:ascii="仿宋" w:hAnsi="仿宋" w:eastAsia="仿宋"/>
          <w:color w:val="000000" w:themeColor="text1"/>
          <w:sz w:val="28"/>
          <w:szCs w:val="28"/>
          <w:lang w:val="en-US" w:eastAsia="zh-CN"/>
        </w:rPr>
        <w:t>和规划</w:t>
      </w:r>
      <w:r>
        <w:rPr>
          <w:rFonts w:hint="eastAsia" w:ascii="仿宋" w:hAnsi="仿宋" w:eastAsia="仿宋"/>
          <w:color w:val="000000" w:themeColor="text1"/>
          <w:sz w:val="28"/>
          <w:szCs w:val="28"/>
        </w:rPr>
        <w:t>局</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达州市通川区白塔路243号</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 xml:space="preserve">联系电话：  </w:t>
      </w:r>
      <w:r>
        <w:rPr>
          <w:rFonts w:hint="eastAsia" w:ascii="仿宋" w:hAnsi="仿宋" w:eastAsia="仿宋"/>
          <w:color w:val="000000" w:themeColor="text1"/>
          <w:sz w:val="28"/>
          <w:szCs w:val="28"/>
        </w:rPr>
        <w:t>0818-2377534</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hint="default" w:ascii="仿宋" w:hAnsi="仿宋" w:eastAsia="仿宋"/>
          <w:color w:val="000000" w:themeColor="text1"/>
          <w:sz w:val="28"/>
          <w:szCs w:val="28"/>
          <w:lang w:val="en-US" w:eastAsia="zh-CN"/>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lang w:val="en-US" w:eastAsia="zh-CN"/>
        </w:rPr>
        <w:t>0177</w:t>
      </w:r>
    </w:p>
    <w:p>
      <w:pPr>
        <w:snapToGrid w:val="0"/>
        <w:spacing w:line="578" w:lineRule="exact"/>
        <w:ind w:firstLine="555"/>
        <w:rPr>
          <w:rFonts w:ascii="仿宋" w:hAnsi="仿宋" w:eastAsia="仿宋"/>
          <w:color w:val="000000" w:themeColor="text1"/>
          <w:sz w:val="28"/>
          <w:szCs w:val="28"/>
        </w:rPr>
      </w:pPr>
    </w:p>
    <w:p>
      <w:pPr>
        <w:snapToGrid w:val="0"/>
        <w:spacing w:line="578" w:lineRule="exact"/>
        <w:ind w:firstLine="555"/>
        <w:rPr>
          <w:rFonts w:ascii="仿宋" w:hAnsi="仿宋" w:eastAsia="仿宋"/>
          <w:color w:val="000000" w:themeColor="text1"/>
          <w:sz w:val="28"/>
          <w:szCs w:val="28"/>
        </w:rPr>
      </w:pP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达州市自然资源</w:t>
      </w:r>
      <w:r>
        <w:rPr>
          <w:rFonts w:hint="eastAsia" w:ascii="仿宋" w:hAnsi="仿宋" w:eastAsia="仿宋" w:cs="宋体"/>
          <w:color w:val="000000" w:themeColor="text1"/>
          <w:sz w:val="28"/>
          <w:szCs w:val="28"/>
          <w:lang w:val="en-US" w:eastAsia="zh-CN"/>
        </w:rPr>
        <w:t>和规划</w:t>
      </w:r>
      <w:r>
        <w:rPr>
          <w:rFonts w:hint="eastAsia" w:ascii="仿宋" w:hAnsi="仿宋" w:eastAsia="仿宋" w:cs="宋体"/>
          <w:color w:val="000000" w:themeColor="text1"/>
          <w:sz w:val="28"/>
          <w:szCs w:val="28"/>
        </w:rPr>
        <w:t>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center"/>
        <w:rPr>
          <w:rFonts w:ascii="仿宋" w:hAnsi="仿宋" w:eastAsia="仿宋" w:cs="宋体"/>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hint="eastAsia" w:ascii="仿宋" w:hAnsi="仿宋" w:eastAsia="仿宋" w:cs="宋体"/>
          <w:color w:val="000000" w:themeColor="text1"/>
          <w:sz w:val="28"/>
          <w:szCs w:val="28"/>
          <w:lang w:val="en-US" w:eastAsia="zh-CN"/>
        </w:rPr>
        <w:t xml:space="preserve">                                  </w:t>
      </w:r>
      <w:r>
        <w:rPr>
          <w:rFonts w:hint="eastAsia" w:ascii="仿宋" w:hAnsi="仿宋" w:eastAsia="仿宋" w:cs="宋体"/>
          <w:color w:val="000000" w:themeColor="text1"/>
          <w:sz w:val="28"/>
          <w:szCs w:val="28"/>
        </w:rPr>
        <w:t>2021年</w:t>
      </w:r>
      <w:r>
        <w:rPr>
          <w:rFonts w:hint="eastAsia" w:ascii="仿宋" w:hAnsi="仿宋" w:eastAsia="仿宋" w:cs="宋体"/>
          <w:color w:val="000000" w:themeColor="text1"/>
          <w:sz w:val="28"/>
          <w:szCs w:val="28"/>
          <w:lang w:val="en-US" w:eastAsia="zh-CN"/>
        </w:rPr>
        <w:t>11</w:t>
      </w:r>
      <w:r>
        <w:rPr>
          <w:rFonts w:hint="eastAsia" w:ascii="仿宋" w:hAnsi="仿宋" w:eastAsia="仿宋" w:cs="宋体"/>
          <w:color w:val="000000" w:themeColor="text1"/>
          <w:sz w:val="28"/>
          <w:szCs w:val="28"/>
        </w:rPr>
        <w:t>月</w:t>
      </w:r>
      <w:r>
        <w:rPr>
          <w:rFonts w:hint="eastAsia" w:ascii="仿宋" w:hAnsi="仿宋" w:eastAsia="仿宋" w:cs="宋体"/>
          <w:color w:val="000000" w:themeColor="text1"/>
          <w:sz w:val="28"/>
          <w:szCs w:val="28"/>
          <w:lang w:val="en-US" w:eastAsia="zh-CN"/>
        </w:rPr>
        <w:t>30</w:t>
      </w:r>
      <w:r>
        <w:rPr>
          <w:rFonts w:hint="eastAsia" w:ascii="仿宋" w:hAnsi="仿宋" w:eastAsia="仿宋" w:cs="宋体"/>
          <w:color w:val="000000" w:themeColor="text1"/>
          <w:sz w:val="28"/>
          <w:szCs w:val="28"/>
        </w:rPr>
        <w:t>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742"/>
      <w:bookmarkStart w:id="3" w:name="_Toc3391971"/>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达州市自然资源</w:t>
      </w:r>
      <w:r>
        <w:rPr>
          <w:rFonts w:hint="eastAsia" w:ascii="楷体_GB2312" w:hAnsi="宋体" w:eastAsia="楷体_GB2312"/>
          <w:b/>
          <w:color w:val="000000" w:themeColor="text1"/>
          <w:sz w:val="28"/>
          <w:szCs w:val="28"/>
          <w:u w:val="single"/>
          <w:lang w:val="en-US" w:eastAsia="zh-CN"/>
        </w:rPr>
        <w:t>和规划</w:t>
      </w:r>
      <w:r>
        <w:rPr>
          <w:rFonts w:hint="eastAsia" w:ascii="楷体_GB2312" w:hAnsi="宋体" w:eastAsia="楷体_GB2312"/>
          <w:b/>
          <w:color w:val="000000" w:themeColor="text1"/>
          <w:sz w:val="28"/>
          <w:szCs w:val="28"/>
          <w:u w:val="single"/>
        </w:rPr>
        <w:t>局</w:t>
      </w:r>
      <w:r>
        <w:rPr>
          <w:rFonts w:hint="eastAsia" w:ascii="宋体" w:hAnsi="宋体"/>
          <w:color w:val="000000" w:themeColor="text1"/>
          <w:sz w:val="28"/>
          <w:szCs w:val="28"/>
        </w:rPr>
        <w:t>决定拍卖出让</w:t>
      </w:r>
      <w:r>
        <w:rPr>
          <w:rFonts w:hint="eastAsia" w:ascii="宋体" w:hAnsi="宋体"/>
          <w:color w:val="000000" w:themeColor="text1"/>
          <w:sz w:val="28"/>
          <w:szCs w:val="28"/>
          <w:u w:val="single"/>
          <w:lang w:val="en-US" w:eastAsia="zh-CN"/>
        </w:rPr>
        <w:t>翠屏山片区B02-01-02</w:t>
      </w:r>
      <w:r>
        <w:rPr>
          <w:rFonts w:hint="eastAsia"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达州市自然资源</w:t>
      </w:r>
      <w:r>
        <w:rPr>
          <w:rFonts w:hint="eastAsia" w:ascii="楷体_GB2312" w:hAnsi="宋体" w:eastAsia="楷体_GB2312"/>
          <w:b/>
          <w:color w:val="000000" w:themeColor="text1"/>
          <w:sz w:val="28"/>
          <w:szCs w:val="28"/>
          <w:u w:val="single"/>
          <w:lang w:val="en-US" w:eastAsia="zh-CN"/>
        </w:rPr>
        <w:t>和规划</w:t>
      </w:r>
      <w:r>
        <w:rPr>
          <w:rFonts w:hint="eastAsia" w:ascii="楷体_GB2312" w:hAnsi="宋体" w:eastAsia="楷体_GB2312"/>
          <w:b/>
          <w:color w:val="000000" w:themeColor="text1"/>
          <w:sz w:val="28"/>
          <w:szCs w:val="28"/>
          <w:u w:val="single"/>
        </w:rPr>
        <w:t>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jc w:val="left"/>
        <w:rPr>
          <w:rFonts w:hint="eastAsia" w:ascii="宋体" w:hAnsi="宋体"/>
          <w:color w:val="000000" w:themeColor="text1"/>
          <w:sz w:val="28"/>
          <w:szCs w:val="28"/>
        </w:rPr>
      </w:pPr>
      <w:r>
        <w:rPr>
          <w:rFonts w:hint="eastAsia" w:ascii="宋体" w:hAnsi="宋体"/>
          <w:color w:val="000000" w:themeColor="text1"/>
          <w:sz w:val="28"/>
          <w:szCs w:val="28"/>
        </w:rPr>
        <w:t>（一）地块位置：</w:t>
      </w:r>
      <w:r>
        <w:rPr>
          <w:rFonts w:hint="eastAsia" w:ascii="宋体" w:hAnsi="宋体"/>
          <w:color w:val="000000" w:themeColor="text1"/>
          <w:sz w:val="28"/>
          <w:szCs w:val="28"/>
          <w:lang w:val="en-US" w:eastAsia="zh-CN"/>
        </w:rPr>
        <w:t>达州市翠屏山片区</w:t>
      </w:r>
      <w:r>
        <w:rPr>
          <w:rFonts w:hint="eastAsia" w:ascii="宋体" w:hAnsi="宋体"/>
          <w:color w:val="000000" w:themeColor="text1"/>
          <w:sz w:val="28"/>
          <w:szCs w:val="28"/>
        </w:rPr>
        <w:t>。</w:t>
      </w:r>
    </w:p>
    <w:p>
      <w:pPr>
        <w:spacing w:line="600" w:lineRule="exact"/>
        <w:ind w:firstLine="560" w:firstLineChars="200"/>
        <w:jc w:val="left"/>
        <w:rPr>
          <w:rFonts w:ascii="宋体" w:hAnsi="宋体"/>
          <w:color w:val="000000" w:themeColor="text1"/>
          <w:sz w:val="28"/>
          <w:szCs w:val="28"/>
          <w:u w:val="none"/>
        </w:rPr>
      </w:pPr>
      <w:r>
        <w:rPr>
          <w:rFonts w:hint="eastAsia" w:ascii="宋体" w:hAnsi="宋体"/>
          <w:color w:val="000000" w:themeColor="text1"/>
          <w:sz w:val="28"/>
          <w:szCs w:val="28"/>
        </w:rPr>
        <w:t>（二）地块范围： 详见《</w:t>
      </w:r>
      <w:r>
        <w:rPr>
          <w:rFonts w:hint="eastAsia" w:ascii="宋体" w:hAnsi="宋体"/>
          <w:color w:val="000000" w:themeColor="text1"/>
          <w:sz w:val="28"/>
          <w:szCs w:val="28"/>
          <w:u w:val="none"/>
          <w:lang w:val="en-US" w:eastAsia="zh-CN"/>
        </w:rPr>
        <w:t>达州市翠屏山片区B02-01-02</w:t>
      </w:r>
      <w:r>
        <w:rPr>
          <w:rFonts w:hint="eastAsia" w:ascii="宋体" w:hAnsi="宋体"/>
          <w:color w:val="000000" w:themeColor="text1"/>
          <w:sz w:val="28"/>
          <w:szCs w:val="28"/>
          <w:u w:val="none"/>
        </w:rPr>
        <w:t>地块</w:t>
      </w:r>
      <w:r>
        <w:rPr>
          <w:rFonts w:hint="eastAsia" w:ascii="宋体" w:hAnsi="宋体"/>
          <w:color w:val="000000" w:themeColor="text1"/>
          <w:sz w:val="28"/>
          <w:szCs w:val="28"/>
          <w:u w:val="none"/>
          <w:lang w:val="en-US" w:eastAsia="zh-CN"/>
        </w:rPr>
        <w:t>宗地界址图</w:t>
      </w:r>
      <w:r>
        <w:rPr>
          <w:rFonts w:hint="eastAsia" w:ascii="宋体" w:hAnsi="宋体"/>
          <w:color w:val="000000" w:themeColor="text1"/>
          <w:sz w:val="28"/>
          <w:szCs w:val="28"/>
          <w:u w:val="none"/>
        </w:rPr>
        <w:t>》。</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（三）出让面积：</w:t>
      </w:r>
      <w:r>
        <w:rPr>
          <w:rFonts w:hint="eastAsia" w:ascii="宋体" w:hAnsi="宋体"/>
          <w:color w:val="000000" w:themeColor="text1"/>
          <w:sz w:val="28"/>
          <w:szCs w:val="28"/>
          <w:lang w:val="en-US" w:eastAsia="zh-CN"/>
        </w:rPr>
        <w:t>77332.39</w:t>
      </w:r>
      <w:r>
        <w:rPr>
          <w:rFonts w:hint="eastAsia" w:ascii="宋体" w:hAnsi="宋体"/>
          <w:color w:val="000000" w:themeColor="text1"/>
          <w:sz w:val="28"/>
          <w:szCs w:val="28"/>
        </w:rPr>
        <w:t>平方米</w:t>
      </w: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其中A区42403.08平方米，B区34929.31平方米）；</w:t>
      </w:r>
      <w:r>
        <w:rPr>
          <w:rFonts w:hint="eastAsia" w:ascii="宋体" w:hAnsi="宋体"/>
          <w:color w:val="000000" w:themeColor="text1"/>
          <w:sz w:val="28"/>
          <w:szCs w:val="28"/>
        </w:rPr>
        <w:t>折合</w:t>
      </w:r>
      <w:r>
        <w:rPr>
          <w:rFonts w:hint="eastAsia" w:ascii="宋体" w:hAnsi="宋体"/>
          <w:color w:val="000000" w:themeColor="text1"/>
          <w:sz w:val="28"/>
          <w:szCs w:val="28"/>
          <w:lang w:val="en-US" w:eastAsia="zh-CN"/>
        </w:rPr>
        <w:t>116</w:t>
      </w:r>
      <w:r>
        <w:rPr>
          <w:rFonts w:hint="eastAsia" w:ascii="宋体" w:hAnsi="宋体"/>
          <w:color w:val="000000" w:themeColor="text1"/>
          <w:sz w:val="28"/>
          <w:szCs w:val="28"/>
        </w:rPr>
        <w:t>亩</w:t>
      </w: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其中A区63.6亩，B区52.4亩</w:t>
      </w:r>
      <w:r>
        <w:rPr>
          <w:rFonts w:hint="eastAsia" w:ascii="宋体" w:hAnsi="宋体"/>
          <w:color w:val="000000" w:themeColor="text1"/>
          <w:sz w:val="28"/>
          <w:szCs w:val="28"/>
          <w:lang w:eastAsia="zh-CN"/>
        </w:rPr>
        <w:t>）</w:t>
      </w:r>
      <w:r>
        <w:rPr>
          <w:rFonts w:hint="eastAsia" w:ascii="宋体" w:hAnsi="宋体"/>
          <w:color w:val="000000" w:themeColor="text1"/>
          <w:sz w:val="28"/>
          <w:szCs w:val="28"/>
        </w:rPr>
        <w:t>。</w:t>
      </w:r>
    </w:p>
    <w:p>
      <w:pPr>
        <w:spacing w:line="600" w:lineRule="exact"/>
        <w:ind w:firstLine="560" w:firstLineChars="200"/>
        <w:jc w:val="left"/>
        <w:rPr>
          <w:rFonts w:hint="eastAsia" w:ascii="宋体" w:hAnsi="宋体" w:cs="Times New Roman"/>
          <w:color w:val="000000" w:themeColor="text1"/>
          <w:sz w:val="28"/>
          <w:szCs w:val="28"/>
          <w:lang w:val="en-US" w:eastAsia="zh-CN"/>
        </w:rPr>
      </w:pPr>
      <w:r>
        <w:rPr>
          <w:rFonts w:hint="eastAsia" w:ascii="宋体" w:hAnsi="宋体"/>
          <w:color w:val="000000" w:themeColor="text1"/>
          <w:sz w:val="28"/>
          <w:szCs w:val="28"/>
        </w:rPr>
        <w:t>（四）土地用途：</w:t>
      </w:r>
      <w:r>
        <w:rPr>
          <w:rFonts w:hint="eastAsia" w:ascii="宋体" w:hAnsi="宋体"/>
          <w:color w:val="000000" w:themeColor="text1"/>
          <w:sz w:val="28"/>
          <w:szCs w:val="28"/>
          <w:lang w:val="en-US" w:eastAsia="zh-CN"/>
        </w:rPr>
        <w:t>二类居住用地</w:t>
      </w:r>
      <w:r>
        <w:rPr>
          <w:rFonts w:hint="eastAsia" w:ascii="宋体" w:hAnsi="宋体"/>
          <w:color w:val="000000"/>
          <w:sz w:val="28"/>
          <w:szCs w:val="28"/>
          <w:highlight w:val="none"/>
        </w:rPr>
        <w:t>（用地用海分类为</w:t>
      </w:r>
      <w:r>
        <w:rPr>
          <w:rFonts w:hint="eastAsia" w:ascii="宋体" w:hAnsi="宋体"/>
          <w:color w:val="000000"/>
          <w:sz w:val="28"/>
          <w:szCs w:val="28"/>
          <w:highlight w:val="none"/>
          <w:lang w:val="en-US" w:eastAsia="zh-CN"/>
        </w:rPr>
        <w:t>二类</w:t>
      </w:r>
      <w:r>
        <w:rPr>
          <w:rFonts w:hint="eastAsia" w:ascii="宋体" w:hAnsi="宋体"/>
          <w:color w:val="000000"/>
          <w:sz w:val="28"/>
          <w:szCs w:val="28"/>
          <w:highlight w:val="none"/>
        </w:rPr>
        <w:t>城镇住宅用地）</w:t>
      </w:r>
      <w:r>
        <w:rPr>
          <w:rFonts w:hint="eastAsia" w:ascii="宋体" w:hAnsi="宋体" w:cs="Times New Roman"/>
          <w:color w:val="000000" w:themeColor="text1"/>
          <w:sz w:val="28"/>
          <w:szCs w:val="28"/>
          <w:lang w:val="en-US" w:eastAsia="zh-CN"/>
        </w:rPr>
        <w:t>。</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（五）出让年限：商业40年、住宅70年。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宋体" w:hAnsi="宋体" w:cs="Times New Roman"/>
          <w:color w:val="000000" w:themeColor="text1"/>
          <w:sz w:val="28"/>
          <w:szCs w:val="28"/>
        </w:rPr>
      </w:pPr>
      <w:r>
        <w:rPr>
          <w:rFonts w:hint="eastAsia" w:ascii="宋体" w:hAnsi="宋体"/>
          <w:color w:val="000000" w:themeColor="text1"/>
          <w:sz w:val="28"/>
          <w:szCs w:val="28"/>
          <w:lang w:val="en-US" w:eastAsia="zh-CN"/>
        </w:rPr>
        <w:t xml:space="preserve">    </w:t>
      </w:r>
      <w:r>
        <w:rPr>
          <w:rFonts w:hint="eastAsia" w:ascii="宋体" w:hAnsi="宋体"/>
          <w:color w:val="000000" w:themeColor="text1"/>
          <w:sz w:val="28"/>
          <w:szCs w:val="28"/>
        </w:rPr>
        <w:t>（六）规划条件：详见《</w:t>
      </w:r>
      <w:r>
        <w:rPr>
          <w:rFonts w:hint="eastAsia" w:ascii="宋体" w:hAnsi="宋体"/>
          <w:color w:val="000000" w:themeColor="text1"/>
          <w:sz w:val="28"/>
          <w:szCs w:val="28"/>
          <w:u w:val="none"/>
          <w:lang w:val="en-US" w:eastAsia="zh-CN"/>
        </w:rPr>
        <w:t>达州市翠屏山片区B02-01-02</w:t>
      </w:r>
      <w:r>
        <w:rPr>
          <w:rFonts w:hint="eastAsia" w:ascii="宋体" w:hAnsi="宋体"/>
          <w:color w:val="000000" w:themeColor="text1"/>
          <w:sz w:val="28"/>
          <w:szCs w:val="28"/>
          <w:u w:val="none"/>
        </w:rPr>
        <w:t>地块</w:t>
      </w:r>
      <w:r>
        <w:rPr>
          <w:rFonts w:hint="eastAsia" w:ascii="宋体" w:hAnsi="宋体"/>
          <w:color w:val="000000" w:themeColor="text1"/>
          <w:sz w:val="28"/>
          <w:szCs w:val="28"/>
          <w:u w:val="none"/>
          <w:lang w:val="en-US" w:eastAsia="zh-CN"/>
        </w:rPr>
        <w:t>规划条件</w:t>
      </w:r>
      <w:r>
        <w:rPr>
          <w:rFonts w:hint="eastAsia" w:ascii="宋体" w:hAnsi="宋体" w:cs="Times New Roman"/>
          <w:color w:val="000000" w:themeColor="text1"/>
          <w:sz w:val="28"/>
          <w:szCs w:val="28"/>
          <w:u w:val="none"/>
        </w:rPr>
        <w:t>》</w:t>
      </w:r>
      <w:r>
        <w:rPr>
          <w:rFonts w:hint="eastAsia" w:ascii="宋体" w:hAnsi="宋体" w:cs="Times New Roman"/>
          <w:color w:val="000000" w:themeColor="text1"/>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cs="Times New Roman"/>
          <w:color w:val="000000" w:themeColor="text1"/>
          <w:sz w:val="28"/>
          <w:szCs w:val="28"/>
          <w:lang w:eastAsia="zh-CN"/>
        </w:rPr>
      </w:pPr>
      <w:r>
        <w:rPr>
          <w:rFonts w:hint="eastAsia" w:ascii="宋体" w:hAnsi="宋体"/>
          <w:color w:val="000000" w:themeColor="text1"/>
          <w:sz w:val="28"/>
          <w:szCs w:val="28"/>
        </w:rPr>
        <w:t>（七）</w:t>
      </w:r>
      <w:r>
        <w:rPr>
          <w:rFonts w:hint="eastAsia" w:ascii="宋体" w:hAnsi="宋体" w:cs="Times New Roman"/>
          <w:color w:val="000000" w:themeColor="text1"/>
          <w:sz w:val="28"/>
          <w:szCs w:val="28"/>
          <w:lang w:val="en-US" w:eastAsia="zh-CN"/>
        </w:rPr>
        <w:t>该地块可配建不大于计容总建筑面积10%的商业服务用房，设计方案中商业、居住必须分离布局（且商业用房在设计方案中应设置商业专用烟道）。</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（八）配套服务设施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spacing w:val="0"/>
          <w:w w:val="100"/>
          <w:position w:val="0"/>
          <w:sz w:val="28"/>
          <w:szCs w:val="28"/>
        </w:rPr>
      </w:pPr>
      <w:r>
        <w:rPr>
          <w:rFonts w:hint="eastAsia" w:ascii="宋体" w:hAnsi="宋体" w:eastAsia="宋体" w:cs="宋体"/>
          <w:color w:val="000000"/>
          <w:spacing w:val="0"/>
          <w:w w:val="100"/>
          <w:position w:val="0"/>
          <w:sz w:val="28"/>
          <w:szCs w:val="28"/>
          <w:lang w:val="en-US" w:eastAsia="zh-CN"/>
        </w:rPr>
        <w:t>1.A、B区</w:t>
      </w:r>
      <w:r>
        <w:rPr>
          <w:rFonts w:hint="eastAsia" w:ascii="宋体" w:hAnsi="宋体" w:eastAsia="宋体" w:cs="宋体"/>
          <w:color w:val="000000"/>
          <w:spacing w:val="0"/>
          <w:w w:val="100"/>
          <w:position w:val="0"/>
          <w:sz w:val="28"/>
          <w:szCs w:val="28"/>
        </w:rPr>
        <w:t>根据《达州市人民政府办公室关于印发达州市中心城区新建住宅小区配套建设社区综合服务设施实施办法的通知》（达市府办〔</w:t>
      </w:r>
      <w:r>
        <w:rPr>
          <w:rFonts w:hint="eastAsia" w:ascii="宋体" w:hAnsi="宋体" w:eastAsia="宋体" w:cs="宋体"/>
          <w:color w:val="000000"/>
          <w:spacing w:val="0"/>
          <w:w w:val="100"/>
          <w:position w:val="0"/>
          <w:sz w:val="28"/>
          <w:szCs w:val="28"/>
          <w:lang w:val="en-US" w:eastAsia="en-US" w:bidi="en-US"/>
        </w:rPr>
        <w:t>2018〕</w:t>
      </w:r>
      <w:r>
        <w:rPr>
          <w:rFonts w:hint="eastAsia" w:ascii="宋体" w:hAnsi="宋体" w:eastAsia="宋体" w:cs="宋体"/>
          <w:color w:val="000000"/>
          <w:spacing w:val="0"/>
          <w:w w:val="100"/>
          <w:position w:val="0"/>
          <w:sz w:val="28"/>
          <w:szCs w:val="28"/>
        </w:rPr>
        <w:t>57号）精神，按照计容住宅建筑面积</w:t>
      </w:r>
      <w:r>
        <w:rPr>
          <w:rFonts w:hint="eastAsia" w:ascii="宋体" w:hAnsi="宋体" w:eastAsia="宋体" w:cs="宋体"/>
          <w:color w:val="000000"/>
          <w:spacing w:val="0"/>
          <w:w w:val="100"/>
          <w:position w:val="0"/>
          <w:sz w:val="28"/>
          <w:szCs w:val="28"/>
          <w:lang w:val="en-US" w:eastAsia="zh-CN"/>
        </w:rPr>
        <w:t>3‰</w:t>
      </w:r>
      <w:r>
        <w:rPr>
          <w:rFonts w:hint="eastAsia" w:ascii="宋体" w:hAnsi="宋体" w:eastAsia="宋体" w:cs="宋体"/>
          <w:color w:val="000000"/>
          <w:spacing w:val="0"/>
          <w:w w:val="100"/>
          <w:position w:val="0"/>
          <w:sz w:val="28"/>
          <w:szCs w:val="28"/>
        </w:rPr>
        <w:t>的比例 无偿配建一个或多个社区综合服务设施。社区综合服务设施的建筑面积不计入项目容积率，其不动产权和使用权归地方政府。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spacing w:val="0"/>
          <w:w w:val="100"/>
          <w:position w:val="0"/>
          <w:sz w:val="28"/>
          <w:szCs w:val="28"/>
          <w:lang w:val="en-US" w:eastAsia="zh-CN"/>
        </w:rPr>
      </w:pPr>
      <w:r>
        <w:rPr>
          <w:rFonts w:hint="eastAsia" w:ascii="宋体" w:hAnsi="宋体" w:eastAsia="宋体" w:cs="宋体"/>
          <w:color w:val="000000"/>
          <w:spacing w:val="0"/>
          <w:w w:val="100"/>
          <w:position w:val="0"/>
          <w:sz w:val="28"/>
          <w:szCs w:val="28"/>
          <w:lang w:val="en-US" w:eastAsia="zh-CN"/>
        </w:rPr>
        <w:t>2.B区</w:t>
      </w:r>
      <w:r>
        <w:rPr>
          <w:rFonts w:hint="eastAsia" w:ascii="宋体" w:hAnsi="宋体" w:eastAsia="宋体" w:cs="宋体"/>
          <w:color w:val="000000"/>
          <w:spacing w:val="0"/>
          <w:w w:val="100"/>
          <w:position w:val="0"/>
          <w:sz w:val="28"/>
          <w:szCs w:val="28"/>
        </w:rPr>
        <w:t>配套设施：公共厕所（</w:t>
      </w:r>
      <w:r>
        <w:rPr>
          <w:rFonts w:hint="eastAsia" w:ascii="宋体" w:hAnsi="宋体" w:eastAsia="宋体" w:cs="宋体"/>
          <w:color w:val="000000"/>
          <w:spacing w:val="0"/>
          <w:w w:val="100"/>
          <w:position w:val="0"/>
          <w:sz w:val="28"/>
          <w:szCs w:val="28"/>
          <w:lang w:val="en-US" w:eastAsia="en-US" w:bidi="en-US"/>
        </w:rPr>
        <w:t>30-80</w:t>
      </w:r>
      <w:r>
        <w:rPr>
          <w:rFonts w:hint="eastAsia" w:ascii="宋体" w:hAnsi="宋体" w:eastAsia="宋体" w:cs="宋体"/>
          <w:color w:val="000000"/>
          <w:spacing w:val="0"/>
          <w:w w:val="100"/>
          <w:position w:val="0"/>
          <w:sz w:val="28"/>
          <w:szCs w:val="28"/>
        </w:rPr>
        <w:t>平方米）</w:t>
      </w:r>
      <w:r>
        <w:rPr>
          <w:rFonts w:hint="eastAsia" w:ascii="宋体" w:hAnsi="宋体" w:eastAsia="宋体" w:cs="宋体"/>
          <w:color w:val="000000"/>
          <w:spacing w:val="0"/>
          <w:w w:val="100"/>
          <w:positio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（九）其他规划要求：</w:t>
      </w:r>
    </w:p>
    <w:p>
      <w:pPr>
        <w:keepNext/>
        <w:keepLines/>
        <w:tabs>
          <w:tab w:val="left" w:pos="1091"/>
        </w:tabs>
        <w:spacing w:beforeLines="0" w:afterLines="0" w:line="520" w:lineRule="exact"/>
        <w:ind w:firstLine="560"/>
        <w:rPr>
          <w:rFonts w:hint="eastAsia" w:ascii="宋体" w:hAnsi="宋体" w:eastAsia="宋体" w:cs="宋体"/>
          <w:color w:val="000000" w:themeColor="text1"/>
          <w:sz w:val="28"/>
          <w:szCs w:val="28"/>
        </w:rPr>
      </w:pPr>
      <w:r>
        <w:rPr>
          <w:rFonts w:hint="eastAsia" w:ascii="宋体" w:hAnsi="宋体"/>
          <w:color w:val="000000"/>
          <w:sz w:val="28"/>
          <w:szCs w:val="24"/>
        </w:rPr>
        <w:t>1.须按</w:t>
      </w:r>
      <w:r>
        <w:rPr>
          <w:rFonts w:hint="eastAsia" w:ascii="宋体" w:hAnsi="宋体"/>
          <w:color w:val="000000"/>
          <w:sz w:val="28"/>
          <w:szCs w:val="24"/>
          <w:lang w:val="zh-TW"/>
        </w:rPr>
        <w:t>市委四届第156次常委会（扩大）会议</w:t>
      </w:r>
      <w:r>
        <w:rPr>
          <w:rFonts w:hint="eastAsia" w:ascii="宋体" w:hAnsi="宋体"/>
          <w:color w:val="000000"/>
          <w:sz w:val="28"/>
          <w:szCs w:val="24"/>
          <w:lang w:val="en-US"/>
        </w:rPr>
        <w:t>明确的</w:t>
      </w:r>
      <w:r>
        <w:rPr>
          <w:rFonts w:hint="default" w:ascii="宋体" w:hAnsi="宋体"/>
          <w:color w:val="000000"/>
          <w:sz w:val="28"/>
          <w:szCs w:val="24"/>
          <w:lang w:val="zh-TW"/>
        </w:rPr>
        <w:t>“</w:t>
      </w:r>
      <w:r>
        <w:rPr>
          <w:rFonts w:hint="eastAsia" w:ascii="宋体" w:hAnsi="宋体"/>
          <w:color w:val="000000"/>
          <w:sz w:val="28"/>
          <w:szCs w:val="24"/>
          <w:lang w:val="zh-TW"/>
        </w:rPr>
        <w:t>第四代住宅</w:t>
      </w:r>
      <w:r>
        <w:rPr>
          <w:rFonts w:hint="default" w:ascii="宋体" w:hAnsi="宋体"/>
          <w:color w:val="000000"/>
          <w:sz w:val="28"/>
          <w:szCs w:val="24"/>
          <w:lang w:val="zh-TW"/>
        </w:rPr>
        <w:t>”</w:t>
      </w:r>
      <w:r>
        <w:rPr>
          <w:rFonts w:hint="eastAsia" w:ascii="宋体" w:hAnsi="宋体"/>
          <w:color w:val="000000"/>
          <w:sz w:val="28"/>
          <w:szCs w:val="24"/>
          <w:lang w:val="en-US"/>
        </w:rPr>
        <w:t>试点要求开展建设</w:t>
      </w:r>
      <w:r>
        <w:rPr>
          <w:rFonts w:hint="eastAsia" w:ascii="宋体" w:hAnsi="宋体"/>
          <w:color w:val="000000"/>
          <w:sz w:val="28"/>
          <w:szCs w:val="24"/>
          <w:lang w:val="zh-TW"/>
        </w:rPr>
        <w:t>。其规划设计方案应满足《城市居住区规划设计标准》</w:t>
      </w:r>
      <w:r>
        <w:rPr>
          <w:rFonts w:hint="eastAsia" w:ascii="宋体" w:hAnsi="宋体"/>
          <w:color w:val="000000"/>
          <w:sz w:val="28"/>
          <w:szCs w:val="24"/>
          <w:lang w:val="en-US"/>
        </w:rPr>
        <w:t>（GB50180-20</w:t>
      </w:r>
      <w:r>
        <w:rPr>
          <w:rFonts w:hint="eastAsia" w:ascii="宋体" w:hAnsi="宋体"/>
          <w:color w:val="000000"/>
          <w:sz w:val="28"/>
          <w:szCs w:val="24"/>
          <w:lang w:val="zh-TW"/>
        </w:rPr>
        <w:t>18）、《达州市</w:t>
      </w:r>
      <w:r>
        <w:rPr>
          <w:rFonts w:hint="eastAsia" w:ascii="宋体" w:hAnsi="宋体"/>
          <w:color w:val="000000"/>
          <w:sz w:val="28"/>
          <w:szCs w:val="24"/>
          <w:lang w:val="en-US"/>
        </w:rPr>
        <w:t>国土空间</w:t>
      </w:r>
      <w:r>
        <w:rPr>
          <w:rFonts w:hint="eastAsia" w:ascii="宋体" w:hAnsi="宋体"/>
          <w:color w:val="000000"/>
          <w:sz w:val="28"/>
          <w:szCs w:val="24"/>
          <w:lang w:val="zh-TW"/>
        </w:rPr>
        <w:t>规划管理技术规定（20</w:t>
      </w:r>
      <w:r>
        <w:rPr>
          <w:rFonts w:hint="eastAsia" w:ascii="宋体" w:hAnsi="宋体"/>
          <w:color w:val="000000"/>
          <w:sz w:val="28"/>
          <w:szCs w:val="24"/>
          <w:lang w:val="en-US"/>
        </w:rPr>
        <w:t>21</w:t>
      </w:r>
      <w:r>
        <w:rPr>
          <w:rFonts w:hint="eastAsia" w:ascii="宋体" w:hAnsi="宋体"/>
          <w:color w:val="000000"/>
          <w:sz w:val="28"/>
          <w:szCs w:val="24"/>
          <w:lang w:val="zh-TW"/>
        </w:rPr>
        <w:t>版）》和第四代住宅相关规定、《达州市翠屏山片区控制性详细规划》（审视和完善）等规范及文件的相关规定。</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0" w:firstLineChars="200"/>
        <w:jc w:val="both"/>
        <w:textAlignment w:val="auto"/>
        <w:outlineLvl w:val="9"/>
        <w:rPr>
          <w:rFonts w:hint="eastAsia" w:ascii="宋体" w:hAnsi="宋体" w:cs="Times New Roman"/>
          <w:color w:val="000000" w:themeColor="text1"/>
          <w:sz w:val="28"/>
          <w:szCs w:val="28"/>
          <w:lang w:val="en-US" w:eastAsia="zh-CN"/>
        </w:rPr>
      </w:pPr>
      <w:r>
        <w:rPr>
          <w:rFonts w:hint="eastAsia" w:ascii="宋体" w:hAnsi="宋体" w:cs="Times New Roman"/>
          <w:color w:val="000000" w:themeColor="text1"/>
          <w:sz w:val="28"/>
          <w:szCs w:val="28"/>
          <w:lang w:val="en-US" w:eastAsia="zh-CN"/>
        </w:rPr>
        <w:t>2.项目须按照市政工程行政主管部门明确的地块污水接入口的高程及坐标，做好项目管网与市政管网的规划衔接，确保项目建成后，雨污水排放满足接入市政的要求。项目建成后若因市政原因导致生活污水暂不能接入市政污水管网排放的，建设单位须同步配套临时污水处理设施，确保生活污水处理排放达标后；市政管网接通后，建设单位必须将生产、生活污水接入市政管网排放。</w:t>
      </w:r>
    </w:p>
    <w:p>
      <w:pPr>
        <w:spacing w:line="600" w:lineRule="exact"/>
        <w:ind w:firstLine="560" w:firstLineChars="200"/>
        <w:rPr>
          <w:rFonts w:ascii="宋体"/>
          <w:b/>
          <w:color w:val="FF0000"/>
          <w:sz w:val="28"/>
          <w:szCs w:val="28"/>
          <w:u w:val="single"/>
        </w:rPr>
      </w:pPr>
      <w:r>
        <w:rPr>
          <w:rFonts w:hint="eastAsia" w:ascii="宋体" w:hAnsi="宋体"/>
          <w:sz w:val="28"/>
          <w:szCs w:val="28"/>
        </w:rPr>
        <w:t>（十）本宗地实行现状出让：</w:t>
      </w:r>
      <w:r>
        <w:rPr>
          <w:rFonts w:hint="eastAsia" w:ascii="楷体_GB2312" w:hAnsi="黑体" w:eastAsia="楷体_GB2312" w:cs="宋体"/>
          <w:b/>
          <w:color w:val="FF0000"/>
          <w:sz w:val="28"/>
          <w:szCs w:val="28"/>
          <w:u w:val="single"/>
          <w:lang w:val="en-US" w:eastAsia="zh-CN"/>
        </w:rPr>
        <w:t>水、电、气、路、通讯设施配套齐全，宗地未场平。</w:t>
      </w:r>
      <w:r>
        <w:rPr>
          <w:rFonts w:hint="eastAsia" w:ascii="楷体_GB2312" w:hAnsi="黑体" w:eastAsia="楷体_GB2312" w:cs="宋体"/>
          <w:b/>
          <w:color w:val="FF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w:t>
      </w:r>
      <w:r>
        <w:rPr>
          <w:rFonts w:hint="eastAsia" w:eastAsia="仿宋_GB2312"/>
          <w:color w:val="000000" w:themeColor="text1"/>
          <w:sz w:val="32"/>
          <w:szCs w:val="32"/>
          <w:lang w:val="en-US" w:eastAsia="zh-CN"/>
        </w:rPr>
        <w:t>一</w:t>
      </w:r>
      <w:r>
        <w:rPr>
          <w:rFonts w:hint="eastAsia" w:eastAsia="仿宋_GB2312"/>
          <w:color w:val="000000" w:themeColor="text1"/>
          <w:sz w:val="32"/>
          <w:szCs w:val="32"/>
        </w:rPr>
        <w:t>）土地竞得人须严格按照达州</w:t>
      </w:r>
      <w:r>
        <w:rPr>
          <w:rFonts w:hint="eastAsia" w:eastAsia="仿宋_GB2312"/>
          <w:color w:val="000000" w:themeColor="text1"/>
          <w:sz w:val="32"/>
          <w:szCs w:val="32"/>
          <w:lang w:val="en-US" w:eastAsia="zh-CN"/>
        </w:rPr>
        <w:t>是翠屏山片区B02-01-02</w:t>
      </w:r>
      <w:r>
        <w:rPr>
          <w:rFonts w:hint="eastAsia" w:eastAsia="仿宋_GB2312"/>
          <w:color w:val="000000" w:themeColor="text1"/>
          <w:sz w:val="32"/>
          <w:szCs w:val="32"/>
        </w:rPr>
        <w:t>地块规划条件及要求进行开发</w:t>
      </w:r>
      <w:r>
        <w:rPr>
          <w:rFonts w:hint="eastAsia" w:eastAsia="仿宋_GB2312"/>
          <w:color w:val="000000" w:themeColor="text1"/>
          <w:sz w:val="32"/>
          <w:szCs w:val="32"/>
          <w:lang w:val="en-US" w:eastAsia="zh-CN"/>
        </w:rPr>
        <w:t>建设</w:t>
      </w:r>
      <w:r>
        <w:rPr>
          <w:rFonts w:hint="eastAsia" w:eastAsia="仿宋_GB2312"/>
          <w:color w:val="000000" w:themeColor="text1"/>
          <w:sz w:val="32"/>
          <w:szCs w:val="32"/>
        </w:rPr>
        <w:t>；</w:t>
      </w:r>
      <w:r>
        <w:rPr>
          <w:rFonts w:hint="eastAsia" w:eastAsia="仿宋_GB2312"/>
          <w:color w:val="000000" w:themeColor="text1"/>
          <w:sz w:val="32"/>
          <w:szCs w:val="32"/>
          <w:lang w:val="en-US" w:eastAsia="zh-CN"/>
        </w:rPr>
        <w:t>须</w:t>
      </w:r>
      <w:r>
        <w:rPr>
          <w:rFonts w:hint="eastAsia" w:eastAsia="仿宋_GB2312"/>
          <w:color w:val="000000" w:themeColor="text1"/>
          <w:sz w:val="32"/>
          <w:szCs w:val="32"/>
        </w:rPr>
        <w:t>严格按照地质灾害防治的相关要求，落实地质灾害防治措施；</w:t>
      </w:r>
      <w:r>
        <w:rPr>
          <w:rFonts w:hint="eastAsia" w:eastAsia="仿宋_GB2312"/>
          <w:color w:val="000000" w:themeColor="text1"/>
          <w:sz w:val="32"/>
          <w:szCs w:val="32"/>
          <w:lang w:val="en-US" w:eastAsia="zh-CN"/>
        </w:rPr>
        <w:t>须</w:t>
      </w:r>
      <w:r>
        <w:rPr>
          <w:rFonts w:hint="eastAsia" w:eastAsia="仿宋_GB2312"/>
          <w:color w:val="000000" w:themeColor="text1"/>
          <w:sz w:val="32"/>
          <w:szCs w:val="32"/>
        </w:rPr>
        <w:t>严格按照生态环境保护的相关要求，开展环境影响评价</w:t>
      </w:r>
      <w:r>
        <w:rPr>
          <w:rFonts w:hint="eastAsia" w:eastAsia="仿宋_GB2312"/>
          <w:color w:val="000000" w:themeColor="text1"/>
          <w:sz w:val="32"/>
          <w:szCs w:val="32"/>
          <w:lang w:val="en-US" w:eastAsia="zh-CN"/>
        </w:rPr>
        <w:t>和土壤污染状况调查</w:t>
      </w:r>
      <w:r>
        <w:rPr>
          <w:rFonts w:hint="eastAsia" w:eastAsia="仿宋_GB2312"/>
          <w:color w:val="000000" w:themeColor="text1"/>
          <w:sz w:val="32"/>
          <w:szCs w:val="32"/>
        </w:rPr>
        <w:t>，</w:t>
      </w:r>
      <w:r>
        <w:rPr>
          <w:rFonts w:hint="eastAsia" w:eastAsia="仿宋_GB2312"/>
          <w:color w:val="000000" w:themeColor="text1"/>
          <w:sz w:val="32"/>
          <w:szCs w:val="32"/>
          <w:lang w:val="en-US" w:eastAsia="zh-CN"/>
        </w:rPr>
        <w:t>全面</w:t>
      </w:r>
      <w:r>
        <w:rPr>
          <w:rFonts w:hint="eastAsia" w:eastAsia="仿宋_GB2312"/>
          <w:color w:val="000000" w:themeColor="text1"/>
          <w:sz w:val="32"/>
          <w:szCs w:val="32"/>
        </w:rPr>
        <w:t>落实生态环境保护措施。</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四、竞买资格及要求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 xml:space="preserve"> (一)竞买资格</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2.在达州市内有下列情形之一的，不得申请参与本次拍卖活动。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①逾期不签成交确认书、土地出让合同的；</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②欠缴土地出让价款的；</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③因企业原因闲置土地一年以上，且尚未完成查处整改的单位和个</w:t>
      </w:r>
      <w:r>
        <w:rPr>
          <w:rFonts w:hint="eastAsia" w:ascii="仿宋" w:hAnsi="仿宋" w:eastAsia="仿宋" w:cs="宋体"/>
          <w:color w:val="000000" w:themeColor="text1"/>
          <w:sz w:val="28"/>
          <w:szCs w:val="28"/>
        </w:rPr>
        <w:t>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④违反土地及城乡规划法律法规受到处罚，且尚未结案的单位和个人。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（二）要求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hint="eastAsia" w:ascii="Times New Roman" w:hAnsi="Times New Roman" w:eastAsia="仿宋_GB2312" w:cs="Times New Roman"/>
          <w:color w:val="000000" w:themeColor="text1"/>
          <w:sz w:val="32"/>
          <w:szCs w:val="32"/>
        </w:rPr>
        <w:t>0818-2377534，</w:t>
      </w:r>
      <w:r>
        <w:rPr>
          <w:rFonts w:hint="eastAsia" w:eastAsia="仿宋_GB2312"/>
          <w:color w:val="000000" w:themeColor="text1"/>
          <w:sz w:val="32"/>
          <w:szCs w:val="32"/>
        </w:rPr>
        <w:t>拍卖人电话0818-333</w:t>
      </w:r>
      <w:r>
        <w:rPr>
          <w:rFonts w:hint="eastAsia" w:eastAsia="仿宋_GB2312"/>
          <w:color w:val="000000" w:themeColor="text1"/>
          <w:sz w:val="32"/>
          <w:szCs w:val="32"/>
          <w:lang w:val="en-US" w:eastAsia="zh-CN"/>
        </w:rPr>
        <w:t>3699</w:t>
      </w:r>
      <w:r>
        <w:rPr>
          <w:rFonts w:hint="eastAsia" w:eastAsia="仿宋_GB2312"/>
          <w:color w:val="000000" w:themeColor="text1"/>
          <w:sz w:val="32"/>
          <w:szCs w:val="32"/>
        </w:rPr>
        <w:t>）。</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3.竞买人须承诺：</w:t>
      </w:r>
      <w:r>
        <w:rPr>
          <w:rFonts w:hint="eastAsia" w:ascii="Times New Roman" w:hAnsi="Times New Roman" w:eastAsia="仿宋_GB2312" w:cs="Times New Roman"/>
          <w:color w:val="000000" w:themeColor="text1"/>
          <w:kern w:val="2"/>
          <w:sz w:val="32"/>
          <w:szCs w:val="32"/>
          <w:lang w:val="en-US" w:eastAsia="zh-CN"/>
        </w:rPr>
        <w:t>土地所在辖区</w:t>
      </w:r>
      <w:r>
        <w:rPr>
          <w:rFonts w:hint="eastAsia" w:ascii="Times New Roman" w:hAnsi="Times New Roman" w:eastAsia="仿宋_GB2312" w:cs="Times New Roman"/>
          <w:color w:val="000000" w:themeColor="text1"/>
          <w:kern w:val="2"/>
          <w:sz w:val="32"/>
          <w:szCs w:val="32"/>
        </w:rPr>
        <w:t>外的竞买人，若竞得土地使用权，必须在</w:t>
      </w:r>
      <w:r>
        <w:rPr>
          <w:rFonts w:hint="eastAsia" w:ascii="Times New Roman" w:hAnsi="Times New Roman" w:eastAsia="仿宋_GB2312" w:cs="Times New Roman"/>
          <w:color w:val="000000" w:themeColor="text1"/>
          <w:kern w:val="2"/>
          <w:sz w:val="32"/>
          <w:szCs w:val="32"/>
          <w:lang w:val="en-US" w:eastAsia="zh-CN"/>
        </w:rPr>
        <w:t>土地所在辖区注册</w:t>
      </w:r>
      <w:r>
        <w:rPr>
          <w:rFonts w:hint="eastAsia" w:ascii="Times New Roman" w:hAnsi="Times New Roman" w:eastAsia="仿宋_GB2312" w:cs="Times New Roman"/>
          <w:color w:val="000000" w:themeColor="text1"/>
          <w:kern w:val="2"/>
          <w:sz w:val="32"/>
          <w:szCs w:val="32"/>
        </w:rPr>
        <w:t>成立一家</w:t>
      </w:r>
      <w:r>
        <w:rPr>
          <w:rFonts w:hint="eastAsia" w:ascii="Times New Roman" w:hAnsi="Times New Roman" w:eastAsia="仿宋_GB2312" w:cs="Times New Roman"/>
          <w:color w:val="000000" w:themeColor="text1"/>
          <w:kern w:val="2"/>
          <w:sz w:val="32"/>
          <w:szCs w:val="32"/>
          <w:lang w:val="en-US" w:eastAsia="zh-CN"/>
        </w:rPr>
        <w:t>新</w:t>
      </w:r>
      <w:r>
        <w:rPr>
          <w:rFonts w:hint="eastAsia" w:ascii="Times New Roman" w:hAnsi="Times New Roman" w:eastAsia="仿宋_GB2312" w:cs="Times New Roman"/>
          <w:color w:val="000000" w:themeColor="text1"/>
          <w:kern w:val="2"/>
          <w:sz w:val="32"/>
          <w:szCs w:val="32"/>
        </w:rPr>
        <w:t>公司对竞得土地进行开发建设。</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五、申请和资格审查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（一）拍卖文件取得</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竞买申请人可于</w:t>
      </w:r>
      <w:r>
        <w:rPr>
          <w:rFonts w:hint="eastAsia" w:ascii="仿宋" w:hAnsi="仿宋" w:eastAsia="仿宋" w:cs="宋体"/>
          <w:b/>
          <w:color w:val="FF0000"/>
          <w:sz w:val="28"/>
          <w:szCs w:val="28"/>
          <w:u w:val="single"/>
        </w:rPr>
        <w:t>20</w:t>
      </w:r>
      <w:r>
        <w:rPr>
          <w:rFonts w:ascii="仿宋" w:hAnsi="仿宋" w:eastAsia="仿宋" w:cs="宋体"/>
          <w:b/>
          <w:color w:val="FF0000"/>
          <w:sz w:val="28"/>
          <w:szCs w:val="28"/>
          <w:u w:val="single"/>
        </w:rPr>
        <w:t>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11</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30</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19</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rPr>
        <w:t>，</w:t>
      </w:r>
      <w:r>
        <w:rPr>
          <w:rFonts w:hint="eastAsia" w:eastAsia="仿宋_GB2312"/>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rPr>
        <w:t>http://www.dzggzy.cn</w:t>
      </w:r>
      <w:r>
        <w:rPr>
          <w:rFonts w:hint="eastAsia" w:eastAsia="仿宋_GB2312"/>
          <w:color w:val="000000" w:themeColor="text1"/>
          <w:kern w:val="2"/>
          <w:sz w:val="32"/>
          <w:szCs w:val="32"/>
        </w:rPr>
        <w:fldChar w:fldCharType="end"/>
      </w:r>
      <w:r>
        <w:rPr>
          <w:rFonts w:hint="eastAsia" w:eastAsia="仿宋_GB2312"/>
          <w:color w:val="000000" w:themeColor="text1"/>
          <w:kern w:val="2"/>
          <w:sz w:val="32"/>
          <w:szCs w:val="32"/>
        </w:rPr>
        <w:t>）获取拍卖出让文件。</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（二）提交申请文件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11</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30</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19</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rPr>
        <w:t>止</w:t>
      </w:r>
      <w:r>
        <w:rPr>
          <w:rFonts w:hint="eastAsia" w:ascii="仿宋" w:hAnsi="仿宋" w:eastAsia="仿宋" w:cs="仿宋_GB2312"/>
          <w:color w:val="000000" w:themeColor="text1"/>
          <w:sz w:val="28"/>
          <w:szCs w:val="28"/>
        </w:rPr>
        <w:t>，</w:t>
      </w:r>
      <w:r>
        <w:rPr>
          <w:rFonts w:hint="eastAsia" w:eastAsia="仿宋_GB2312"/>
          <w:color w:val="000000" w:themeColor="text1"/>
          <w:sz w:val="32"/>
          <w:szCs w:val="32"/>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rPr>
        <w:t>http://www.dzggzy.cn</w:t>
      </w:r>
      <w:r>
        <w:rPr>
          <w:rFonts w:hint="eastAsia" w:eastAsia="仿宋_GB2312"/>
          <w:color w:val="000000" w:themeColor="text1"/>
          <w:sz w:val="32"/>
          <w:szCs w:val="32"/>
        </w:rPr>
        <w:fldChar w:fldCharType="end"/>
      </w:r>
      <w:r>
        <w:rPr>
          <w:rFonts w:hint="eastAsia" w:eastAsia="仿宋_GB2312"/>
          <w:color w:val="000000" w:themeColor="text1"/>
          <w:sz w:val="32"/>
          <w:szCs w:val="32"/>
        </w:rPr>
        <w:t>）通过系统上传申请文件扫描件并提交申请。申请文件包括：</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1.法人申请的，应提交下列文件：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（4）法人单位有效证明文件；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（5）法定代表人的有效身份证明文件；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2.自然人申请的，应提交下列文件：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（4）申请人有效身份证明文件；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3.其他组织申请的，应提交下列文件：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（4）表明该组织合法存在的文件或有效证明；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（5）表明该组织负责人身份的有效证明文件；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4.境外申请人申请的，应提交下列文件：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（4）境外法人、自然人、其他组织的有效身份证明文件；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（1）联合申请各方共同签署的申请书；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（2）联合申请各方共同签署的保证金承诺书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（3）联合体各方商业金融机构的资信证明；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（4）联合各方的有效身份证明文件；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（三）资格审查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已提交申请的竞买申请人须在</w:t>
      </w:r>
      <w:r>
        <w:rPr>
          <w:rFonts w:hint="eastAsia" w:ascii="仿宋" w:hAnsi="仿宋" w:eastAsia="仿宋" w:cs="宋体"/>
          <w:b/>
          <w:color w:val="FF0000"/>
          <w:sz w:val="28"/>
          <w:szCs w:val="28"/>
        </w:rPr>
        <w:t>资格审查当日（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20</w:t>
      </w:r>
      <w:r>
        <w:rPr>
          <w:rFonts w:hint="eastAsia" w:ascii="仿宋" w:hAnsi="仿宋" w:eastAsia="仿宋" w:cs="宋体"/>
          <w:b/>
          <w:color w:val="FF0000"/>
          <w:sz w:val="28"/>
          <w:szCs w:val="28"/>
          <w:u w:val="single"/>
        </w:rPr>
        <w:t>日）</w:t>
      </w:r>
      <w:r>
        <w:rPr>
          <w:rFonts w:hint="eastAsia" w:ascii="仿宋" w:hAnsi="仿宋" w:eastAsia="仿宋" w:cs="宋体"/>
          <w:b/>
          <w:color w:val="FF0000"/>
          <w:sz w:val="28"/>
          <w:szCs w:val="28"/>
          <w:u w:val="single"/>
          <w:lang w:val="en-US" w:eastAsia="zh-CN"/>
        </w:rPr>
        <w:t>9</w:t>
      </w:r>
      <w:r>
        <w:rPr>
          <w:rFonts w:ascii="仿宋" w:hAnsi="仿宋" w:eastAsia="仿宋" w:cs="宋体"/>
          <w:b/>
          <w:color w:val="FF0000"/>
          <w:sz w:val="28"/>
          <w:szCs w:val="28"/>
          <w:u w:val="single"/>
        </w:rPr>
        <w:t>:</w:t>
      </w:r>
      <w:r>
        <w:rPr>
          <w:rFonts w:hint="eastAsia" w:ascii="仿宋" w:hAnsi="仿宋" w:eastAsia="仿宋" w:cs="宋体"/>
          <w:b/>
          <w:color w:val="FF0000"/>
          <w:sz w:val="28"/>
          <w:szCs w:val="28"/>
          <w:u w:val="single"/>
          <w:lang w:val="en-US" w:eastAsia="zh-CN"/>
        </w:rPr>
        <w:t>0</w:t>
      </w:r>
      <w:r>
        <w:rPr>
          <w:rFonts w:ascii="仿宋" w:hAnsi="仿宋" w:eastAsia="仿宋" w:cs="宋体"/>
          <w:b/>
          <w:color w:val="FF0000"/>
          <w:sz w:val="28"/>
          <w:szCs w:val="28"/>
          <w:u w:val="single"/>
        </w:rPr>
        <w:t>0</w:t>
      </w:r>
      <w:r>
        <w:rPr>
          <w:rFonts w:hint="eastAsia" w:eastAsia="仿宋_GB2312"/>
          <w:color w:val="000000" w:themeColor="text1"/>
          <w:sz w:val="32"/>
          <w:szCs w:val="32"/>
        </w:rPr>
        <w:t>之前将竞买申请文件原件提交至4B-17，未按时提交原件的视为自行放弃竞买资格。</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1.申请人不具备竞买资格的；</w:t>
      </w:r>
    </w:p>
    <w:p>
      <w:pPr>
        <w:pStyle w:val="34"/>
        <w:widowControl w:val="0"/>
        <w:spacing w:line="600" w:lineRule="exact"/>
        <w:ind w:left="0"/>
        <w:rPr>
          <w:rFonts w:eastAsia="仿宋_GB2312"/>
          <w:color w:val="000000" w:themeColor="text1"/>
          <w:kern w:val="2"/>
          <w:sz w:val="32"/>
          <w:szCs w:val="32"/>
        </w:rPr>
      </w:pPr>
      <w:r>
        <w:rPr>
          <w:rFonts w:hint="eastAsia" w:eastAsia="仿宋_GB2312"/>
          <w:color w:val="000000" w:themeColor="text1"/>
          <w:kern w:val="2"/>
          <w:sz w:val="32"/>
          <w:szCs w:val="32"/>
        </w:rPr>
        <w:t xml:space="preserve">    2.未按规定交纳竞买保证金的；</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3.申请文件不齐全或不符合法律法规和出让文件规定的；</w:t>
      </w:r>
    </w:p>
    <w:p>
      <w:pPr>
        <w:pStyle w:val="34"/>
        <w:widowControl w:val="0"/>
        <w:spacing w:line="600" w:lineRule="exact"/>
        <w:ind w:left="0" w:firstLine="570"/>
        <w:rPr>
          <w:rFonts w:eastAsia="仿宋_GB2312"/>
          <w:color w:val="000000" w:themeColor="text1"/>
          <w:kern w:val="2"/>
          <w:sz w:val="32"/>
          <w:szCs w:val="32"/>
        </w:rPr>
      </w:pPr>
      <w:r>
        <w:rPr>
          <w:rFonts w:hint="eastAsia" w:eastAsia="仿宋_GB2312"/>
          <w:color w:val="000000" w:themeColor="text1"/>
          <w:kern w:val="2"/>
          <w:sz w:val="32"/>
          <w:szCs w:val="32"/>
        </w:rPr>
        <w:t>4.委托他人代理，委托文件不齐全或不符合规定的；</w:t>
      </w:r>
    </w:p>
    <w:p>
      <w:pPr>
        <w:pStyle w:val="34"/>
        <w:widowControl w:val="0"/>
        <w:spacing w:line="600" w:lineRule="exact"/>
        <w:ind w:left="0" w:firstLine="585"/>
        <w:rPr>
          <w:rFonts w:eastAsia="仿宋_GB2312"/>
          <w:color w:val="000000" w:themeColor="text1"/>
          <w:kern w:val="2"/>
          <w:sz w:val="32"/>
          <w:szCs w:val="32"/>
        </w:rPr>
      </w:pPr>
      <w:r>
        <w:rPr>
          <w:rFonts w:hint="eastAsia" w:eastAsia="仿宋_GB2312"/>
          <w:color w:val="000000" w:themeColor="text1"/>
          <w:kern w:val="2"/>
          <w:sz w:val="32"/>
          <w:szCs w:val="32"/>
        </w:rPr>
        <w:t>5.法律法规规定的其他情形。</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（四）确认竞买人资格</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取得竞买资格的竞买申请人，请在</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20</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rPr>
        <w:t>前</w:t>
      </w:r>
      <w:r>
        <w:rPr>
          <w:rFonts w:hint="eastAsia" w:eastAsia="仿宋_GB2312"/>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（五）答疑及现场踏勘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六、本次出让宗地拍卖会时间、地点及拍卖的起叫价、增价幅度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本次拍卖会地点为：达州市公共资源交易中心开标二厅举行。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1年1</w:t>
      </w:r>
      <w:r>
        <w:rPr>
          <w:rFonts w:hint="eastAsia" w:ascii="仿宋" w:hAnsi="仿宋" w:eastAsia="仿宋"/>
          <w:b/>
          <w:color w:val="FF0000"/>
          <w:sz w:val="28"/>
          <w:szCs w:val="28"/>
          <w:u w:val="single"/>
          <w:lang w:val="en-US" w:eastAsia="zh-CN"/>
        </w:rPr>
        <w:t>2</w:t>
      </w:r>
      <w:r>
        <w:rPr>
          <w:rFonts w:hint="eastAsia" w:ascii="仿宋" w:hAnsi="仿宋" w:eastAsia="仿宋"/>
          <w:b/>
          <w:color w:val="FF0000"/>
          <w:sz w:val="28"/>
          <w:szCs w:val="28"/>
          <w:u w:val="single"/>
        </w:rPr>
        <w:t>月</w:t>
      </w:r>
      <w:r>
        <w:rPr>
          <w:rFonts w:hint="eastAsia" w:ascii="仿宋" w:hAnsi="仿宋" w:eastAsia="仿宋"/>
          <w:b/>
          <w:color w:val="FF0000"/>
          <w:sz w:val="28"/>
          <w:szCs w:val="28"/>
          <w:u w:val="single"/>
          <w:lang w:val="en-US" w:eastAsia="zh-CN"/>
        </w:rPr>
        <w:t>20</w:t>
      </w:r>
      <w:r>
        <w:rPr>
          <w:rFonts w:hint="eastAsia" w:ascii="仿宋" w:hAnsi="仿宋" w:eastAsia="仿宋"/>
          <w:b/>
          <w:color w:val="FF0000"/>
          <w:sz w:val="28"/>
          <w:szCs w:val="28"/>
          <w:u w:val="single"/>
        </w:rPr>
        <w:t>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000000" w:themeColor="text1"/>
          <w:sz w:val="32"/>
          <w:szCs w:val="32"/>
        </w:rPr>
        <w:t>本次拍卖</w:t>
      </w:r>
      <w:r>
        <w:rPr>
          <w:rFonts w:hint="eastAsia" w:eastAsia="仿宋_GB2312"/>
          <w:color w:val="FF0000"/>
          <w:sz w:val="32"/>
          <w:szCs w:val="32"/>
        </w:rPr>
        <w:t>起叫价</w:t>
      </w:r>
      <w:r>
        <w:rPr>
          <w:rFonts w:hint="eastAsia" w:eastAsia="仿宋_GB2312"/>
          <w:color w:val="FF0000"/>
          <w:sz w:val="32"/>
          <w:szCs w:val="32"/>
          <w:lang w:val="en-US" w:eastAsia="zh-CN"/>
        </w:rPr>
        <w:t>390</w:t>
      </w:r>
      <w:r>
        <w:rPr>
          <w:rFonts w:hint="eastAsia" w:eastAsia="仿宋_GB2312"/>
          <w:color w:val="FF0000"/>
          <w:sz w:val="32"/>
          <w:szCs w:val="32"/>
        </w:rPr>
        <w:t>万元/亩,增价幅度为5万元/亩或5万元/亩的整倍数。成交总地价=拍卖成交最高亩价×出让面积</w:t>
      </w:r>
      <w:r>
        <w:rPr>
          <w:rFonts w:hint="eastAsia" w:eastAsia="仿宋_GB2312"/>
          <w:color w:val="FF0000"/>
          <w:sz w:val="32"/>
          <w:szCs w:val="32"/>
          <w:lang w:val="en-US" w:eastAsia="zh-CN"/>
        </w:rPr>
        <w:t>116</w:t>
      </w:r>
      <w:r>
        <w:rPr>
          <w:rFonts w:hint="eastAsia" w:eastAsia="仿宋_GB2312"/>
          <w:color w:val="FF0000"/>
          <w:sz w:val="32"/>
          <w:szCs w:val="32"/>
        </w:rPr>
        <w:t>亩。</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七、拍卖程序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hint="eastAsia"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9.</w:t>
      </w:r>
      <w:r>
        <w:rPr>
          <w:rFonts w:hint="eastAsia" w:ascii="Times New Roman" w:hAnsi="Times New Roman" w:eastAsia="仿宋_GB2312" w:cs="Times New Roman"/>
          <w:color w:val="000000" w:themeColor="text1"/>
          <w:sz w:val="32"/>
          <w:szCs w:val="32"/>
        </w:rPr>
        <w:t>现场抽取确定首轮竞价顺序</w:t>
      </w:r>
      <w:r>
        <w:rPr>
          <w:rFonts w:hint="eastAsia" w:ascii="Times New Roman" w:hAnsi="Times New Roman" w:eastAsia="仿宋_GB2312" w:cs="Times New Roman"/>
          <w:color w:val="000000" w:themeColor="text1"/>
          <w:sz w:val="32"/>
          <w:szCs w:val="32"/>
          <w:lang w:eastAsia="zh-CN"/>
        </w:rPr>
        <w:t>；</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lang w:val="en-US" w:eastAsia="zh-CN"/>
        </w:rPr>
        <w:t>10</w:t>
      </w:r>
      <w:r>
        <w:rPr>
          <w:rFonts w:hint="eastAsia" w:eastAsia="仿宋_GB2312"/>
          <w:color w:val="000000" w:themeColor="text1"/>
          <w:sz w:val="32"/>
          <w:szCs w:val="32"/>
        </w:rPr>
        <w:t>.拍卖主持人报出起叫价，宣布竞价开始；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1</w:t>
      </w:r>
      <w:r>
        <w:rPr>
          <w:rFonts w:hint="eastAsia" w:eastAsia="仿宋_GB2312"/>
          <w:color w:val="000000" w:themeColor="text1"/>
          <w:sz w:val="32"/>
          <w:szCs w:val="32"/>
        </w:rPr>
        <w:t>.竞买人举牌应价或者报价，首轮竞价完毕后须宣布首轮竞价结束并转为自由竞价；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2</w:t>
      </w:r>
      <w:r>
        <w:rPr>
          <w:rFonts w:hint="eastAsia" w:eastAsia="仿宋_GB2312"/>
          <w:color w:val="000000" w:themeColor="text1"/>
          <w:sz w:val="32"/>
          <w:szCs w:val="32"/>
        </w:rPr>
        <w:t>.拍卖主持人确认该竞买人应价或者报价后继续竞价；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3</w:t>
      </w:r>
      <w:r>
        <w:rPr>
          <w:rFonts w:hint="eastAsia" w:eastAsia="仿宋_GB2312"/>
          <w:color w:val="000000" w:themeColor="text1"/>
          <w:sz w:val="32"/>
          <w:szCs w:val="32"/>
        </w:rPr>
        <w:t>.拍卖主持人连续三次宣布同一应价或报价而没有人再应价或报价，拍卖主持人宣布竞价结束（每次的时间间隔不得短于规定时间）；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4</w:t>
      </w:r>
      <w:r>
        <w:rPr>
          <w:rFonts w:hint="eastAsia" w:eastAsia="仿宋_GB2312"/>
          <w:color w:val="000000" w:themeColor="text1"/>
          <w:sz w:val="32"/>
          <w:szCs w:val="32"/>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5</w:t>
      </w:r>
      <w:r>
        <w:rPr>
          <w:rFonts w:hint="eastAsia" w:eastAsia="仿宋_GB2312"/>
          <w:color w:val="000000" w:themeColor="text1"/>
          <w:sz w:val="32"/>
          <w:szCs w:val="32"/>
        </w:rPr>
        <w:t>.公证员现场致公证词；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6</w:t>
      </w:r>
      <w:r>
        <w:rPr>
          <w:rFonts w:hint="eastAsia" w:eastAsia="仿宋_GB2312"/>
          <w:color w:val="000000" w:themeColor="text1"/>
          <w:sz w:val="32"/>
          <w:szCs w:val="32"/>
        </w:rPr>
        <w:t>.拍卖主持人主持拍卖人与竞得人在现场签订《成交确认书》。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（四）出让结果公布：</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八、竞价规则</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（一）本次拍卖采用增价拍卖方式，按价高者得的原则确定竞得人（高于或等于政府底价的基础上）。</w:t>
      </w:r>
    </w:p>
    <w:p>
      <w:pPr>
        <w:snapToGrid w:val="0"/>
        <w:spacing w:line="600" w:lineRule="exact"/>
        <w:ind w:firstLine="555"/>
        <w:rPr>
          <w:rFonts w:hint="eastAsia" w:eastAsia="仿宋_GB2312"/>
          <w:color w:val="000000" w:themeColor="text1"/>
          <w:sz w:val="32"/>
          <w:szCs w:val="32"/>
        </w:rPr>
      </w:pPr>
      <w:r>
        <w:rPr>
          <w:rFonts w:hint="eastAsia" w:eastAsia="仿宋_GB2312"/>
          <w:color w:val="000000" w:themeColor="text1"/>
          <w:sz w:val="32"/>
          <w:szCs w:val="32"/>
        </w:rPr>
        <w:t>（二）凡参加拍卖的竞买人必须承认起叫价，</w:t>
      </w:r>
      <w:r>
        <w:rPr>
          <w:rFonts w:hint="eastAsia" w:eastAsia="仿宋_GB2312"/>
          <w:color w:val="FF0000"/>
          <w:sz w:val="32"/>
          <w:szCs w:val="32"/>
        </w:rPr>
        <w:t>即从起</w:t>
      </w:r>
      <w:r>
        <w:rPr>
          <w:rFonts w:hint="eastAsia" w:eastAsia="仿宋_GB2312"/>
          <w:color w:val="FF0000"/>
          <w:sz w:val="32"/>
          <w:szCs w:val="32"/>
          <w:lang w:val="en-US" w:eastAsia="zh-CN"/>
        </w:rPr>
        <w:t>拍</w:t>
      </w:r>
      <w:r>
        <w:rPr>
          <w:rFonts w:hint="eastAsia" w:eastAsia="仿宋_GB2312"/>
          <w:color w:val="FF0000"/>
          <w:sz w:val="32"/>
          <w:szCs w:val="32"/>
        </w:rPr>
        <w:t>价(</w:t>
      </w:r>
      <w:r>
        <w:rPr>
          <w:rFonts w:hint="eastAsia" w:eastAsia="仿宋_GB2312"/>
          <w:color w:val="FF0000"/>
          <w:sz w:val="32"/>
          <w:szCs w:val="32"/>
          <w:lang w:val="en-US" w:eastAsia="zh-CN"/>
        </w:rPr>
        <w:t>390</w:t>
      </w:r>
      <w:r>
        <w:rPr>
          <w:rFonts w:hint="eastAsia" w:eastAsia="仿宋_GB2312"/>
          <w:color w:val="FF0000"/>
          <w:sz w:val="32"/>
          <w:szCs w:val="32"/>
        </w:rPr>
        <w:t>万元/亩）+最低增价幅度（5万元/亩）=</w:t>
      </w:r>
      <w:r>
        <w:rPr>
          <w:rFonts w:hint="eastAsia" w:eastAsia="仿宋_GB2312"/>
          <w:color w:val="FF0000"/>
          <w:sz w:val="32"/>
          <w:szCs w:val="32"/>
          <w:lang w:val="en-US" w:eastAsia="zh-CN"/>
        </w:rPr>
        <w:t>395</w:t>
      </w:r>
      <w:r>
        <w:rPr>
          <w:rFonts w:hint="eastAsia" w:eastAsia="仿宋_GB2312"/>
          <w:color w:val="FF0000"/>
          <w:sz w:val="32"/>
          <w:szCs w:val="32"/>
        </w:rPr>
        <w:t>万元/亩的价格确认，</w:t>
      </w:r>
      <w:r>
        <w:rPr>
          <w:rFonts w:hint="eastAsia" w:eastAsia="仿宋_GB2312"/>
          <w:color w:val="000000" w:themeColor="text1"/>
          <w:sz w:val="32"/>
          <w:szCs w:val="32"/>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（三）抽签确定事项: 1.竞买人抽签顺序按资格审查合格的竞买人从达州市公共资源交易服务网（http://www.dzggzy.cn）打印的竞买资格确认书中的竞价牌号从小到大依次进行。2.首轮竞价顺序确定事项：资格审查合格的竞买人在拍卖现场按竞买人抽签顺序依次从密封箱内一次性随机抽取乒乓号球，首轮竞价顺序按从小到大顺序排列确定。</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w:t>
      </w:r>
      <w:r>
        <w:rPr>
          <w:rFonts w:hint="eastAsia" w:eastAsia="仿宋_GB2312"/>
          <w:color w:val="000000" w:themeColor="text1"/>
          <w:sz w:val="32"/>
          <w:szCs w:val="32"/>
          <w:lang w:val="en-US" w:eastAsia="zh-CN"/>
        </w:rPr>
        <w:t>四</w:t>
      </w:r>
      <w:r>
        <w:rPr>
          <w:rFonts w:hint="eastAsia" w:eastAsia="仿宋_GB2312"/>
          <w:color w:val="000000" w:themeColor="text1"/>
          <w:sz w:val="32"/>
          <w:szCs w:val="32"/>
        </w:rPr>
        <w:t>）竞买人以举牌方式应价，也可以报价，但报价的加价幅度不得小于拍卖主持人宣布或调整的增价幅度。竞买人一经应价或报价，不可撤回。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w:t>
      </w:r>
      <w:r>
        <w:rPr>
          <w:rFonts w:hint="eastAsia" w:eastAsia="仿宋_GB2312"/>
          <w:color w:val="000000" w:themeColor="text1"/>
          <w:sz w:val="32"/>
          <w:szCs w:val="32"/>
          <w:lang w:val="en-US" w:eastAsia="zh-CN"/>
        </w:rPr>
        <w:t>五</w:t>
      </w:r>
      <w:r>
        <w:rPr>
          <w:rFonts w:hint="eastAsia" w:eastAsia="仿宋_GB2312"/>
          <w:color w:val="000000" w:themeColor="text1"/>
          <w:sz w:val="32"/>
          <w:szCs w:val="32"/>
        </w:rPr>
        <w:t>）若设有政府底价，最后应价未达到底价时，拍卖主持人终止本次拍卖活动，拍卖不成交。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九、注意事项</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 ．竞买人串通损害国家利益、社会利益或他人合法权益的；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 ．拍卖工作人员私下接触竞买人，足以影响拍卖公正性的；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 ．应当依法终止拍卖活动的其他情形。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1.竞得人逾期或拒绝在现场签订《成交确认书》的；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2.竞得人逾期或拒绝签订《国有建设用地使用权出让合同》的；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3.竞得人逾期支付交易服务费的；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adjustRightInd w:val="0"/>
        <w:snapToGrid w:val="0"/>
        <w:spacing w:line="578" w:lineRule="exact"/>
        <w:ind w:firstLine="640" w:firstLineChars="200"/>
        <w:rPr>
          <w:rFonts w:ascii="仿宋_GB2312"/>
          <w:color w:val="000000"/>
          <w:szCs w:val="32"/>
        </w:rPr>
      </w:pPr>
      <w:r>
        <w:rPr>
          <w:rFonts w:hint="eastAsia" w:eastAsia="仿宋_GB2312"/>
          <w:color w:val="000000" w:themeColor="text1"/>
          <w:sz w:val="32"/>
          <w:szCs w:val="32"/>
        </w:rPr>
        <w:t>（九）出让合同签订时间及价款支付：土地拍卖出让成交后须当场签订《成交确认书》，自成交之日起10个工作日内签订《国有建设用地使用权出让合同》，</w:t>
      </w:r>
      <w:r>
        <w:rPr>
          <w:rFonts w:hint="eastAsia" w:eastAsia="仿宋_GB2312"/>
          <w:color w:val="000000" w:themeColor="text1"/>
          <w:sz w:val="32"/>
          <w:szCs w:val="32"/>
          <w:lang w:val="en-US" w:eastAsia="zh-CN"/>
        </w:rPr>
        <w:t>自</w:t>
      </w:r>
      <w:r>
        <w:rPr>
          <w:rFonts w:hint="eastAsia" w:eastAsia="仿宋_GB2312"/>
          <w:color w:val="000000" w:themeColor="text1"/>
          <w:sz w:val="32"/>
          <w:szCs w:val="32"/>
        </w:rPr>
        <w:t>出让合同签订之日起1个月内缴纳拍卖成交价总额50%的首付款，余款在</w:t>
      </w:r>
      <w:r>
        <w:rPr>
          <w:rFonts w:hint="eastAsia" w:eastAsia="仿宋_GB2312"/>
          <w:color w:val="000000" w:themeColor="text1"/>
          <w:sz w:val="32"/>
          <w:szCs w:val="32"/>
          <w:lang w:val="en-US" w:eastAsia="zh-CN"/>
        </w:rPr>
        <w:t>土地成交</w:t>
      </w:r>
      <w:r>
        <w:rPr>
          <w:rFonts w:hint="eastAsia" w:eastAsia="仿宋_GB2312"/>
          <w:color w:val="000000" w:themeColor="text1"/>
          <w:sz w:val="32"/>
          <w:szCs w:val="32"/>
        </w:rPr>
        <w:t>之日起</w:t>
      </w:r>
      <w:r>
        <w:rPr>
          <w:rFonts w:hint="eastAsia" w:eastAsia="仿宋_GB2312"/>
          <w:color w:val="000000" w:themeColor="text1"/>
          <w:sz w:val="32"/>
          <w:szCs w:val="32"/>
          <w:lang w:val="en-US" w:eastAsia="zh-CN"/>
        </w:rPr>
        <w:t>1年内</w:t>
      </w:r>
      <w:r>
        <w:rPr>
          <w:rFonts w:hint="eastAsia" w:eastAsia="仿宋_GB2312"/>
          <w:color w:val="000000" w:themeColor="text1"/>
          <w:sz w:val="32"/>
          <w:szCs w:val="32"/>
        </w:rPr>
        <w:t>缴清（不计息）。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（十）土地交付条件及时间：在</w:t>
      </w:r>
      <w:r>
        <w:rPr>
          <w:rFonts w:hint="eastAsia" w:eastAsia="仿宋_GB2312"/>
          <w:color w:val="000000" w:themeColor="text1"/>
          <w:sz w:val="32"/>
          <w:szCs w:val="32"/>
          <w:lang w:val="en-US" w:eastAsia="zh-CN"/>
        </w:rPr>
        <w:t>土地竞得人</w:t>
      </w:r>
      <w:r>
        <w:rPr>
          <w:rFonts w:hint="eastAsia" w:eastAsia="仿宋_GB2312"/>
          <w:color w:val="000000" w:themeColor="text1"/>
          <w:sz w:val="32"/>
          <w:szCs w:val="32"/>
        </w:rPr>
        <w:t>缴清全部土地</w:t>
      </w:r>
      <w:r>
        <w:rPr>
          <w:rFonts w:hint="eastAsia" w:eastAsia="仿宋_GB2312"/>
          <w:color w:val="000000" w:themeColor="text1"/>
          <w:sz w:val="32"/>
          <w:szCs w:val="32"/>
          <w:lang w:val="en-US" w:eastAsia="zh-CN"/>
        </w:rPr>
        <w:t>出让</w:t>
      </w:r>
      <w:r>
        <w:rPr>
          <w:rFonts w:hint="eastAsia" w:eastAsia="仿宋_GB2312"/>
          <w:color w:val="000000" w:themeColor="text1"/>
          <w:sz w:val="32"/>
          <w:szCs w:val="32"/>
        </w:rPr>
        <w:t>价款（含</w:t>
      </w:r>
      <w:r>
        <w:rPr>
          <w:rFonts w:hint="eastAsia" w:eastAsia="仿宋_GB2312"/>
          <w:color w:val="000000" w:themeColor="text1"/>
          <w:sz w:val="32"/>
          <w:szCs w:val="32"/>
          <w:lang w:val="en-US" w:eastAsia="zh-CN"/>
        </w:rPr>
        <w:t>滞纳</w:t>
      </w:r>
      <w:r>
        <w:rPr>
          <w:rFonts w:hint="eastAsia" w:eastAsia="仿宋_GB2312"/>
          <w:color w:val="000000" w:themeColor="text1"/>
          <w:sz w:val="32"/>
          <w:szCs w:val="32"/>
        </w:rPr>
        <w:t>金）</w:t>
      </w:r>
      <w:r>
        <w:rPr>
          <w:rFonts w:hint="eastAsia" w:eastAsia="仿宋_GB2312"/>
          <w:color w:val="000000" w:themeColor="text1"/>
          <w:sz w:val="32"/>
          <w:szCs w:val="32"/>
          <w:lang w:val="en-US" w:eastAsia="zh-CN"/>
        </w:rPr>
        <w:t>之日起</w:t>
      </w:r>
      <w:r>
        <w:rPr>
          <w:rFonts w:hint="eastAsia" w:eastAsia="仿宋_GB2312"/>
          <w:color w:val="000000" w:themeColor="text1"/>
          <w:sz w:val="32"/>
          <w:szCs w:val="32"/>
        </w:rPr>
        <w:t>30日内，</w:t>
      </w:r>
      <w:r>
        <w:rPr>
          <w:rFonts w:hint="eastAsia" w:ascii="仿宋" w:hAnsi="仿宋" w:eastAsia="仿宋" w:cs="宋体"/>
          <w:b/>
          <w:color w:val="000000" w:themeColor="text1"/>
          <w:sz w:val="28"/>
          <w:szCs w:val="28"/>
          <w:u w:val="single"/>
        </w:rPr>
        <w:t>达州市自然资源</w:t>
      </w:r>
      <w:r>
        <w:rPr>
          <w:rFonts w:hint="eastAsia" w:ascii="仿宋" w:hAnsi="仿宋" w:eastAsia="仿宋" w:cs="宋体"/>
          <w:b/>
          <w:color w:val="000000" w:themeColor="text1"/>
          <w:sz w:val="28"/>
          <w:szCs w:val="28"/>
          <w:u w:val="single"/>
          <w:lang w:val="en-US" w:eastAsia="zh-CN"/>
        </w:rPr>
        <w:t>和规划</w:t>
      </w:r>
      <w:r>
        <w:rPr>
          <w:rFonts w:hint="eastAsia" w:ascii="仿宋" w:hAnsi="仿宋" w:eastAsia="仿宋" w:cs="宋体"/>
          <w:b/>
          <w:color w:val="000000" w:themeColor="text1"/>
          <w:sz w:val="28"/>
          <w:szCs w:val="28"/>
          <w:u w:val="single"/>
        </w:rPr>
        <w:t>局</w:t>
      </w:r>
      <w:r>
        <w:rPr>
          <w:rFonts w:hint="eastAsia" w:eastAsia="仿宋_GB2312"/>
          <w:color w:val="000000" w:themeColor="text1"/>
          <w:sz w:val="32"/>
          <w:szCs w:val="32"/>
          <w:lang w:val="en-US" w:eastAsia="zh-CN"/>
        </w:rPr>
        <w:t>以“净地”（仅指无地上建&lt;构&gt;筑物）、</w:t>
      </w:r>
      <w:r>
        <w:rPr>
          <w:rFonts w:hint="eastAsia" w:eastAsia="仿宋_GB2312"/>
          <w:color w:val="000000" w:themeColor="text1"/>
          <w:sz w:val="32"/>
          <w:szCs w:val="32"/>
        </w:rPr>
        <w:t>按现状土地使用条件交付土地，宗地范围内的地下资源、埋藏物不属于国有建设用地使用权出让范围。符合或达到交地条件的，竞得人应及时接收土地，未接地的，交地时间以出让人发出的交地通知时间为准，因竞得人原因导致交地延迟产生的相关经济和法律责任一律由竞得人承担。</w:t>
      </w:r>
      <w:r>
        <w:rPr>
          <w:rFonts w:hint="eastAsia" w:eastAsia="仿宋_GB2312"/>
          <w:color w:val="000000" w:themeColor="text1"/>
          <w:sz w:val="32"/>
          <w:szCs w:val="32"/>
          <w:lang w:val="en-US" w:eastAsia="zh-CN"/>
        </w:rPr>
        <w:t>受让人自交地之日起1年内开工，自开工之日起3年内建成；受让人不能按期开工，需提前30日向出让人提出延建申请，经出让人同意延建的，其项目竣工时间相应顺延，但延建期限不得超过一年。</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（十二）拍卖不成交的或成交不签订《成交确认书》的，由</w:t>
      </w:r>
      <w:r>
        <w:rPr>
          <w:rFonts w:hint="eastAsia" w:ascii="仿宋" w:hAnsi="仿宋" w:eastAsia="仿宋"/>
          <w:color w:val="000000" w:themeColor="text1"/>
          <w:sz w:val="28"/>
          <w:szCs w:val="28"/>
          <w:u w:val="single"/>
        </w:rPr>
        <w:t>达州市公共资源交易服务中心</w:t>
      </w:r>
      <w:r>
        <w:rPr>
          <w:rFonts w:hint="eastAsia" w:eastAsia="仿宋_GB2312"/>
          <w:color w:val="000000" w:themeColor="text1"/>
          <w:sz w:val="32"/>
          <w:szCs w:val="32"/>
        </w:rPr>
        <w:t>在2个工作日内书面函告出让人。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（十三）参加拍卖活动的人员，应遵守现场的纪律，服从管理人员的管理。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（十四）其他未尽事宜依照《招标拍卖挂牌出让国有土地使用权规范》办理。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（十五）达州市自然资源</w:t>
      </w:r>
      <w:r>
        <w:rPr>
          <w:rFonts w:hint="eastAsia" w:eastAsia="仿宋_GB2312"/>
          <w:color w:val="000000" w:themeColor="text1"/>
          <w:sz w:val="32"/>
          <w:szCs w:val="32"/>
          <w:lang w:val="en-US" w:eastAsia="zh-CN"/>
        </w:rPr>
        <w:t>和规划</w:t>
      </w:r>
      <w:r>
        <w:rPr>
          <w:rFonts w:hint="eastAsia" w:eastAsia="仿宋_GB2312"/>
          <w:color w:val="000000" w:themeColor="text1"/>
          <w:sz w:val="32"/>
          <w:szCs w:val="32"/>
        </w:rPr>
        <w:t>局、达州市公共资源交易服务中心对本《须知》有解释权。</w:t>
      </w:r>
    </w:p>
    <w:p>
      <w:pPr>
        <w:spacing w:line="600" w:lineRule="exact"/>
        <w:ind w:firstLine="1920" w:firstLineChars="6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hint="eastAsia" w:ascii="黑体" w:eastAsia="黑体"/>
          <w:color w:val="000000" w:themeColor="text1"/>
          <w:sz w:val="44"/>
          <w:szCs w:val="44"/>
        </w:rPr>
      </w:pPr>
      <w:bookmarkStart w:id="4" w:name="_Toc3391972"/>
      <w:bookmarkStart w:id="5" w:name="_Toc3391743"/>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p>
    <w:p>
      <w:pPr>
        <w:rPr>
          <w:rFonts w:hint="eastAsia" w:eastAsia="黑体"/>
          <w:lang w:eastAsia="zh-CN"/>
        </w:rPr>
      </w:pPr>
      <w:r>
        <w:rPr>
          <w:rFonts w:hint="eastAsia" w:eastAsia="黑体"/>
          <w:lang w:eastAsia="zh-CN"/>
        </w:rPr>
        <w:drawing>
          <wp:inline distT="0" distB="0" distL="114300" distR="114300">
            <wp:extent cx="5269865" cy="6819900"/>
            <wp:effectExtent l="0" t="0" r="6985" b="0"/>
            <wp:docPr id="4" name="图片 4" descr="B02-01-02地块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02-01-02地块规划条件_00"/>
                    <pic:cNvPicPr>
                      <a:picLocks noChangeAspect="1"/>
                    </pic:cNvPicPr>
                  </pic:nvPicPr>
                  <pic:blipFill>
                    <a:blip r:embed="rId25"/>
                    <a:stretch>
                      <a:fillRect/>
                    </a:stretch>
                  </pic:blipFill>
                  <pic:spPr>
                    <a:xfrm>
                      <a:off x="0" y="0"/>
                      <a:ext cx="5269865" cy="6819900"/>
                    </a:xfrm>
                    <a:prstGeom prst="rect">
                      <a:avLst/>
                    </a:prstGeom>
                  </pic:spPr>
                </pic:pic>
              </a:graphicData>
            </a:graphic>
          </wp:inline>
        </w:drawing>
      </w:r>
    </w:p>
    <w:p>
      <w:pPr>
        <w:rPr>
          <w:rFonts w:hint="eastAsia" w:eastAsia="黑体"/>
          <w:lang w:eastAsia="zh-CN"/>
        </w:rPr>
      </w:pPr>
    </w:p>
    <w:p>
      <w:pPr>
        <w:rPr>
          <w:color w:val="000000" w:themeColor="text1"/>
        </w:rPr>
      </w:pPr>
    </w:p>
    <w:p>
      <w:pPr>
        <w:rPr>
          <w:color w:val="000000" w:themeColor="text1"/>
        </w:rPr>
      </w:pPr>
    </w:p>
    <w:p>
      <w:pPr>
        <w:rPr>
          <w:color w:val="000000" w:themeColor="text1"/>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sectPr>
          <w:pgSz w:w="11906" w:h="16838"/>
          <w:pgMar w:top="1440" w:right="1800" w:bottom="1440" w:left="1800" w:header="851" w:footer="992" w:gutter="0"/>
          <w:cols w:space="425" w:num="1"/>
          <w:docGrid w:type="lines" w:linePitch="312" w:charSpace="0"/>
        </w:sectPr>
      </w:pPr>
      <w:r>
        <w:rPr>
          <w:rFonts w:hint="eastAsia" w:eastAsia="宋体"/>
          <w:color w:val="000000" w:themeColor="text1"/>
          <w:lang w:eastAsia="zh-CN"/>
        </w:rPr>
        <w:drawing>
          <wp:inline distT="0" distB="0" distL="114300" distR="114300">
            <wp:extent cx="5269865" cy="6819900"/>
            <wp:effectExtent l="0" t="0" r="6985" b="0"/>
            <wp:docPr id="7" name="图片 7" descr="B02-01-02地块规划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02-01-02地块规划条件_01"/>
                    <pic:cNvPicPr>
                      <a:picLocks noChangeAspect="1"/>
                    </pic:cNvPicPr>
                  </pic:nvPicPr>
                  <pic:blipFill>
                    <a:blip r:embed="rId26"/>
                    <a:stretch>
                      <a:fillRect/>
                    </a:stretch>
                  </pic:blipFill>
                  <pic:spPr>
                    <a:xfrm>
                      <a:off x="0" y="0"/>
                      <a:ext cx="5269865" cy="6819900"/>
                    </a:xfrm>
                    <a:prstGeom prst="rect">
                      <a:avLst/>
                    </a:prstGeom>
                  </pic:spPr>
                </pic:pic>
              </a:graphicData>
            </a:graphic>
          </wp:inline>
        </w:drawing>
      </w:r>
    </w:p>
    <w:p>
      <w:pPr>
        <w:pStyle w:val="12"/>
        <w:rPr>
          <w:rFonts w:ascii="黑体" w:eastAsia="黑体"/>
          <w:color w:val="000000" w:themeColor="text1"/>
          <w:sz w:val="44"/>
          <w:szCs w:val="44"/>
        </w:rPr>
      </w:pPr>
      <w:bookmarkStart w:id="6" w:name="_Toc3391973"/>
      <w:bookmarkStart w:id="7" w:name="_Toc3391744"/>
      <w:r>
        <w:rPr>
          <w:rFonts w:hint="eastAsia" w:ascii="黑体" w:eastAsia="黑体"/>
          <w:color w:val="000000" w:themeColor="text1"/>
          <w:sz w:val="44"/>
          <w:szCs w:val="44"/>
        </w:rPr>
        <w:t>用地红线图</w:t>
      </w:r>
      <w:bookmarkEnd w:id="6"/>
      <w:bookmarkEnd w:id="7"/>
    </w:p>
    <w:p>
      <w:pPr>
        <w:pStyle w:val="12"/>
        <w:rPr>
          <w:rFonts w:hint="eastAsia" w:ascii="宋体" w:eastAsia="宋体" w:cs="宋体"/>
          <w:color w:val="000000" w:themeColor="text1"/>
          <w:sz w:val="28"/>
          <w:szCs w:val="28"/>
          <w:lang w:eastAsia="zh-CN"/>
        </w:rPr>
      </w:pPr>
    </w:p>
    <w:p>
      <w:pPr>
        <w:pStyle w:val="12"/>
        <w:jc w:val="both"/>
        <w:rPr>
          <w:rFonts w:hint="eastAsia" w:ascii="宋体" w:eastAsia="宋体" w:cs="宋体"/>
          <w:color w:val="000000" w:themeColor="text1"/>
          <w:sz w:val="28"/>
          <w:szCs w:val="28"/>
          <w:lang w:eastAsia="zh-CN"/>
        </w:rPr>
        <w:sectPr>
          <w:pgSz w:w="11906" w:h="16838"/>
          <w:pgMar w:top="1440" w:right="1800" w:bottom="1440" w:left="1800" w:header="851" w:footer="992" w:gutter="0"/>
          <w:cols w:space="425" w:num="1"/>
          <w:docGrid w:type="lines" w:linePitch="312" w:charSpace="0"/>
        </w:sectPr>
      </w:pPr>
      <w:r>
        <w:rPr>
          <w:rFonts w:hint="eastAsia" w:ascii="宋体" w:eastAsia="宋体" w:cs="宋体"/>
          <w:color w:val="000000" w:themeColor="text1"/>
          <w:sz w:val="28"/>
          <w:szCs w:val="28"/>
          <w:lang w:eastAsia="zh-CN"/>
        </w:rPr>
        <w:drawing>
          <wp:inline distT="0" distB="0" distL="114300" distR="114300">
            <wp:extent cx="5270500" cy="4072890"/>
            <wp:effectExtent l="0" t="0" r="6350" b="3810"/>
            <wp:docPr id="8" name="图片 8" descr="B02-01-02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02-01-02红线图_00"/>
                    <pic:cNvPicPr>
                      <a:picLocks noChangeAspect="1"/>
                    </pic:cNvPicPr>
                  </pic:nvPicPr>
                  <pic:blipFill>
                    <a:blip r:embed="rId27"/>
                    <a:stretch>
                      <a:fillRect/>
                    </a:stretch>
                  </pic:blipFill>
                  <pic:spPr>
                    <a:xfrm>
                      <a:off x="0" y="0"/>
                      <a:ext cx="5270500" cy="4072890"/>
                    </a:xfrm>
                    <a:prstGeom prst="rect">
                      <a:avLst/>
                    </a:prstGeom>
                  </pic:spPr>
                </pic:pic>
              </a:graphicData>
            </a:graphic>
          </wp:inline>
        </w:drawing>
      </w:r>
    </w:p>
    <w:p>
      <w:pPr>
        <w:pStyle w:val="12"/>
        <w:rPr>
          <w:rFonts w:hint="default" w:ascii="黑体" w:eastAsia="黑体"/>
          <w:color w:val="000000" w:themeColor="text1"/>
          <w:sz w:val="44"/>
          <w:szCs w:val="44"/>
          <w:lang w:val="en-US" w:eastAsia="zh-CN"/>
        </w:rPr>
      </w:pPr>
      <w:bookmarkStart w:id="8" w:name="_Toc3391745"/>
      <w:bookmarkStart w:id="9" w:name="_Toc3391974"/>
      <w:r>
        <w:rPr>
          <w:rFonts w:hint="eastAsia" w:ascii="黑体" w:eastAsia="黑体"/>
          <w:color w:val="000000" w:themeColor="text1"/>
          <w:sz w:val="44"/>
          <w:szCs w:val="44"/>
          <w:lang w:val="en-US" w:eastAsia="zh-CN"/>
        </w:rPr>
        <w:t>地块界址图</w:t>
      </w:r>
    </w:p>
    <w:p>
      <w:pPr>
        <w:pStyle w:val="12"/>
        <w:rPr>
          <w:rFonts w:hint="eastAsia" w:ascii="黑体" w:eastAsia="黑体"/>
          <w:color w:val="000000" w:themeColor="text1"/>
          <w:sz w:val="44"/>
          <w:szCs w:val="44"/>
        </w:rPr>
      </w:pPr>
    </w:p>
    <w:bookmarkEnd w:id="8"/>
    <w:bookmarkEnd w:id="9"/>
    <w:p>
      <w:pPr>
        <w:pStyle w:val="12"/>
        <w:jc w:val="both"/>
        <w:rPr>
          <w:rFonts w:ascii="黑体" w:eastAsia="黑体"/>
          <w:color w:val="000000" w:themeColor="text1"/>
          <w:sz w:val="44"/>
          <w:szCs w:val="44"/>
        </w:rPr>
      </w:pPr>
    </w:p>
    <w:p>
      <w:pPr>
        <w:pStyle w:val="12"/>
        <w:rPr>
          <w:rFonts w:hint="eastAsia" w:ascii="宋体" w:eastAsia="宋体" w:cs="宋体"/>
          <w:color w:val="000000" w:themeColor="text1"/>
          <w:sz w:val="28"/>
          <w:szCs w:val="28"/>
          <w:lang w:eastAsia="zh-CN"/>
        </w:rPr>
      </w:pPr>
      <w:r>
        <w:rPr>
          <w:rFonts w:hint="eastAsia" w:ascii="宋体" w:eastAsia="宋体" w:cs="宋体"/>
          <w:color w:val="000000" w:themeColor="text1"/>
          <w:sz w:val="28"/>
          <w:szCs w:val="28"/>
          <w:lang w:eastAsia="zh-CN"/>
        </w:rPr>
        <w:drawing>
          <wp:inline distT="0" distB="0" distL="114300" distR="114300">
            <wp:extent cx="5270500" cy="4072890"/>
            <wp:effectExtent l="0" t="0" r="6350" b="3810"/>
            <wp:docPr id="9" name="图片 9" descr="B02-01-02宗地界址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02-01-02宗地界址图_00"/>
                    <pic:cNvPicPr>
                      <a:picLocks noChangeAspect="1"/>
                    </pic:cNvPicPr>
                  </pic:nvPicPr>
                  <pic:blipFill>
                    <a:blip r:embed="rId28"/>
                    <a:stretch>
                      <a:fillRect/>
                    </a:stretch>
                  </pic:blipFill>
                  <pic:spPr>
                    <a:xfrm>
                      <a:off x="0" y="0"/>
                      <a:ext cx="5270500" cy="4072890"/>
                    </a:xfrm>
                    <a:prstGeom prst="rect">
                      <a:avLst/>
                    </a:prstGeom>
                  </pic:spPr>
                </pic:pic>
              </a:graphicData>
            </a:graphic>
          </wp:inline>
        </w:drawing>
      </w:r>
    </w:p>
    <w:p/>
    <w:p>
      <w:pPr>
        <w:pStyle w:val="12"/>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spacing w:before="0" w:after="0" w:line="500" w:lineRule="exact"/>
        <w:rPr>
          <w:rFonts w:ascii="黑体" w:hAnsi="宋体" w:eastAsia="黑体"/>
          <w:color w:val="000000" w:themeColor="text1"/>
          <w:sz w:val="44"/>
          <w:szCs w:val="44"/>
        </w:rPr>
      </w:pPr>
      <w:bookmarkStart w:id="10" w:name="_Toc3391975"/>
      <w:bookmarkStart w:id="11" w:name="_Toc3391746"/>
      <w:r>
        <w:rPr>
          <w:rFonts w:hint="eastAsia" w:ascii="黑体" w:eastAsia="黑体"/>
          <w:color w:val="000000" w:themeColor="text1"/>
          <w:sz w:val="44"/>
          <w:szCs w:val="44"/>
        </w:rPr>
        <w:t>竞买申请书</w:t>
      </w:r>
      <w:bookmarkEnd w:id="10"/>
      <w:bookmarkEnd w:id="11"/>
    </w:p>
    <w:p>
      <w:pPr>
        <w:pStyle w:val="34"/>
        <w:spacing w:line="420" w:lineRule="exact"/>
        <w:rPr>
          <w:rFonts w:ascii="宋体"/>
          <w:color w:val="000000" w:themeColor="text1"/>
          <w:sz w:val="24"/>
          <w:szCs w:val="24"/>
        </w:rPr>
      </w:pPr>
    </w:p>
    <w:p>
      <w:pPr>
        <w:pStyle w:val="34"/>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34"/>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34"/>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b/>
          <w:color w:val="000000" w:themeColor="text1"/>
          <w:sz w:val="24"/>
          <w:szCs w:val="24"/>
          <w:u w:val="single"/>
        </w:rPr>
        <w:t>X</w:t>
      </w:r>
      <w:r>
        <w:rPr>
          <w:rFonts w:ascii="宋体" w:hAnsi="宋体"/>
          <w:b/>
          <w:color w:val="000000" w:themeColor="text1"/>
          <w:sz w:val="24"/>
          <w:szCs w:val="24"/>
          <w:u w:val="single"/>
        </w:rPr>
        <w:t>XX</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仿宋_GB2312" w:hAnsi="仿宋" w:eastAsia="仿宋_GB2312"/>
          <w:color w:val="000000" w:themeColor="text1"/>
          <w:w w:val="90"/>
          <w:sz w:val="24"/>
          <w:szCs w:val="24"/>
        </w:rPr>
        <w:t>￥</w:t>
      </w:r>
      <w:r>
        <w:rPr>
          <w:rFonts w:hint="eastAsia" w:ascii="宋体" w:hAnsi="宋体"/>
          <w:color w:val="000000" w:themeColor="text1"/>
          <w:sz w:val="24"/>
          <w:szCs w:val="24"/>
        </w:rPr>
        <w:t>万元）。</w:t>
      </w:r>
    </w:p>
    <w:p>
      <w:pPr>
        <w:pStyle w:val="34"/>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34"/>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土地所在辖区</w:t>
      </w:r>
      <w:r>
        <w:rPr>
          <w:rFonts w:hint="eastAsia" w:ascii="宋体" w:hAnsi="宋体"/>
          <w:b/>
          <w:color w:val="000000" w:themeColor="text1"/>
          <w:sz w:val="24"/>
          <w:szCs w:val="24"/>
        </w:rPr>
        <w:t>注册成立一家公司对竞得土地进行开发建设，新公司出资构成为</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34"/>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34"/>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34"/>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34"/>
        <w:spacing w:line="420" w:lineRule="exact"/>
        <w:ind w:firstLine="470" w:firstLineChars="196"/>
        <w:rPr>
          <w:rFonts w:ascii="宋体"/>
          <w:color w:val="000000" w:themeColor="text1"/>
          <w:sz w:val="24"/>
          <w:szCs w:val="24"/>
        </w:rPr>
      </w:pP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34"/>
        <w:spacing w:line="420" w:lineRule="exact"/>
        <w:ind w:left="0" w:firstLine="510"/>
        <w:rPr>
          <w:rFonts w:ascii="宋体"/>
          <w:color w:val="000000" w:themeColor="text1"/>
          <w:sz w:val="24"/>
          <w:szCs w:val="24"/>
        </w:rPr>
      </w:pPr>
    </w:p>
    <w:p>
      <w:pPr>
        <w:pStyle w:val="34"/>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976"/>
      <w:bookmarkStart w:id="13" w:name="_Toc3391747"/>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977"/>
      <w:bookmarkStart w:id="15" w:name="_Toc3391748"/>
      <w:r>
        <w:rPr>
          <w:rFonts w:hint="eastAsia" w:ascii="黑体" w:eastAsia="黑体"/>
          <w:color w:val="000000" w:themeColor="text1"/>
          <w:sz w:val="44"/>
          <w:szCs w:val="44"/>
        </w:rPr>
        <w:t>法定代表人身份证明书</w:t>
      </w:r>
      <w:bookmarkEnd w:id="14"/>
      <w:bookmarkEnd w:id="15"/>
    </w:p>
    <w:p>
      <w:pPr>
        <w:pStyle w:val="34"/>
        <w:spacing w:line="627" w:lineRule="atLeast"/>
        <w:ind w:left="0"/>
        <w:jc w:val="left"/>
        <w:rPr>
          <w:rFonts w:ascii="黑体" w:eastAsia="黑体"/>
          <w:color w:val="000000" w:themeColor="text1"/>
          <w:sz w:val="36"/>
          <w:szCs w:val="36"/>
        </w:rPr>
      </w:pPr>
    </w:p>
    <w:p>
      <w:pPr>
        <w:pStyle w:val="34"/>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34"/>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34"/>
        <w:spacing w:line="627" w:lineRule="atLeast"/>
        <w:ind w:firstLine="900" w:firstLineChars="300"/>
        <w:jc w:val="left"/>
        <w:rPr>
          <w:rFonts w:ascii="仿宋_GB2312" w:hAnsi="仿宋_GB2312" w:eastAsia="仿宋_GB2312" w:cs="仿宋_GB2312"/>
          <w:color w:val="000000" w:themeColor="text1"/>
          <w:sz w:val="30"/>
          <w:szCs w:val="30"/>
        </w:rPr>
      </w:pPr>
    </w:p>
    <w:p>
      <w:pPr>
        <w:pStyle w:val="34"/>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left"/>
        <w:rPr>
          <w:rFonts w:ascii="宋体"/>
          <w:color w:val="000000" w:themeColor="text1"/>
          <w:sz w:val="28"/>
          <w:szCs w:val="28"/>
        </w:rPr>
      </w:pPr>
    </w:p>
    <w:p>
      <w:pPr>
        <w:pStyle w:val="34"/>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34"/>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34"/>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34"/>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34"/>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749"/>
      <w:bookmarkStart w:id="17" w:name="_Toc3391978"/>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宋体" w:hAnsi="宋体"/>
                <w:b/>
                <w:color w:val="000000" w:themeColor="text1"/>
                <w:sz w:val="24"/>
                <w:u w:val="single"/>
              </w:rPr>
              <w:t>X</w:t>
            </w:r>
            <w:r>
              <w:rPr>
                <w:rFonts w:ascii="宋体" w:hAnsi="宋体"/>
                <w:b/>
                <w:color w:val="000000" w:themeColor="text1"/>
                <w:sz w:val="24"/>
                <w:u w:val="single"/>
              </w:rPr>
              <w:t>XX</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34"/>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34"/>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34"/>
        <w:spacing w:line="600" w:lineRule="exact"/>
        <w:ind w:left="0"/>
        <w:rPr>
          <w:color w:val="000000" w:themeColor="text1"/>
        </w:rPr>
      </w:pPr>
    </w:p>
    <w:p>
      <w:pPr>
        <w:pStyle w:val="34"/>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60288;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28"/>
          <w:rFonts w:hAnsi="宋体" w:cs="宋体"/>
          <w:color w:val="000000" w:themeColor="text1"/>
        </w:rPr>
      </w:pPr>
    </w:p>
    <w:p>
      <w:pPr>
        <w:pStyle w:val="4"/>
        <w:rPr>
          <w:rStyle w:val="28"/>
          <w:rFonts w:hAnsi="宋体" w:cs="宋体"/>
          <w:color w:val="000000" w:themeColor="text1"/>
        </w:rPr>
      </w:pPr>
    </w:p>
    <w:p>
      <w:pPr>
        <w:pStyle w:val="2"/>
        <w:jc w:val="center"/>
        <w:rPr>
          <w:rFonts w:ascii="宋体" w:hAnsi="宋体" w:eastAsia="宋体"/>
          <w:color w:val="000000" w:themeColor="text1"/>
          <w:sz w:val="18"/>
          <w:szCs w:val="18"/>
        </w:rPr>
      </w:pPr>
      <w:bookmarkStart w:id="18" w:name="_Toc3391980"/>
      <w:bookmarkStart w:id="19" w:name="_Toc3391751"/>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61312;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61312;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5180" w:firstLineChars="1850"/>
        <w:rPr>
          <w:rFonts w:hAnsi="宋体"/>
          <w:color w:val="000000" w:themeColor="text1"/>
        </w:rPr>
      </w:pPr>
      <w:r>
        <w:rPr>
          <w:rFonts w:hint="eastAsia" w:hAnsi="宋体" w:cs="仿宋_GB2312"/>
          <w:color w:val="000000" w:themeColor="text1"/>
          <w:sz w:val="28"/>
          <w:szCs w:val="28"/>
        </w:rPr>
        <w:t>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《国有建设用地使用权划拨决定书》的相关要求，地块已达到交地条件，从即日起取得该宗地的国有建设用地使用权。</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局于</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年</w:t>
      </w:r>
      <w:r>
        <w:rPr>
          <w:rFonts w:hint="eastAsia" w:ascii="仿宋" w:hAnsi="仿宋" w:eastAsia="仿宋" w:cs="仿宋"/>
          <w:b/>
          <w:color w:val="000000" w:themeColor="text1"/>
          <w:sz w:val="32"/>
          <w:szCs w:val="32"/>
          <w:lang w:val="en-US" w:eastAsia="zh-CN"/>
        </w:rPr>
        <w:t xml:space="preserve"> </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月</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交地方：            （印章）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你局向我方核发的国有建设用地划拨决定书，划拨决定书电子监管号为），宗地四至为，面积为平方米，约定动工日期为年月日，土地权利证号。</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我方在上述宗地按号《建设工程规划许可证》要求建设了项目，已于年月日竣工，完成出让合同（划拨决定书）规定的规划建设内容。请予校验核实。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49"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1" o:spt="202" type="#_x0000_t202" style="position:absolute;left:0pt;margin-top:0pt;height:10.35pt;width:4.55pt;mso-position-horizontal:right;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0" o:spt="202" type="#_x0000_t202" style="position:absolute;left:0pt;margin-top:0pt;height:10.35pt;width:9.05pt;mso-position-horizontal:right;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30</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52" o:spt="202" type="#_x0000_t202" style="position:absolute;left:0pt;margin-top:0pt;height:10.35pt;width:9.05pt;mso-position-horizontal:right;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172A27"/>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F59"/>
    <w:rsid w:val="00182313"/>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05B2"/>
    <w:rsid w:val="00253807"/>
    <w:rsid w:val="0025569D"/>
    <w:rsid w:val="00256765"/>
    <w:rsid w:val="00260DEB"/>
    <w:rsid w:val="00265FCB"/>
    <w:rsid w:val="00270033"/>
    <w:rsid w:val="00271597"/>
    <w:rsid w:val="00273103"/>
    <w:rsid w:val="00280F72"/>
    <w:rsid w:val="00291512"/>
    <w:rsid w:val="00292C2B"/>
    <w:rsid w:val="002A09DD"/>
    <w:rsid w:val="002A1020"/>
    <w:rsid w:val="002A2A5A"/>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400"/>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446"/>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02A2"/>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2AF"/>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0D0"/>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A6D1D"/>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559F4"/>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30EC"/>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11F0E68"/>
    <w:rsid w:val="01784FC7"/>
    <w:rsid w:val="01BB709B"/>
    <w:rsid w:val="01EB1421"/>
    <w:rsid w:val="02683395"/>
    <w:rsid w:val="029972DE"/>
    <w:rsid w:val="02D46B9C"/>
    <w:rsid w:val="038D2C79"/>
    <w:rsid w:val="038F57CD"/>
    <w:rsid w:val="03AA19C7"/>
    <w:rsid w:val="03B74AF0"/>
    <w:rsid w:val="03DE645D"/>
    <w:rsid w:val="04430AA5"/>
    <w:rsid w:val="04B417B8"/>
    <w:rsid w:val="04BB683E"/>
    <w:rsid w:val="04C05D0D"/>
    <w:rsid w:val="055F5F8F"/>
    <w:rsid w:val="05950F30"/>
    <w:rsid w:val="05BE769F"/>
    <w:rsid w:val="05E1083F"/>
    <w:rsid w:val="05EB6930"/>
    <w:rsid w:val="06071262"/>
    <w:rsid w:val="06485DB7"/>
    <w:rsid w:val="06D24CA6"/>
    <w:rsid w:val="06FA7189"/>
    <w:rsid w:val="070078AF"/>
    <w:rsid w:val="07113D4D"/>
    <w:rsid w:val="076C1960"/>
    <w:rsid w:val="07C85206"/>
    <w:rsid w:val="07CE7F6A"/>
    <w:rsid w:val="07D360F9"/>
    <w:rsid w:val="08831E6D"/>
    <w:rsid w:val="08B20E87"/>
    <w:rsid w:val="08F8506B"/>
    <w:rsid w:val="09563133"/>
    <w:rsid w:val="096A0F8A"/>
    <w:rsid w:val="09716552"/>
    <w:rsid w:val="09930DCF"/>
    <w:rsid w:val="0A0A4443"/>
    <w:rsid w:val="0A3E6052"/>
    <w:rsid w:val="0A555DC8"/>
    <w:rsid w:val="0A617182"/>
    <w:rsid w:val="0B1166D4"/>
    <w:rsid w:val="0B1A4AB9"/>
    <w:rsid w:val="0B230F97"/>
    <w:rsid w:val="0C497608"/>
    <w:rsid w:val="0CD833D2"/>
    <w:rsid w:val="0D0A64B3"/>
    <w:rsid w:val="0D976C72"/>
    <w:rsid w:val="0DE1762A"/>
    <w:rsid w:val="0E2D6DD1"/>
    <w:rsid w:val="0E5731F5"/>
    <w:rsid w:val="0EC02526"/>
    <w:rsid w:val="0F035EBA"/>
    <w:rsid w:val="0F497786"/>
    <w:rsid w:val="0F8E6491"/>
    <w:rsid w:val="0FE9345C"/>
    <w:rsid w:val="10C679D7"/>
    <w:rsid w:val="10EA6A3A"/>
    <w:rsid w:val="11623ABF"/>
    <w:rsid w:val="11797BE6"/>
    <w:rsid w:val="11ED5568"/>
    <w:rsid w:val="11EE1DEE"/>
    <w:rsid w:val="120B5A63"/>
    <w:rsid w:val="12223B9B"/>
    <w:rsid w:val="123B4129"/>
    <w:rsid w:val="128C0E51"/>
    <w:rsid w:val="12B12487"/>
    <w:rsid w:val="13245BF3"/>
    <w:rsid w:val="132F26C0"/>
    <w:rsid w:val="13557F4C"/>
    <w:rsid w:val="13ED13EF"/>
    <w:rsid w:val="141906AE"/>
    <w:rsid w:val="143C3435"/>
    <w:rsid w:val="14431282"/>
    <w:rsid w:val="146D5FF7"/>
    <w:rsid w:val="147156EC"/>
    <w:rsid w:val="147F467C"/>
    <w:rsid w:val="14E16390"/>
    <w:rsid w:val="155F7C00"/>
    <w:rsid w:val="15994615"/>
    <w:rsid w:val="15CA3584"/>
    <w:rsid w:val="15EF1AC2"/>
    <w:rsid w:val="165501C7"/>
    <w:rsid w:val="1669724D"/>
    <w:rsid w:val="16801789"/>
    <w:rsid w:val="175B5274"/>
    <w:rsid w:val="18B3078D"/>
    <w:rsid w:val="192906CA"/>
    <w:rsid w:val="193057B7"/>
    <w:rsid w:val="193E138F"/>
    <w:rsid w:val="1A3F7227"/>
    <w:rsid w:val="1A7F79C9"/>
    <w:rsid w:val="1B3A1F86"/>
    <w:rsid w:val="1B440FF3"/>
    <w:rsid w:val="1B862486"/>
    <w:rsid w:val="1DC854F7"/>
    <w:rsid w:val="1DCF1CAD"/>
    <w:rsid w:val="1EAB2DDE"/>
    <w:rsid w:val="1EAE1A51"/>
    <w:rsid w:val="1F180CEC"/>
    <w:rsid w:val="1F8E55F4"/>
    <w:rsid w:val="1FE753FF"/>
    <w:rsid w:val="1FF6360A"/>
    <w:rsid w:val="202662CF"/>
    <w:rsid w:val="20652C6C"/>
    <w:rsid w:val="2088510B"/>
    <w:rsid w:val="20C02E3B"/>
    <w:rsid w:val="20D503EA"/>
    <w:rsid w:val="20E5353A"/>
    <w:rsid w:val="21300BE1"/>
    <w:rsid w:val="215C6E1C"/>
    <w:rsid w:val="21916B72"/>
    <w:rsid w:val="21AD621F"/>
    <w:rsid w:val="22B4258F"/>
    <w:rsid w:val="22FB3716"/>
    <w:rsid w:val="23767810"/>
    <w:rsid w:val="23AD634E"/>
    <w:rsid w:val="23E54776"/>
    <w:rsid w:val="23F01B5E"/>
    <w:rsid w:val="244B0FB9"/>
    <w:rsid w:val="249F1FCC"/>
    <w:rsid w:val="250840B1"/>
    <w:rsid w:val="2512360C"/>
    <w:rsid w:val="2681566A"/>
    <w:rsid w:val="26993A1D"/>
    <w:rsid w:val="269F7E2E"/>
    <w:rsid w:val="26AF0309"/>
    <w:rsid w:val="27CE0267"/>
    <w:rsid w:val="283B1077"/>
    <w:rsid w:val="283D005B"/>
    <w:rsid w:val="2891373D"/>
    <w:rsid w:val="289F46CC"/>
    <w:rsid w:val="28AF3A48"/>
    <w:rsid w:val="28CE1946"/>
    <w:rsid w:val="2959300C"/>
    <w:rsid w:val="29C36319"/>
    <w:rsid w:val="2A524AC0"/>
    <w:rsid w:val="2AA37C56"/>
    <w:rsid w:val="2AFB5D0D"/>
    <w:rsid w:val="2C2C4570"/>
    <w:rsid w:val="2D2B72D6"/>
    <w:rsid w:val="2D730CF1"/>
    <w:rsid w:val="2DAB3E8A"/>
    <w:rsid w:val="2DEE5E96"/>
    <w:rsid w:val="2DFB7CF8"/>
    <w:rsid w:val="2E1100C3"/>
    <w:rsid w:val="2E1170AF"/>
    <w:rsid w:val="2E5659FD"/>
    <w:rsid w:val="2E69637E"/>
    <w:rsid w:val="2EA769E0"/>
    <w:rsid w:val="2EF52380"/>
    <w:rsid w:val="2F246B5F"/>
    <w:rsid w:val="2F3436B1"/>
    <w:rsid w:val="2F52394D"/>
    <w:rsid w:val="2F79558F"/>
    <w:rsid w:val="2FE843C0"/>
    <w:rsid w:val="306F1C58"/>
    <w:rsid w:val="308C2EED"/>
    <w:rsid w:val="31070868"/>
    <w:rsid w:val="31D60342"/>
    <w:rsid w:val="31ED1E3A"/>
    <w:rsid w:val="32125574"/>
    <w:rsid w:val="327B74C9"/>
    <w:rsid w:val="33147AFF"/>
    <w:rsid w:val="33853158"/>
    <w:rsid w:val="338A7999"/>
    <w:rsid w:val="33A45660"/>
    <w:rsid w:val="33DC02C1"/>
    <w:rsid w:val="343C0AB6"/>
    <w:rsid w:val="345D1483"/>
    <w:rsid w:val="346C488F"/>
    <w:rsid w:val="34D461E6"/>
    <w:rsid w:val="357D237E"/>
    <w:rsid w:val="35A640C7"/>
    <w:rsid w:val="35CA5CF9"/>
    <w:rsid w:val="35D85810"/>
    <w:rsid w:val="365111B7"/>
    <w:rsid w:val="368532F2"/>
    <w:rsid w:val="3686532B"/>
    <w:rsid w:val="37232884"/>
    <w:rsid w:val="373B7682"/>
    <w:rsid w:val="37A26727"/>
    <w:rsid w:val="37A84496"/>
    <w:rsid w:val="37DA4387"/>
    <w:rsid w:val="39525AEE"/>
    <w:rsid w:val="3965620F"/>
    <w:rsid w:val="39C15E10"/>
    <w:rsid w:val="39D1117B"/>
    <w:rsid w:val="3A524E5A"/>
    <w:rsid w:val="3A541D52"/>
    <w:rsid w:val="3A9459CA"/>
    <w:rsid w:val="3B373BF0"/>
    <w:rsid w:val="3B3E5006"/>
    <w:rsid w:val="3B4B2595"/>
    <w:rsid w:val="3B586279"/>
    <w:rsid w:val="3B970C5E"/>
    <w:rsid w:val="3BF5424D"/>
    <w:rsid w:val="3C5F15F7"/>
    <w:rsid w:val="3CAC0CBC"/>
    <w:rsid w:val="3CE50140"/>
    <w:rsid w:val="3CED456F"/>
    <w:rsid w:val="3D1179C2"/>
    <w:rsid w:val="3D170603"/>
    <w:rsid w:val="3DBC6E76"/>
    <w:rsid w:val="3DCE3DD0"/>
    <w:rsid w:val="3DF86F11"/>
    <w:rsid w:val="3E38585C"/>
    <w:rsid w:val="3E4C593B"/>
    <w:rsid w:val="3E637C3C"/>
    <w:rsid w:val="3E700063"/>
    <w:rsid w:val="3EB30628"/>
    <w:rsid w:val="40C32B14"/>
    <w:rsid w:val="41452A05"/>
    <w:rsid w:val="414B7BD9"/>
    <w:rsid w:val="419D57EA"/>
    <w:rsid w:val="41D05D71"/>
    <w:rsid w:val="421B1352"/>
    <w:rsid w:val="425126BB"/>
    <w:rsid w:val="42952482"/>
    <w:rsid w:val="42A61938"/>
    <w:rsid w:val="42CB665B"/>
    <w:rsid w:val="42F24DC1"/>
    <w:rsid w:val="430408C9"/>
    <w:rsid w:val="43503BE8"/>
    <w:rsid w:val="43C05F0E"/>
    <w:rsid w:val="44036F51"/>
    <w:rsid w:val="44336E6F"/>
    <w:rsid w:val="449B3B70"/>
    <w:rsid w:val="449C1698"/>
    <w:rsid w:val="449D5248"/>
    <w:rsid w:val="44C95FCA"/>
    <w:rsid w:val="45085723"/>
    <w:rsid w:val="451347B2"/>
    <w:rsid w:val="452C62DB"/>
    <w:rsid w:val="45826DE9"/>
    <w:rsid w:val="45FB587F"/>
    <w:rsid w:val="462F681E"/>
    <w:rsid w:val="46742E8D"/>
    <w:rsid w:val="469269CB"/>
    <w:rsid w:val="46C52F8D"/>
    <w:rsid w:val="46C66632"/>
    <w:rsid w:val="4721229A"/>
    <w:rsid w:val="47EF2633"/>
    <w:rsid w:val="47F41143"/>
    <w:rsid w:val="48000CA4"/>
    <w:rsid w:val="481171B5"/>
    <w:rsid w:val="482863DE"/>
    <w:rsid w:val="482A565B"/>
    <w:rsid w:val="48C65B68"/>
    <w:rsid w:val="495D6AE9"/>
    <w:rsid w:val="49862F88"/>
    <w:rsid w:val="49E179D3"/>
    <w:rsid w:val="4A012ACA"/>
    <w:rsid w:val="4A13640C"/>
    <w:rsid w:val="4A3D01D8"/>
    <w:rsid w:val="4A8F60B9"/>
    <w:rsid w:val="4A985E05"/>
    <w:rsid w:val="4B8C4B94"/>
    <w:rsid w:val="4B942F9B"/>
    <w:rsid w:val="4BFC1744"/>
    <w:rsid w:val="4BFC3E79"/>
    <w:rsid w:val="4C05223E"/>
    <w:rsid w:val="4C9A47D7"/>
    <w:rsid w:val="4CBB71D4"/>
    <w:rsid w:val="4CC20504"/>
    <w:rsid w:val="4D1C3846"/>
    <w:rsid w:val="4D335D46"/>
    <w:rsid w:val="4D593971"/>
    <w:rsid w:val="4D692582"/>
    <w:rsid w:val="4D812CAB"/>
    <w:rsid w:val="4E024C61"/>
    <w:rsid w:val="4E066114"/>
    <w:rsid w:val="4E477264"/>
    <w:rsid w:val="4F707885"/>
    <w:rsid w:val="4F8211BF"/>
    <w:rsid w:val="4F82784F"/>
    <w:rsid w:val="503B5814"/>
    <w:rsid w:val="507D52C1"/>
    <w:rsid w:val="50E7373C"/>
    <w:rsid w:val="51025ACF"/>
    <w:rsid w:val="514715C4"/>
    <w:rsid w:val="51515BD9"/>
    <w:rsid w:val="51C06615"/>
    <w:rsid w:val="52E12CD1"/>
    <w:rsid w:val="536415F1"/>
    <w:rsid w:val="53746902"/>
    <w:rsid w:val="53FF492A"/>
    <w:rsid w:val="544A2F78"/>
    <w:rsid w:val="54944520"/>
    <w:rsid w:val="55085C3D"/>
    <w:rsid w:val="55253541"/>
    <w:rsid w:val="55381293"/>
    <w:rsid w:val="558F06D4"/>
    <w:rsid w:val="55AA7626"/>
    <w:rsid w:val="55AB6EFA"/>
    <w:rsid w:val="55BA7C2C"/>
    <w:rsid w:val="55E81647"/>
    <w:rsid w:val="55EF7F91"/>
    <w:rsid w:val="56364920"/>
    <w:rsid w:val="56514F53"/>
    <w:rsid w:val="56D174FF"/>
    <w:rsid w:val="57164958"/>
    <w:rsid w:val="57887E4D"/>
    <w:rsid w:val="584F1732"/>
    <w:rsid w:val="5872162D"/>
    <w:rsid w:val="58A51A29"/>
    <w:rsid w:val="59893690"/>
    <w:rsid w:val="59F4713C"/>
    <w:rsid w:val="5AAF4790"/>
    <w:rsid w:val="5B611913"/>
    <w:rsid w:val="5BDE3891"/>
    <w:rsid w:val="5C474A70"/>
    <w:rsid w:val="5C5515E3"/>
    <w:rsid w:val="5C9F2DEE"/>
    <w:rsid w:val="5CF9463A"/>
    <w:rsid w:val="5DF6228D"/>
    <w:rsid w:val="5EE2786B"/>
    <w:rsid w:val="5F0917BE"/>
    <w:rsid w:val="5F4F09DE"/>
    <w:rsid w:val="5F5C11C0"/>
    <w:rsid w:val="5FAB6D36"/>
    <w:rsid w:val="5FBF30CA"/>
    <w:rsid w:val="5FCD01EE"/>
    <w:rsid w:val="601B7A0C"/>
    <w:rsid w:val="603132DE"/>
    <w:rsid w:val="60D878CF"/>
    <w:rsid w:val="60F0371D"/>
    <w:rsid w:val="610C457C"/>
    <w:rsid w:val="616C1701"/>
    <w:rsid w:val="6181715C"/>
    <w:rsid w:val="61D76440"/>
    <w:rsid w:val="61E71618"/>
    <w:rsid w:val="62476C10"/>
    <w:rsid w:val="626A37A7"/>
    <w:rsid w:val="62734F95"/>
    <w:rsid w:val="62F8125D"/>
    <w:rsid w:val="63492A18"/>
    <w:rsid w:val="640E1A5D"/>
    <w:rsid w:val="64A518E4"/>
    <w:rsid w:val="65822E44"/>
    <w:rsid w:val="65BA7EE1"/>
    <w:rsid w:val="662F2463"/>
    <w:rsid w:val="66380011"/>
    <w:rsid w:val="66AF4807"/>
    <w:rsid w:val="67392E82"/>
    <w:rsid w:val="67B25079"/>
    <w:rsid w:val="67D75C3C"/>
    <w:rsid w:val="67ED50B4"/>
    <w:rsid w:val="68181653"/>
    <w:rsid w:val="682B5864"/>
    <w:rsid w:val="687E1002"/>
    <w:rsid w:val="68BF004C"/>
    <w:rsid w:val="691E4662"/>
    <w:rsid w:val="692D7E27"/>
    <w:rsid w:val="693550E1"/>
    <w:rsid w:val="69784A22"/>
    <w:rsid w:val="697945C1"/>
    <w:rsid w:val="69977CE2"/>
    <w:rsid w:val="6A7D0C97"/>
    <w:rsid w:val="6ADE1D94"/>
    <w:rsid w:val="6BCF0CA1"/>
    <w:rsid w:val="6BFF4848"/>
    <w:rsid w:val="6C2072E6"/>
    <w:rsid w:val="6CD52D3E"/>
    <w:rsid w:val="6D105FA2"/>
    <w:rsid w:val="6D57262D"/>
    <w:rsid w:val="6DA03CFA"/>
    <w:rsid w:val="6E7532FC"/>
    <w:rsid w:val="6F2C2D85"/>
    <w:rsid w:val="6FC11C94"/>
    <w:rsid w:val="70197FD7"/>
    <w:rsid w:val="707C2D0B"/>
    <w:rsid w:val="70953AC8"/>
    <w:rsid w:val="7095463B"/>
    <w:rsid w:val="70E058EA"/>
    <w:rsid w:val="71025D71"/>
    <w:rsid w:val="71091F9D"/>
    <w:rsid w:val="71484E93"/>
    <w:rsid w:val="71954671"/>
    <w:rsid w:val="71E70E5B"/>
    <w:rsid w:val="725A352D"/>
    <w:rsid w:val="72997548"/>
    <w:rsid w:val="73352EAF"/>
    <w:rsid w:val="74507187"/>
    <w:rsid w:val="745C561E"/>
    <w:rsid w:val="745D03BD"/>
    <w:rsid w:val="74BC6B59"/>
    <w:rsid w:val="74E02A00"/>
    <w:rsid w:val="75473782"/>
    <w:rsid w:val="75493809"/>
    <w:rsid w:val="757A7E5C"/>
    <w:rsid w:val="76233089"/>
    <w:rsid w:val="76307F56"/>
    <w:rsid w:val="764D51C5"/>
    <w:rsid w:val="772C4780"/>
    <w:rsid w:val="77476B2A"/>
    <w:rsid w:val="776124F3"/>
    <w:rsid w:val="77B66184"/>
    <w:rsid w:val="77F55219"/>
    <w:rsid w:val="78584700"/>
    <w:rsid w:val="78B54D8B"/>
    <w:rsid w:val="79023D50"/>
    <w:rsid w:val="7A6C5B69"/>
    <w:rsid w:val="7A901916"/>
    <w:rsid w:val="7B0074E6"/>
    <w:rsid w:val="7B256E54"/>
    <w:rsid w:val="7B3D5FC0"/>
    <w:rsid w:val="7B5363E1"/>
    <w:rsid w:val="7BE65DC2"/>
    <w:rsid w:val="7C0F455C"/>
    <w:rsid w:val="7C350F03"/>
    <w:rsid w:val="7C5C03EB"/>
    <w:rsid w:val="7CA601FE"/>
    <w:rsid w:val="7E5C1CCC"/>
    <w:rsid w:val="7E891110"/>
    <w:rsid w:val="7FA75D4C"/>
    <w:rsid w:val="7FD75EEF"/>
    <w:rsid w:val="7FEE1AEC"/>
    <w:rsid w:val="7FF245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35"/>
    <w:qFormat/>
    <w:uiPriority w:val="99"/>
    <w:rPr>
      <w:rFonts w:ascii="宋体" w:hAnsi="Courier New"/>
      <w:sz w:val="32"/>
      <w:szCs w:val="20"/>
    </w:rPr>
  </w:style>
  <w:style w:type="paragraph" w:styleId="5">
    <w:name w:val="Balloon Text"/>
    <w:basedOn w:val="1"/>
    <w:link w:val="29"/>
    <w:qFormat/>
    <w:uiPriority w:val="99"/>
    <w:rPr>
      <w:sz w:val="18"/>
      <w:szCs w:val="18"/>
    </w:rPr>
  </w:style>
  <w:style w:type="paragraph" w:styleId="6">
    <w:name w:val="footer"/>
    <w:basedOn w:val="1"/>
    <w:link w:val="30"/>
    <w:qFormat/>
    <w:uiPriority w:val="99"/>
    <w:pPr>
      <w:tabs>
        <w:tab w:val="center" w:pos="4153"/>
        <w:tab w:val="right" w:pos="8306"/>
      </w:tabs>
      <w:snapToGrid w:val="0"/>
      <w:jc w:val="left"/>
    </w:pPr>
    <w:rPr>
      <w:sz w:val="18"/>
      <w:szCs w:val="18"/>
    </w:rPr>
  </w:style>
  <w:style w:type="paragraph" w:styleId="7">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32"/>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33"/>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Emphasis"/>
    <w:basedOn w:val="14"/>
    <w:qFormat/>
    <w:uiPriority w:val="0"/>
    <w:rPr>
      <w:i/>
    </w:rPr>
  </w:style>
  <w:style w:type="character" w:styleId="18">
    <w:name w:val="HTML Definition"/>
    <w:basedOn w:val="14"/>
    <w:semiHidden/>
    <w:unhideWhenUsed/>
    <w:qFormat/>
    <w:locked/>
    <w:uiPriority w:val="99"/>
  </w:style>
  <w:style w:type="character" w:styleId="19">
    <w:name w:val="HTML Typewriter"/>
    <w:basedOn w:val="14"/>
    <w:semiHidden/>
    <w:unhideWhenUsed/>
    <w:qFormat/>
    <w:locked/>
    <w:uiPriority w:val="99"/>
    <w:rPr>
      <w:rFonts w:hint="default" w:ascii="monospace" w:hAnsi="monospace" w:eastAsia="monospace" w:cs="monospace"/>
      <w:sz w:val="20"/>
    </w:rPr>
  </w:style>
  <w:style w:type="character" w:styleId="20">
    <w:name w:val="HTML Acronym"/>
    <w:basedOn w:val="14"/>
    <w:semiHidden/>
    <w:unhideWhenUsed/>
    <w:qFormat/>
    <w:locked/>
    <w:uiPriority w:val="99"/>
  </w:style>
  <w:style w:type="character" w:styleId="21">
    <w:name w:val="HTML Variable"/>
    <w:basedOn w:val="14"/>
    <w:semiHidden/>
    <w:unhideWhenUsed/>
    <w:qFormat/>
    <w:locked/>
    <w:uiPriority w:val="99"/>
  </w:style>
  <w:style w:type="character" w:styleId="22">
    <w:name w:val="Hyperlink"/>
    <w:qFormat/>
    <w:uiPriority w:val="99"/>
    <w:rPr>
      <w:rFonts w:cs="Times New Roman"/>
      <w:color w:val="0000FF"/>
      <w:u w:val="single"/>
    </w:rPr>
  </w:style>
  <w:style w:type="character" w:styleId="23">
    <w:name w:val="HTML Code"/>
    <w:basedOn w:val="14"/>
    <w:semiHidden/>
    <w:unhideWhenUsed/>
    <w:qFormat/>
    <w:locked/>
    <w:uiPriority w:val="99"/>
    <w:rPr>
      <w:rFonts w:ascii="monospace" w:hAnsi="monospace" w:eastAsia="monospace" w:cs="monospace"/>
      <w:sz w:val="20"/>
    </w:rPr>
  </w:style>
  <w:style w:type="character" w:styleId="24">
    <w:name w:val="HTML Cite"/>
    <w:basedOn w:val="14"/>
    <w:semiHidden/>
    <w:unhideWhenUsed/>
    <w:qFormat/>
    <w:locked/>
    <w:uiPriority w:val="99"/>
  </w:style>
  <w:style w:type="character" w:styleId="25">
    <w:name w:val="HTML Keyboard"/>
    <w:basedOn w:val="14"/>
    <w:semiHidden/>
    <w:unhideWhenUsed/>
    <w:qFormat/>
    <w:locked/>
    <w:uiPriority w:val="99"/>
    <w:rPr>
      <w:rFonts w:hint="default" w:ascii="monospace" w:hAnsi="monospace" w:eastAsia="monospace" w:cs="monospace"/>
      <w:sz w:val="20"/>
    </w:rPr>
  </w:style>
  <w:style w:type="character" w:styleId="26">
    <w:name w:val="HTML Sample"/>
    <w:basedOn w:val="14"/>
    <w:semiHidden/>
    <w:unhideWhenUsed/>
    <w:qFormat/>
    <w:locked/>
    <w:uiPriority w:val="99"/>
    <w:rPr>
      <w:rFonts w:hint="default" w:ascii="monospace" w:hAnsi="monospace" w:eastAsia="monospace" w:cs="monospace"/>
    </w:rPr>
  </w:style>
  <w:style w:type="character" w:customStyle="1" w:styleId="27">
    <w:name w:val="标题 1 Char"/>
    <w:link w:val="2"/>
    <w:qFormat/>
    <w:locked/>
    <w:uiPriority w:val="99"/>
    <w:rPr>
      <w:rFonts w:eastAsia="华文中宋" w:cs="Times New Roman"/>
      <w:b/>
      <w:bCs/>
      <w:kern w:val="44"/>
      <w:sz w:val="44"/>
      <w:szCs w:val="44"/>
    </w:rPr>
  </w:style>
  <w:style w:type="character" w:customStyle="1" w:styleId="28">
    <w:name w:val="Plain Text Char"/>
    <w:qFormat/>
    <w:locked/>
    <w:uiPriority w:val="99"/>
    <w:rPr>
      <w:rFonts w:ascii="宋体" w:hAnsi="Courier New" w:cs="Times New Roman"/>
      <w:kern w:val="2"/>
      <w:sz w:val="32"/>
    </w:rPr>
  </w:style>
  <w:style w:type="character" w:customStyle="1" w:styleId="29">
    <w:name w:val="批注框文本 Char"/>
    <w:link w:val="5"/>
    <w:qFormat/>
    <w:locked/>
    <w:uiPriority w:val="99"/>
    <w:rPr>
      <w:rFonts w:cs="Times New Roman"/>
      <w:kern w:val="2"/>
      <w:sz w:val="18"/>
      <w:szCs w:val="18"/>
    </w:rPr>
  </w:style>
  <w:style w:type="character" w:customStyle="1" w:styleId="30">
    <w:name w:val="页脚 Char"/>
    <w:link w:val="6"/>
    <w:qFormat/>
    <w:locked/>
    <w:uiPriority w:val="99"/>
    <w:rPr>
      <w:rFonts w:eastAsia="宋体" w:cs="Times New Roman"/>
      <w:kern w:val="2"/>
      <w:sz w:val="18"/>
      <w:lang w:val="en-US" w:eastAsia="zh-CN"/>
    </w:rPr>
  </w:style>
  <w:style w:type="character" w:customStyle="1" w:styleId="31">
    <w:name w:val="页眉 Char"/>
    <w:link w:val="7"/>
    <w:qFormat/>
    <w:locked/>
    <w:uiPriority w:val="99"/>
    <w:rPr>
      <w:rFonts w:eastAsia="宋体" w:cs="Times New Roman"/>
      <w:kern w:val="2"/>
      <w:sz w:val="18"/>
      <w:lang w:val="en-US" w:eastAsia="zh-CN"/>
    </w:rPr>
  </w:style>
  <w:style w:type="character" w:customStyle="1" w:styleId="32">
    <w:name w:val="副标题 Char"/>
    <w:link w:val="9"/>
    <w:qFormat/>
    <w:locked/>
    <w:uiPriority w:val="99"/>
    <w:rPr>
      <w:rFonts w:ascii="Calibri" w:hAnsi="Calibri" w:eastAsia="宋体" w:cs="Times New Roman"/>
      <w:b/>
      <w:bCs/>
      <w:kern w:val="28"/>
      <w:sz w:val="32"/>
      <w:szCs w:val="32"/>
    </w:rPr>
  </w:style>
  <w:style w:type="character" w:customStyle="1" w:styleId="33">
    <w:name w:val="标题 Char"/>
    <w:link w:val="12"/>
    <w:qFormat/>
    <w:locked/>
    <w:uiPriority w:val="99"/>
    <w:rPr>
      <w:rFonts w:ascii="Cambria" w:hAnsi="Cambria" w:eastAsia="华文中宋" w:cs="Times New Roman"/>
      <w:b/>
      <w:bCs/>
      <w:kern w:val="2"/>
      <w:sz w:val="32"/>
      <w:szCs w:val="32"/>
    </w:rPr>
  </w:style>
  <w:style w:type="paragraph" w:customStyle="1" w:styleId="34">
    <w:name w:val="p0"/>
    <w:basedOn w:val="1"/>
    <w:qFormat/>
    <w:uiPriority w:val="99"/>
    <w:pPr>
      <w:widowControl/>
      <w:spacing w:line="365" w:lineRule="atLeast"/>
      <w:ind w:left="1"/>
    </w:pPr>
    <w:rPr>
      <w:kern w:val="0"/>
      <w:sz w:val="20"/>
      <w:szCs w:val="20"/>
    </w:rPr>
  </w:style>
  <w:style w:type="character" w:customStyle="1" w:styleId="35">
    <w:name w:val="纯文本 Char"/>
    <w:link w:val="4"/>
    <w:semiHidden/>
    <w:qFormat/>
    <w:locked/>
    <w:uiPriority w:val="99"/>
    <w:rPr>
      <w:rFonts w:ascii="宋体" w:hAnsi="Courier New" w:cs="Courier New"/>
      <w:sz w:val="21"/>
      <w:szCs w:val="21"/>
    </w:rPr>
  </w:style>
  <w:style w:type="character" w:customStyle="1" w:styleId="36">
    <w:name w:val="纯文本 Char1"/>
    <w:qFormat/>
    <w:uiPriority w:val="99"/>
    <w:rPr>
      <w:rFonts w:ascii="宋体" w:hAnsi="Courier New" w:cs="Courier New"/>
      <w:kern w:val="2"/>
      <w:sz w:val="21"/>
      <w:szCs w:val="21"/>
    </w:rPr>
  </w:style>
  <w:style w:type="paragraph" w:customStyle="1" w:styleId="37">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8">
    <w:name w:val="List Paragraph"/>
    <w:basedOn w:val="1"/>
    <w:qFormat/>
    <w:uiPriority w:val="99"/>
    <w:pPr>
      <w:ind w:firstLine="420" w:firstLineChars="200"/>
    </w:pPr>
  </w:style>
  <w:style w:type="paragraph" w:customStyle="1" w:styleId="39">
    <w:name w:val="Body text|1"/>
    <w:basedOn w:val="1"/>
    <w:qFormat/>
    <w:uiPriority w:val="0"/>
    <w:pPr>
      <w:spacing w:line="410" w:lineRule="auto"/>
      <w:ind w:firstLine="400"/>
    </w:pPr>
    <w:rPr>
      <w:rFonts w:ascii="宋体" w:hAnsi="宋体" w:cs="宋体"/>
      <w:sz w:val="18"/>
      <w:szCs w:val="1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1"/>
    <customShpInfo spid="_x0000_s2050"/>
    <customShpInfo spid="_x0000_s2052"/>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B0889-7ADC-4CC2-A485-417616337658}">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47</Pages>
  <Words>2817</Words>
  <Characters>16061</Characters>
  <Lines>133</Lines>
  <Paragraphs>37</Paragraphs>
  <TotalTime>0</TotalTime>
  <ScaleCrop>false</ScaleCrop>
  <LinksUpToDate>false</LinksUpToDate>
  <CharactersWithSpaces>18841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零。</cp:lastModifiedBy>
  <cp:lastPrinted>2021-11-29T08:41:00Z</cp:lastPrinted>
  <dcterms:modified xsi:type="dcterms:W3CDTF">2021-11-29T11:20:04Z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7744F646B3004B34980C41EAEB958832</vt:lpwstr>
  </property>
</Properties>
</file>