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strike w:val="0"/>
          <w:dstrike w:val="0"/>
          <w:color w:val="auto"/>
          <w:u w:val="single"/>
        </w:rPr>
      </w:pPr>
      <w:r>
        <w:rPr>
          <w:rFonts w:eastAsia="黑体"/>
          <w:strike w:val="0"/>
          <w:dstrike w:val="0"/>
          <w:color w:val="auto"/>
          <w:sz w:val="28"/>
          <w:u w:val="none"/>
        </w:rPr>
        <w:t>DST(P)〔2022〕</w:t>
      </w:r>
      <w:r>
        <w:rPr>
          <w:rFonts w:hint="eastAsia" w:eastAsia="黑体"/>
          <w:strike w:val="0"/>
          <w:dstrike w:val="0"/>
          <w:color w:val="auto"/>
          <w:sz w:val="28"/>
          <w:u w:val="none"/>
          <w:lang w:val="en-US" w:eastAsia="zh-CN"/>
        </w:rPr>
        <w:t>20</w:t>
      </w:r>
      <w:r>
        <w:rPr>
          <w:rFonts w:eastAsia="黑体"/>
          <w:strike w:val="0"/>
          <w:dstrike w:val="0"/>
          <w:color w:val="auto"/>
          <w:sz w:val="28"/>
          <w:u w:val="none"/>
        </w:rPr>
        <w:t>号</w:t>
      </w:r>
    </w:p>
    <w:p>
      <w:pPr>
        <w:rPr>
          <w:color w:val="000000" w:themeColor="text1"/>
          <w:sz w:val="44"/>
        </w:rPr>
      </w:pP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达州市北外徐家坝片区C02-02地块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5408;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3</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34"/>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bookmarkStart w:id="0" w:name="_Toc3391741"/>
      <w:bookmarkStart w:id="1" w:name="_Toc3391970"/>
      <w:bookmarkStart w:id="2" w:name="OLE_LINK1"/>
      <w:bookmarkStart w:id="3" w:name="_Toc3391971"/>
      <w:bookmarkStart w:id="4" w:name="_Toc3391742"/>
      <w:r>
        <w:rPr>
          <w:rFonts w:eastAsia="方正小标宋简体"/>
          <w:color w:val="000000" w:themeColor="text1"/>
          <w:sz w:val="44"/>
          <w:szCs w:val="44"/>
        </w:rPr>
        <w:t>达州市自然资源和规划局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strike w:val="0"/>
          <w:dstrike w:val="0"/>
          <w:color w:val="auto"/>
          <w:sz w:val="28"/>
          <w:szCs w:val="28"/>
        </w:rPr>
      </w:pPr>
      <w:r>
        <w:rPr>
          <w:strike w:val="0"/>
          <w:dstrike w:val="0"/>
          <w:color w:val="auto"/>
          <w:sz w:val="28"/>
          <w:szCs w:val="28"/>
        </w:rPr>
        <w:t xml:space="preserve">DST（P）[2022] </w:t>
      </w:r>
      <w:r>
        <w:rPr>
          <w:rFonts w:hint="eastAsia"/>
          <w:strike w:val="0"/>
          <w:dstrike w:val="0"/>
          <w:color w:val="auto"/>
          <w:sz w:val="28"/>
          <w:szCs w:val="28"/>
          <w:lang w:val="en-US" w:eastAsia="zh-CN"/>
        </w:rPr>
        <w:t>20</w:t>
      </w:r>
      <w:r>
        <w:rPr>
          <w:strike w:val="0"/>
          <w:dstrike w:val="0"/>
          <w:color w:val="auto"/>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w:t>
      </w:r>
      <w:r>
        <w:rPr>
          <w:rFonts w:eastAsia="仿宋"/>
          <w:color w:val="000000" w:themeColor="text1"/>
          <w:kern w:val="0"/>
          <w:sz w:val="32"/>
          <w:szCs w:val="32"/>
        </w:rPr>
        <w:t>让</w:t>
      </w:r>
      <w:r>
        <w:rPr>
          <w:rFonts w:eastAsia="仿宋"/>
          <w:color w:val="000000" w:themeColor="text1"/>
          <w:kern w:val="0"/>
          <w:sz w:val="32"/>
          <w:szCs w:val="32"/>
          <w:u w:val="single"/>
        </w:rPr>
        <w:t>达州市北外徐家坝片区C02-02等3宗</w:t>
      </w:r>
      <w:r>
        <w:rPr>
          <w:rFonts w:eastAsia="仿宋"/>
          <w:color w:val="000000" w:themeColor="text1"/>
          <w:kern w:val="0"/>
          <w:sz w:val="32"/>
          <w:szCs w:val="32"/>
        </w:rPr>
        <w:t>国有建设用地使用权。达州市公共资源交易服务中心受出让人委托</w:t>
      </w:r>
      <w:bookmarkStart w:id="22" w:name="_GoBack"/>
      <w:bookmarkEnd w:id="22"/>
      <w:r>
        <w:rPr>
          <w:rFonts w:eastAsia="仿宋"/>
          <w:color w:val="000000" w:themeColor="text1"/>
          <w:kern w:val="0"/>
          <w:sz w:val="32"/>
          <w:szCs w:val="32"/>
        </w:rPr>
        <w:t>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863"/>
        <w:gridCol w:w="798"/>
        <w:gridCol w:w="859"/>
        <w:gridCol w:w="664"/>
        <w:gridCol w:w="652"/>
        <w:gridCol w:w="612"/>
        <w:gridCol w:w="567"/>
        <w:gridCol w:w="681"/>
        <w:gridCol w:w="932"/>
        <w:gridCol w:w="1039"/>
        <w:gridCol w:w="512"/>
        <w:gridCol w:w="344"/>
        <w:gridCol w:w="539"/>
        <w:gridCol w:w="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22"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28"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13"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3"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7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6"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22"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28"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22"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80"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1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3"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7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6"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rPr>
            </w:pPr>
            <w:r>
              <w:rPr>
                <w:rFonts w:hint="eastAsia" w:ascii="微软雅黑" w:hAnsi="微软雅黑" w:eastAsia="微软雅黑" w:cs="微软雅黑"/>
                <w:b/>
                <w:bCs/>
                <w:color w:val="000000"/>
                <w:sz w:val="15"/>
                <w:szCs w:val="15"/>
                <w:lang w:val="en-US" w:eastAsia="zh-CN"/>
              </w:rPr>
              <w:t>达州市北外徐家坝片区C02-02地块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凤北街道徐家坝社区</w:t>
            </w:r>
          </w:p>
        </w:tc>
        <w:tc>
          <w:tcPr>
            <w:tcW w:w="424" w:type="pct"/>
            <w:tcBorders>
              <w:right w:val="single" w:color="000000" w:sz="4" w:space="0"/>
            </w:tcBorders>
            <w:vAlign w:val="center"/>
          </w:tcPr>
          <w:p>
            <w:pPr>
              <w:widowControl/>
              <w:spacing w:line="270" w:lineRule="exact"/>
              <w:jc w:val="center"/>
              <w:rPr>
                <w:rFonts w:hint="default" w:ascii="微软雅黑" w:hAnsi="微软雅黑" w:eastAsia="仿宋_GB2312"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38673平方米（折合58.01亩）</w:t>
            </w:r>
          </w:p>
        </w:tc>
        <w:tc>
          <w:tcPr>
            <w:tcW w:w="32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themeColor="text1"/>
                <w:sz w:val="15"/>
                <w:szCs w:val="15"/>
              </w:rPr>
              <w:t>1＜F≤</w:t>
            </w:r>
            <w:r>
              <w:rPr>
                <w:rFonts w:hint="eastAsia" w:ascii="微软雅黑" w:hAnsi="微软雅黑" w:eastAsia="微软雅黑" w:cs="微软雅黑"/>
                <w:b/>
                <w:snapToGrid w:val="0"/>
                <w:color w:val="000000" w:themeColor="text1"/>
                <w:kern w:val="0"/>
                <w:sz w:val="15"/>
                <w:szCs w:val="15"/>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B≤</w:t>
            </w:r>
            <w:r>
              <w:rPr>
                <w:rFonts w:hint="eastAsia" w:ascii="微软雅黑" w:hAnsi="微软雅黑" w:eastAsia="微软雅黑" w:cs="微软雅黑"/>
                <w:b/>
                <w:snapToGrid w:val="0"/>
                <w:color w:val="000000" w:themeColor="text1"/>
                <w:kern w:val="0"/>
                <w:sz w:val="15"/>
                <w:szCs w:val="15"/>
                <w:lang w:val="en-US" w:eastAsia="zh-CN"/>
              </w:rPr>
              <w:t>3</w:t>
            </w:r>
            <w:r>
              <w:rPr>
                <w:rFonts w:hint="eastAsia" w:ascii="微软雅黑" w:hAnsi="微软雅黑" w:eastAsia="微软雅黑" w:cs="微软雅黑"/>
                <w:b/>
                <w:snapToGrid w:val="0"/>
                <w:color w:val="000000" w:themeColor="text1"/>
                <w:kern w:val="0"/>
                <w:sz w:val="15"/>
                <w:szCs w:val="15"/>
              </w:rPr>
              <w:t>0%</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G≥3</w:t>
            </w:r>
            <w:r>
              <w:rPr>
                <w:rFonts w:hint="eastAsia" w:ascii="微软雅黑" w:hAnsi="微软雅黑" w:eastAsia="微软雅黑" w:cs="微软雅黑"/>
                <w:b/>
                <w:snapToGrid w:val="0"/>
                <w:color w:val="000000" w:themeColor="text1"/>
                <w:kern w:val="0"/>
                <w:sz w:val="15"/>
                <w:szCs w:val="15"/>
                <w:lang w:val="en-US" w:eastAsia="zh-CN"/>
              </w:rPr>
              <w:t>5</w:t>
            </w:r>
            <w:r>
              <w:rPr>
                <w:rFonts w:hint="eastAsia" w:ascii="微软雅黑" w:hAnsi="微软雅黑" w:eastAsia="微软雅黑" w:cs="微软雅黑"/>
                <w:b/>
                <w:snapToGrid w:val="0"/>
                <w:color w:val="000000" w:themeColor="text1"/>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snapToGrid w:val="0"/>
                <w:color w:val="000000" w:themeColor="text1"/>
                <w:kern w:val="0"/>
                <w:sz w:val="15"/>
                <w:szCs w:val="15"/>
              </w:rPr>
              <w:t>HL≤</w:t>
            </w:r>
            <w:r>
              <w:rPr>
                <w:rFonts w:hint="eastAsia" w:ascii="微软雅黑" w:hAnsi="微软雅黑" w:eastAsia="微软雅黑" w:cs="微软雅黑"/>
                <w:b/>
                <w:snapToGrid w:val="0"/>
                <w:color w:val="000000" w:themeColor="text1"/>
                <w:kern w:val="0"/>
                <w:sz w:val="15"/>
                <w:szCs w:val="15"/>
                <w:lang w:val="en-US" w:eastAsia="zh-CN"/>
              </w:rPr>
              <w:t>54</w:t>
            </w:r>
            <w:r>
              <w:rPr>
                <w:rFonts w:hint="eastAsia" w:ascii="微软雅黑" w:hAnsi="微软雅黑" w:eastAsia="微软雅黑" w:cs="微软雅黑"/>
                <w:b/>
                <w:snapToGrid w:val="0"/>
                <w:color w:val="000000" w:themeColor="text1"/>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达州市北外徐家坝片区C02-02</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51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eastAsia="zh-CN"/>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达州市北外徐家坝片区C02-02</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r>
              <w:rPr>
                <w:rFonts w:hint="eastAsia" w:ascii="微软雅黑" w:hAnsi="微软雅黑" w:eastAsia="微软雅黑" w:cs="微软雅黑"/>
                <w:b/>
                <w:bCs/>
                <w:color w:val="000000" w:themeColor="text1"/>
                <w:sz w:val="15"/>
                <w:szCs w:val="15"/>
                <w:lang w:eastAsia="zh-CN"/>
              </w:rPr>
              <w:t>》</w:t>
            </w:r>
          </w:p>
        </w:tc>
        <w:tc>
          <w:tcPr>
            <w:tcW w:w="253"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40年</w:t>
            </w:r>
            <w:r>
              <w:rPr>
                <w:rFonts w:hint="eastAsia" w:ascii="微软雅黑" w:hAnsi="微软雅黑" w:eastAsia="微软雅黑" w:cs="微软雅黑"/>
                <w:b/>
                <w:bCs/>
                <w:color w:val="000000"/>
                <w:kern w:val="0"/>
                <w:sz w:val="15"/>
                <w:szCs w:val="15"/>
                <w:lang w:eastAsia="zh-CN"/>
              </w:rPr>
              <w:t>、</w:t>
            </w:r>
            <w:r>
              <w:rPr>
                <w:rFonts w:hint="eastAsia" w:ascii="微软雅黑" w:hAnsi="微软雅黑" w:eastAsia="微软雅黑" w:cs="微软雅黑"/>
                <w:b/>
                <w:bCs/>
                <w:color w:val="000000"/>
                <w:kern w:val="0"/>
                <w:sz w:val="15"/>
                <w:szCs w:val="15"/>
                <w:lang w:val="en-US" w:eastAsia="zh-CN"/>
              </w:rPr>
              <w:t>住宅70年</w:t>
            </w:r>
          </w:p>
        </w:tc>
        <w:tc>
          <w:tcPr>
            <w:tcW w:w="170"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达州市北外徐家坝片区C02-03地块</w:t>
            </w:r>
          </w:p>
        </w:tc>
        <w:tc>
          <w:tcPr>
            <w:tcW w:w="39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凤北街道徐家坝社区</w:t>
            </w:r>
          </w:p>
        </w:tc>
        <w:tc>
          <w:tcPr>
            <w:tcW w:w="42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70199平方米（折合105.3亩）</w:t>
            </w:r>
          </w:p>
        </w:tc>
        <w:tc>
          <w:tcPr>
            <w:tcW w:w="32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rPr>
              <w:t>1＜F≤2.0</w:t>
            </w:r>
          </w:p>
        </w:tc>
        <w:tc>
          <w:tcPr>
            <w:tcW w:w="302"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B≤</w:t>
            </w:r>
            <w:r>
              <w:rPr>
                <w:rFonts w:hint="eastAsia" w:ascii="微软雅黑" w:hAnsi="微软雅黑" w:eastAsia="微软雅黑" w:cs="微软雅黑"/>
                <w:b/>
                <w:bCs/>
                <w:color w:val="000000" w:themeColor="text1"/>
                <w:sz w:val="15"/>
                <w:szCs w:val="15"/>
                <w:lang w:val="en-US" w:eastAsia="zh-CN"/>
              </w:rPr>
              <w:t>30</w:t>
            </w:r>
            <w:r>
              <w:rPr>
                <w:rFonts w:hint="eastAsia" w:ascii="微软雅黑" w:hAnsi="微软雅黑" w:eastAsia="微软雅黑" w:cs="微软雅黑"/>
                <w:b/>
                <w:bCs/>
                <w:color w:val="000000" w:themeColor="text1"/>
                <w:sz w:val="15"/>
                <w:szCs w:val="15"/>
              </w:rPr>
              <w:t>%</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达州市北外徐家坝片区C02-03</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51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达州市北外徐家坝片区C02-03</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253"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40年</w:t>
            </w:r>
            <w:r>
              <w:rPr>
                <w:rFonts w:hint="eastAsia" w:ascii="微软雅黑" w:hAnsi="微软雅黑" w:eastAsia="微软雅黑" w:cs="微软雅黑"/>
                <w:b/>
                <w:bCs/>
                <w:color w:val="000000"/>
                <w:kern w:val="0"/>
                <w:sz w:val="15"/>
                <w:szCs w:val="15"/>
                <w:lang w:eastAsia="zh-CN"/>
              </w:rPr>
              <w:t>，</w:t>
            </w:r>
            <w:r>
              <w:rPr>
                <w:rFonts w:hint="eastAsia" w:ascii="微软雅黑" w:hAnsi="微软雅黑" w:eastAsia="微软雅黑" w:cs="微软雅黑"/>
                <w:b/>
                <w:bCs/>
                <w:color w:val="000000"/>
                <w:kern w:val="0"/>
                <w:sz w:val="15"/>
                <w:szCs w:val="15"/>
                <w:lang w:val="en-US" w:eastAsia="zh-CN"/>
              </w:rPr>
              <w:t>住宅70年</w:t>
            </w:r>
          </w:p>
        </w:tc>
        <w:tc>
          <w:tcPr>
            <w:tcW w:w="170"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5400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22"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6"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达州市北外徐家坝片区C02-08地块</w:t>
            </w:r>
          </w:p>
        </w:tc>
        <w:tc>
          <w:tcPr>
            <w:tcW w:w="39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凤北街道徐家坝社区</w:t>
            </w:r>
          </w:p>
        </w:tc>
        <w:tc>
          <w:tcPr>
            <w:tcW w:w="424"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22182平方米（折合33.27亩）</w:t>
            </w:r>
          </w:p>
        </w:tc>
        <w:tc>
          <w:tcPr>
            <w:tcW w:w="32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sz w:val="15"/>
                <w:szCs w:val="15"/>
                <w:lang w:val="en-US" w:eastAsia="zh-CN"/>
              </w:rPr>
              <w:t>二类城镇住宅用地</w:t>
            </w:r>
          </w:p>
        </w:tc>
        <w:tc>
          <w:tcPr>
            <w:tcW w:w="32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themeColor="text1"/>
                <w:sz w:val="15"/>
                <w:szCs w:val="15"/>
              </w:rPr>
              <w:t>1＜F≤2.0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80"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达州市北外徐家坝片区C02-08地块规划条件</w:t>
            </w:r>
            <w:r>
              <w:rPr>
                <w:rFonts w:hint="eastAsia" w:ascii="微软雅黑" w:hAnsi="微软雅黑" w:eastAsia="微软雅黑" w:cs="微软雅黑"/>
                <w:b/>
                <w:bCs/>
                <w:color w:val="000000" w:themeColor="text1"/>
                <w:sz w:val="15"/>
                <w:szCs w:val="15"/>
              </w:rPr>
              <w:t>》</w:t>
            </w:r>
          </w:p>
        </w:tc>
        <w:tc>
          <w:tcPr>
            <w:tcW w:w="512"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达州市北外徐家坝片区C02-08</w:t>
            </w:r>
            <w:r>
              <w:rPr>
                <w:rFonts w:hint="eastAsia" w:ascii="微软雅黑" w:hAnsi="微软雅黑" w:eastAsia="微软雅黑" w:cs="微软雅黑"/>
                <w:b/>
                <w:snapToGrid w:val="0"/>
                <w:color w:val="000000" w:themeColor="text1"/>
                <w:kern w:val="0"/>
                <w:sz w:val="15"/>
                <w:szCs w:val="15"/>
              </w:rPr>
              <w:t>地块</w:t>
            </w:r>
            <w:r>
              <w:rPr>
                <w:rFonts w:hint="eastAsia" w:ascii="微软雅黑" w:hAnsi="微软雅黑" w:eastAsia="微软雅黑" w:cs="微软雅黑"/>
                <w:b/>
                <w:bCs/>
                <w:color w:val="000000" w:themeColor="text1"/>
                <w:sz w:val="15"/>
                <w:szCs w:val="15"/>
              </w:rPr>
              <w:t>规划条件》</w:t>
            </w:r>
          </w:p>
        </w:tc>
        <w:tc>
          <w:tcPr>
            <w:tcW w:w="253"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w:t>
            </w:r>
            <w:r>
              <w:rPr>
                <w:rFonts w:hint="eastAsia" w:ascii="微软雅黑" w:hAnsi="微软雅黑" w:eastAsia="微软雅黑" w:cs="微软雅黑"/>
                <w:b/>
                <w:bCs/>
                <w:color w:val="000000"/>
                <w:kern w:val="0"/>
                <w:sz w:val="15"/>
                <w:szCs w:val="15"/>
              </w:rPr>
              <w:t>40</w:t>
            </w:r>
            <w:r>
              <w:rPr>
                <w:rFonts w:hint="eastAsia" w:ascii="微软雅黑" w:hAnsi="微软雅黑" w:eastAsia="微软雅黑" w:cs="微软雅黑"/>
                <w:b/>
                <w:bCs/>
                <w:color w:val="000000"/>
                <w:kern w:val="0"/>
                <w:sz w:val="15"/>
                <w:szCs w:val="15"/>
                <w:lang w:val="en-US" w:eastAsia="zh-CN"/>
              </w:rPr>
              <w:t>年，住宅70年</w:t>
            </w:r>
          </w:p>
        </w:tc>
        <w:tc>
          <w:tcPr>
            <w:tcW w:w="170"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255</w:t>
            </w:r>
            <w:r>
              <w:rPr>
                <w:rFonts w:hint="eastAsia" w:ascii="微软雅黑" w:hAnsi="微软雅黑" w:eastAsia="微软雅黑" w:cs="微软雅黑"/>
                <w:b/>
                <w:bCs/>
                <w:color w:val="000000" w:themeColor="text1"/>
                <w:sz w:val="15"/>
                <w:szCs w:val="15"/>
              </w:rPr>
              <w:t>万元/亩</w:t>
            </w:r>
          </w:p>
        </w:tc>
        <w:tc>
          <w:tcPr>
            <w:tcW w:w="266"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1700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22"/>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Style w:val="22"/>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22"/>
          <w:rFonts w:eastAsia="仿宋"/>
          <w:b/>
          <w:color w:val="000000" w:themeColor="text1"/>
          <w:sz w:val="32"/>
          <w:szCs w:val="32"/>
          <w:u w:val="none"/>
        </w:rPr>
      </w:pPr>
      <w:r>
        <w:rPr>
          <w:rStyle w:val="22"/>
          <w:rFonts w:eastAsia="仿宋"/>
          <w:color w:val="000000" w:themeColor="text1"/>
          <w:sz w:val="32"/>
          <w:szCs w:val="32"/>
          <w:u w:val="none"/>
        </w:rPr>
        <w:t>已完成用户注册的竞买申请人须在</w:t>
      </w:r>
      <w:r>
        <w:rPr>
          <w:rStyle w:val="22"/>
          <w:rFonts w:eastAsia="仿宋"/>
          <w:b/>
          <w:color w:val="000000" w:themeColor="text1"/>
          <w:sz w:val="32"/>
          <w:szCs w:val="32"/>
        </w:rPr>
        <w:t>2022年</w:t>
      </w:r>
      <w:r>
        <w:rPr>
          <w:rStyle w:val="22"/>
          <w:rFonts w:hint="eastAsia" w:eastAsia="仿宋"/>
          <w:b/>
          <w:color w:val="000000" w:themeColor="text1"/>
          <w:sz w:val="32"/>
          <w:szCs w:val="32"/>
          <w:lang w:val="en-US" w:eastAsia="zh-CN"/>
        </w:rPr>
        <w:t>12</w:t>
      </w:r>
      <w:r>
        <w:rPr>
          <w:rStyle w:val="22"/>
          <w:rFonts w:eastAsia="仿宋"/>
          <w:b/>
          <w:color w:val="000000" w:themeColor="text1"/>
          <w:sz w:val="32"/>
          <w:szCs w:val="32"/>
        </w:rPr>
        <w:t>月</w:t>
      </w:r>
      <w:r>
        <w:rPr>
          <w:rStyle w:val="22"/>
          <w:rFonts w:hint="eastAsia" w:eastAsia="仿宋"/>
          <w:b/>
          <w:color w:val="000000" w:themeColor="text1"/>
          <w:sz w:val="32"/>
          <w:szCs w:val="32"/>
          <w:lang w:val="en-US" w:eastAsia="zh-CN"/>
        </w:rPr>
        <w:t>28</w:t>
      </w:r>
      <w:r>
        <w:rPr>
          <w:rStyle w:val="22"/>
          <w:rFonts w:eastAsia="仿宋"/>
          <w:b/>
          <w:color w:val="000000" w:themeColor="text1"/>
          <w:sz w:val="32"/>
          <w:szCs w:val="32"/>
        </w:rPr>
        <w:t>日17:00</w:t>
      </w:r>
      <w:r>
        <w:rPr>
          <w:rStyle w:val="22"/>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u w:val="none"/>
        </w:rPr>
        <w:t>http://www.dzggzy.cn</w:t>
      </w:r>
      <w:r>
        <w:rPr>
          <w:rStyle w:val="22"/>
          <w:rFonts w:eastAsia="仿宋"/>
          <w:color w:val="000000" w:themeColor="text1"/>
          <w:sz w:val="32"/>
          <w:szCs w:val="32"/>
          <w:u w:val="none"/>
        </w:rPr>
        <w:fldChar w:fldCharType="end"/>
      </w:r>
      <w:r>
        <w:rPr>
          <w:rStyle w:val="22"/>
          <w:rFonts w:eastAsia="仿宋"/>
          <w:color w:val="000000" w:themeColor="text1"/>
          <w:sz w:val="32"/>
          <w:szCs w:val="32"/>
          <w:u w:val="none"/>
        </w:rPr>
        <w:t>）通过系统提交竞买申请。通过指定账户缴纳竞买保证金，到账截止时间为</w:t>
      </w:r>
      <w:r>
        <w:rPr>
          <w:rStyle w:val="22"/>
          <w:rFonts w:eastAsia="仿宋"/>
          <w:b/>
          <w:color w:val="000000" w:themeColor="text1"/>
          <w:sz w:val="32"/>
          <w:szCs w:val="32"/>
        </w:rPr>
        <w:t>2022年</w:t>
      </w:r>
      <w:r>
        <w:rPr>
          <w:rStyle w:val="22"/>
          <w:rFonts w:hint="eastAsia" w:eastAsia="仿宋"/>
          <w:b/>
          <w:color w:val="000000" w:themeColor="text1"/>
          <w:sz w:val="32"/>
          <w:szCs w:val="32"/>
          <w:lang w:val="en-US" w:eastAsia="zh-CN"/>
        </w:rPr>
        <w:t>12</w:t>
      </w:r>
      <w:r>
        <w:rPr>
          <w:rStyle w:val="22"/>
          <w:rFonts w:eastAsia="仿宋"/>
          <w:b/>
          <w:color w:val="000000" w:themeColor="text1"/>
          <w:sz w:val="32"/>
          <w:szCs w:val="32"/>
        </w:rPr>
        <w:t>月</w:t>
      </w:r>
      <w:r>
        <w:rPr>
          <w:rStyle w:val="22"/>
          <w:rFonts w:hint="eastAsia" w:eastAsia="仿宋"/>
          <w:b/>
          <w:color w:val="000000" w:themeColor="text1"/>
          <w:sz w:val="32"/>
          <w:szCs w:val="32"/>
          <w:lang w:val="en-US" w:eastAsia="zh-CN"/>
        </w:rPr>
        <w:t>28</w:t>
      </w:r>
      <w:r>
        <w:rPr>
          <w:rStyle w:val="22"/>
          <w:rFonts w:eastAsia="仿宋"/>
          <w:b/>
          <w:color w:val="000000" w:themeColor="text1"/>
          <w:sz w:val="32"/>
          <w:szCs w:val="32"/>
        </w:rPr>
        <w:t>日17:00时</w:t>
      </w:r>
      <w:r>
        <w:rPr>
          <w:rStyle w:val="22"/>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29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29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3</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22"/>
          <w:rFonts w:eastAsia="仿宋"/>
          <w:color w:val="000000" w:themeColor="text1"/>
          <w:sz w:val="32"/>
          <w:szCs w:val="32"/>
        </w:rPr>
        <w:t>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Style w:val="22"/>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29</w:t>
      </w:r>
      <w:r>
        <w:rPr>
          <w:rFonts w:eastAsia="仿宋"/>
          <w:b/>
          <w:sz w:val="32"/>
          <w:szCs w:val="32"/>
          <w:u w:val="single"/>
        </w:rPr>
        <w:t>日1</w:t>
      </w:r>
      <w:r>
        <w:rPr>
          <w:rFonts w:hint="eastAsia" w:eastAsia="仿宋"/>
          <w:b/>
          <w:sz w:val="32"/>
          <w:szCs w:val="32"/>
          <w:u w:val="single"/>
          <w:lang w:val="en-US" w:eastAsia="zh-CN"/>
        </w:rPr>
        <w:t>0</w:t>
      </w:r>
      <w:r>
        <w:rPr>
          <w:rFonts w:eastAsia="仿宋"/>
          <w:b/>
          <w:sz w:val="32"/>
          <w:szCs w:val="32"/>
          <w:u w:val="single"/>
        </w:rPr>
        <w:t>:</w:t>
      </w:r>
      <w:r>
        <w:rPr>
          <w:rFonts w:hint="eastAsia" w:eastAsia="仿宋"/>
          <w:b/>
          <w:sz w:val="32"/>
          <w:szCs w:val="32"/>
          <w:u w:val="single"/>
          <w:lang w:val="en-US" w:eastAsia="zh-CN"/>
        </w:rPr>
        <w:t>3</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22"/>
          <w:rFonts w:eastAsia="仿宋"/>
          <w:color w:val="000000" w:themeColor="text1"/>
          <w:sz w:val="32"/>
          <w:szCs w:val="32"/>
        </w:rPr>
        <w:t>http://www.dzggzy.cn</w:t>
      </w:r>
      <w:r>
        <w:rPr>
          <w:rStyle w:val="22"/>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w:t>
      </w:r>
      <w:r>
        <w:rPr>
          <w:rFonts w:hint="default" w:ascii="Times New Roman" w:hAnsi="Times New Roman" w:eastAsia="仿宋" w:cs="Times New Roman"/>
          <w:color w:val="000000"/>
          <w:kern w:val="2"/>
          <w:sz w:val="32"/>
          <w:szCs w:val="32"/>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val="0"/>
          <w:bCs/>
          <w:color w:val="000000" w:themeColor="text1"/>
          <w:sz w:val="32"/>
          <w:szCs w:val="32"/>
          <w:u w:val="none"/>
        </w:rPr>
      </w:pPr>
      <w:r>
        <w:rPr>
          <w:rFonts w:eastAsia="仿宋"/>
          <w:color w:val="000000" w:themeColor="text1"/>
          <w:sz w:val="32"/>
          <w:szCs w:val="32"/>
        </w:rPr>
        <w:t>联系地址：</w:t>
      </w:r>
      <w:r>
        <w:rPr>
          <w:rFonts w:eastAsia="仿宋"/>
          <w:b w:val="0"/>
          <w:bCs/>
          <w:color w:val="000000" w:themeColor="text1"/>
          <w:sz w:val="32"/>
          <w:szCs w:val="32"/>
          <w:u w:val="non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eastAsia="仿宋"/>
          <w:color w:val="000000" w:themeColor="text1"/>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12</w:t>
      </w:r>
      <w:r>
        <w:rPr>
          <w:rFonts w:eastAsia="仿宋"/>
          <w:color w:val="000000" w:themeColor="text1"/>
          <w:sz w:val="32"/>
          <w:szCs w:val="32"/>
        </w:rPr>
        <w:t>月</w:t>
      </w:r>
      <w:r>
        <w:rPr>
          <w:rFonts w:hint="eastAsia" w:eastAsia="仿宋"/>
          <w:color w:val="000000" w:themeColor="text1"/>
          <w:sz w:val="32"/>
          <w:szCs w:val="32"/>
          <w:lang w:val="en-US" w:eastAsia="zh-CN"/>
        </w:rPr>
        <w:t>8</w:t>
      </w:r>
      <w:r>
        <w:rPr>
          <w:rFonts w:eastAsia="仿宋"/>
          <w:color w:val="000000" w:themeColor="text1"/>
          <w:sz w:val="32"/>
          <w:szCs w:val="32"/>
        </w:rPr>
        <w:t>日</w:t>
      </w:r>
    </w:p>
    <w:bookmarkEnd w:id="2"/>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color w:val="000000" w:themeColor="text1"/>
          <w:sz w:val="28"/>
          <w:szCs w:val="28"/>
          <w:u w:val="single"/>
        </w:rPr>
        <w:t>达州市北外徐家坝片区C02-0</w:t>
      </w:r>
      <w:r>
        <w:rPr>
          <w:rFonts w:hint="eastAsia"/>
          <w:color w:val="000000" w:themeColor="text1"/>
          <w:sz w:val="28"/>
          <w:szCs w:val="28"/>
          <w:u w:val="single"/>
          <w:lang w:val="en-US" w:eastAsia="zh-CN"/>
        </w:rPr>
        <w:t>2</w:t>
      </w:r>
      <w:r>
        <w:rPr>
          <w:color w:val="000000" w:themeColor="text1"/>
          <w:sz w:val="28"/>
          <w:szCs w:val="28"/>
          <w:u w:val="single"/>
        </w:rPr>
        <w:t>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lang w:eastAsia="zh-CN"/>
        </w:rPr>
        <w:t>：</w:t>
      </w:r>
      <w:r>
        <w:rPr>
          <w:rFonts w:hint="eastAsia"/>
          <w:color w:val="000000" w:themeColor="text1"/>
          <w:sz w:val="28"/>
          <w:szCs w:val="28"/>
          <w:lang w:val="en-US" w:eastAsia="zh-CN"/>
        </w:rPr>
        <w:t>达州市凤北街道徐家坝社区</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（二）地块范围：详见《达州市</w:t>
      </w:r>
      <w:r>
        <w:rPr>
          <w:rFonts w:hint="eastAsia"/>
          <w:color w:val="000000" w:themeColor="text1"/>
          <w:sz w:val="28"/>
          <w:szCs w:val="28"/>
          <w:lang w:val="en-US" w:eastAsia="zh-CN"/>
        </w:rPr>
        <w:t>北外徐家坝片区C02-02</w:t>
      </w:r>
      <w:r>
        <w:rPr>
          <w:color w:val="000000" w:themeColor="text1"/>
          <w:sz w:val="28"/>
          <w:szCs w:val="28"/>
        </w:rPr>
        <w:t>地块</w:t>
      </w:r>
      <w:r>
        <w:rPr>
          <w:rFonts w:hint="eastAsia"/>
          <w:color w:val="000000" w:themeColor="text1"/>
          <w:sz w:val="28"/>
          <w:szCs w:val="28"/>
          <w:lang w:val="en-US" w:eastAsia="zh-CN"/>
        </w:rPr>
        <w:t>用</w:t>
      </w:r>
      <w:r>
        <w:rPr>
          <w:rFonts w:hint="eastAsia"/>
          <w:color w:val="000000" w:themeColor="text1"/>
          <w:sz w:val="28"/>
          <w:szCs w:val="28"/>
        </w:rPr>
        <w:t>地</w:t>
      </w:r>
      <w:r>
        <w:rPr>
          <w:color w:val="000000" w:themeColor="text1"/>
          <w:sz w:val="28"/>
          <w:szCs w:val="28"/>
        </w:rPr>
        <w:t>勘界图》；</w:t>
      </w:r>
    </w:p>
    <w:p>
      <w:pPr>
        <w:spacing w:line="600" w:lineRule="exact"/>
        <w:ind w:firstLine="560" w:firstLineChars="200"/>
        <w:rPr>
          <w:color w:val="000000" w:themeColor="text1"/>
          <w:sz w:val="28"/>
          <w:szCs w:val="28"/>
        </w:rPr>
      </w:pPr>
      <w:r>
        <w:rPr>
          <w:color w:val="auto"/>
          <w:sz w:val="28"/>
          <w:szCs w:val="28"/>
        </w:rPr>
        <w:t>（三）出让面积：</w:t>
      </w:r>
      <w:r>
        <w:rPr>
          <w:color w:val="000000" w:themeColor="text1"/>
          <w:sz w:val="28"/>
          <w:szCs w:val="28"/>
        </w:rPr>
        <w:t>38673</w:t>
      </w:r>
      <w:r>
        <w:rPr>
          <w:rFonts w:hint="eastAsia"/>
          <w:color w:val="000000" w:themeColor="text1"/>
          <w:sz w:val="28"/>
          <w:szCs w:val="28"/>
        </w:rPr>
        <w:t>平方米（</w:t>
      </w:r>
      <w:r>
        <w:rPr>
          <w:rFonts w:hint="eastAsia"/>
          <w:color w:val="auto"/>
          <w:sz w:val="28"/>
          <w:szCs w:val="28"/>
        </w:rPr>
        <w:t>折合</w:t>
      </w:r>
      <w:r>
        <w:rPr>
          <w:rFonts w:hint="eastAsia"/>
          <w:color w:val="000000" w:themeColor="text1"/>
          <w:sz w:val="28"/>
          <w:szCs w:val="28"/>
          <w:lang w:val="en-US" w:eastAsia="zh-CN"/>
        </w:rPr>
        <w:t>58.01亩</w:t>
      </w:r>
      <w:r>
        <w:rPr>
          <w:rFonts w:hint="eastAsia"/>
          <w:color w:val="auto"/>
          <w:sz w:val="28"/>
          <w:szCs w:val="28"/>
        </w:rPr>
        <w:t>）</w:t>
      </w:r>
      <w:r>
        <w:rPr>
          <w:color w:val="000000" w:themeColor="text1"/>
          <w:sz w:val="28"/>
          <w:szCs w:val="28"/>
        </w:rPr>
        <w:t>；</w:t>
      </w:r>
    </w:p>
    <w:p>
      <w:pPr>
        <w:spacing w:line="600" w:lineRule="exact"/>
        <w:ind w:firstLine="560" w:firstLineChars="200"/>
        <w:rPr>
          <w:rFonts w:hint="eastAsia"/>
          <w:color w:val="000000" w:themeColor="text1"/>
          <w:sz w:val="28"/>
          <w:szCs w:val="28"/>
          <w:lang w:val="en-US" w:eastAsia="zh-CN"/>
        </w:rPr>
      </w:pPr>
      <w:r>
        <w:rPr>
          <w:color w:val="000000" w:themeColor="text1"/>
          <w:sz w:val="28"/>
          <w:szCs w:val="28"/>
        </w:rPr>
        <w:t>（四）土地用途：</w:t>
      </w:r>
      <w:r>
        <w:rPr>
          <w:rFonts w:hint="eastAsia"/>
          <w:color w:val="000000" w:themeColor="text1"/>
          <w:sz w:val="28"/>
          <w:szCs w:val="28"/>
          <w:lang w:val="en-US" w:eastAsia="zh-CN"/>
        </w:rPr>
        <w:t>二类居住用地，兼容不大于计容总建筑面积10%的商业服务用房；</w:t>
      </w:r>
    </w:p>
    <w:p>
      <w:pPr>
        <w:spacing w:line="600" w:lineRule="exact"/>
        <w:ind w:firstLine="560" w:firstLineChars="200"/>
        <w:rPr>
          <w:color w:val="auto"/>
          <w:sz w:val="28"/>
          <w:szCs w:val="28"/>
        </w:rPr>
      </w:pPr>
      <w:r>
        <w:rPr>
          <w:color w:val="auto"/>
          <w:sz w:val="28"/>
          <w:szCs w:val="28"/>
        </w:rPr>
        <w:t>（五）出让年限：</w:t>
      </w:r>
      <w:r>
        <w:rPr>
          <w:rFonts w:hint="eastAsia"/>
          <w:color w:val="auto"/>
          <w:sz w:val="28"/>
          <w:szCs w:val="28"/>
          <w:lang w:val="en-US" w:eastAsia="zh-CN"/>
        </w:rPr>
        <w:t>商业</w:t>
      </w:r>
      <w:r>
        <w:rPr>
          <w:color w:val="auto"/>
          <w:sz w:val="28"/>
          <w:szCs w:val="28"/>
        </w:rPr>
        <w:t>40年</w:t>
      </w:r>
      <w:r>
        <w:rPr>
          <w:rFonts w:hint="eastAsia"/>
          <w:color w:val="auto"/>
          <w:sz w:val="28"/>
          <w:szCs w:val="28"/>
          <w:lang w:eastAsia="zh-CN"/>
        </w:rPr>
        <w:t>，</w:t>
      </w:r>
      <w:r>
        <w:rPr>
          <w:rFonts w:hint="eastAsia"/>
          <w:color w:val="auto"/>
          <w:sz w:val="28"/>
          <w:szCs w:val="28"/>
          <w:lang w:val="en-US" w:eastAsia="zh-CN"/>
        </w:rPr>
        <w:t>住宅70年</w:t>
      </w:r>
      <w:r>
        <w:rPr>
          <w:color w:val="auto"/>
          <w:sz w:val="28"/>
          <w:szCs w:val="28"/>
        </w:rPr>
        <w:t>；</w:t>
      </w:r>
    </w:p>
    <w:p>
      <w:pPr>
        <w:spacing w:line="60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rPr>
        <w:t>达州市</w:t>
      </w:r>
      <w:r>
        <w:rPr>
          <w:rFonts w:hint="eastAsia"/>
          <w:color w:val="000000" w:themeColor="text1"/>
          <w:sz w:val="28"/>
          <w:szCs w:val="28"/>
          <w:lang w:val="en-US" w:eastAsia="zh-CN"/>
        </w:rPr>
        <w:t>北外徐家坝片区C02-02</w:t>
      </w:r>
      <w:r>
        <w:rPr>
          <w:rFonts w:hint="eastAsia"/>
          <w:color w:val="000000" w:themeColor="text1"/>
          <w:sz w:val="28"/>
          <w:szCs w:val="28"/>
        </w:rPr>
        <w:t>地块</w:t>
      </w:r>
      <w:r>
        <w:rPr>
          <w:color w:val="000000" w:themeColor="text1"/>
          <w:sz w:val="28"/>
          <w:szCs w:val="28"/>
        </w:rPr>
        <w:t>规划条件》；</w:t>
      </w:r>
    </w:p>
    <w:p>
      <w:pPr>
        <w:spacing w:line="620" w:lineRule="exact"/>
        <w:ind w:firstLine="560" w:firstLineChars="200"/>
        <w:rPr>
          <w:color w:val="000000" w:themeColor="text1"/>
          <w:sz w:val="28"/>
          <w:szCs w:val="28"/>
        </w:rPr>
      </w:pPr>
      <w:r>
        <w:rPr>
          <w:color w:val="000000" w:themeColor="text1"/>
          <w:sz w:val="28"/>
          <w:szCs w:val="28"/>
        </w:rPr>
        <w:t>（七）</w:t>
      </w:r>
      <w:r>
        <w:rPr>
          <w:rFonts w:hint="eastAsia"/>
          <w:color w:val="000000" w:themeColor="text1"/>
          <w:sz w:val="28"/>
          <w:szCs w:val="28"/>
          <w:lang w:val="en-US" w:eastAsia="zh-CN"/>
        </w:rPr>
        <w:t>设计方案中商业用房应设置商业专用烟道，</w:t>
      </w:r>
      <w:r>
        <w:rPr>
          <w:color w:val="000000" w:themeColor="text1"/>
          <w:sz w:val="28"/>
          <w:szCs w:val="28"/>
        </w:rPr>
        <w:t>且商业、居住须分离布局。临城市重要景观道路及规划宽度30米（含30米）以上道路的住宅建筑临街外立面应进行公建化设计，建筑临街外立面设置阳台时应封闭。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设计方案应满足《城市居住区规划设计标准》（GB50180-2018）、《达州市国土空间规划管理技术规定（2021版）》、《达州市北外肖公庙至徐家坝片区控制性详细规划》相关规定。</w:t>
      </w:r>
    </w:p>
    <w:p>
      <w:pPr>
        <w:spacing w:line="620" w:lineRule="exact"/>
        <w:ind w:firstLine="560" w:firstLineChars="200"/>
        <w:rPr>
          <w:rFonts w:hint="eastAsia"/>
          <w:color w:val="000000" w:themeColor="text1"/>
          <w:sz w:val="28"/>
          <w:szCs w:val="28"/>
          <w:lang w:val="en-US" w:eastAsia="zh-CN"/>
        </w:rPr>
      </w:pPr>
      <w:r>
        <w:rPr>
          <w:rFonts w:hint="eastAsia"/>
          <w:color w:val="000000" w:themeColor="text1"/>
          <w:sz w:val="28"/>
          <w:szCs w:val="28"/>
          <w:lang w:eastAsia="zh-CN"/>
        </w:rPr>
        <w:t>（</w:t>
      </w:r>
      <w:r>
        <w:rPr>
          <w:rFonts w:hint="eastAsia"/>
          <w:color w:val="000000" w:themeColor="text1"/>
          <w:sz w:val="28"/>
          <w:szCs w:val="28"/>
          <w:lang w:val="en-US" w:eastAsia="zh-CN"/>
        </w:rPr>
        <w:t>八</w:t>
      </w:r>
      <w:r>
        <w:rPr>
          <w:rFonts w:hint="eastAsia"/>
          <w:color w:val="000000" w:themeColor="text1"/>
          <w:sz w:val="28"/>
          <w:szCs w:val="28"/>
          <w:lang w:eastAsia="zh-CN"/>
        </w:rPr>
        <w:t>）</w:t>
      </w:r>
      <w:r>
        <w:rPr>
          <w:rFonts w:hint="eastAsia"/>
          <w:color w:val="000000" w:themeColor="text1"/>
          <w:sz w:val="28"/>
          <w:szCs w:val="28"/>
          <w:lang w:val="en-US" w:eastAsia="zh-CN"/>
        </w:rPr>
        <w:t>公共配套要求</w:t>
      </w:r>
    </w:p>
    <w:p>
      <w:pPr>
        <w:spacing w:line="620" w:lineRule="exact"/>
        <w:ind w:firstLine="560" w:firstLineChars="200"/>
        <w:rPr>
          <w:rFonts w:hint="eastAsia"/>
          <w:color w:val="000000" w:themeColor="text1"/>
          <w:sz w:val="28"/>
          <w:szCs w:val="28"/>
        </w:rPr>
      </w:pPr>
      <w:r>
        <w:rPr>
          <w:rFonts w:hint="eastAsia"/>
          <w:color w:val="000000" w:themeColor="text1"/>
          <w:sz w:val="28"/>
          <w:szCs w:val="28"/>
        </w:rPr>
        <w:t>1</w:t>
      </w:r>
      <w:r>
        <w:rPr>
          <w:rFonts w:hint="eastAsia"/>
          <w:color w:val="000000" w:themeColor="text1"/>
          <w:sz w:val="28"/>
          <w:szCs w:val="28"/>
          <w:lang w:eastAsia="zh-CN"/>
        </w:rPr>
        <w:t>.</w:t>
      </w:r>
      <w:r>
        <w:rPr>
          <w:rFonts w:hint="eastAsia"/>
          <w:color w:val="000000" w:themeColor="text1"/>
          <w:sz w:val="28"/>
          <w:szCs w:val="28"/>
        </w:rPr>
        <w:t>根据《达州市人民政府办公室关于印发达州市中心城区新建住宅小区配套建设社区综合服务设施实施办法的通知》（达市府办〔2018〕57号）精神，按照计容住宅建筑面积3‰的比例无偿配建一个社区综合服务设施。社区综合服务设施的建筑面积不计入项目容积率，其不动产权和使用权归地方政府。</w:t>
      </w:r>
    </w:p>
    <w:p>
      <w:pPr>
        <w:spacing w:line="620" w:lineRule="exact"/>
        <w:ind w:firstLine="560" w:firstLineChars="200"/>
        <w:rPr>
          <w:rFonts w:hint="default"/>
          <w:color w:val="000000" w:themeColor="text1"/>
          <w:sz w:val="28"/>
          <w:szCs w:val="28"/>
          <w:lang w:val="en-US" w:eastAsia="zh-CN"/>
        </w:rPr>
      </w:pPr>
      <w:r>
        <w:rPr>
          <w:rFonts w:hint="eastAsia"/>
          <w:color w:val="000000" w:themeColor="text1"/>
          <w:sz w:val="28"/>
          <w:szCs w:val="28"/>
        </w:rPr>
        <w:t>2</w:t>
      </w:r>
      <w:r>
        <w:rPr>
          <w:rFonts w:hint="eastAsia"/>
          <w:color w:val="000000" w:themeColor="text1"/>
          <w:sz w:val="28"/>
          <w:szCs w:val="28"/>
          <w:lang w:eastAsia="zh-CN"/>
        </w:rPr>
        <w:t>.</w:t>
      </w:r>
      <w:r>
        <w:rPr>
          <w:rFonts w:hint="eastAsia"/>
          <w:color w:val="000000" w:themeColor="text1"/>
          <w:sz w:val="28"/>
          <w:szCs w:val="28"/>
        </w:rPr>
        <w:t>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spacing w:line="620" w:lineRule="exact"/>
        <w:ind w:firstLine="560" w:firstLineChars="200"/>
        <w:rPr>
          <w:rFonts w:hint="eastAsia"/>
          <w:color w:val="000000" w:themeColor="text1"/>
          <w:sz w:val="28"/>
          <w:szCs w:val="28"/>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w:t>
      </w:r>
      <w:r>
        <w:rPr>
          <w:rFonts w:hint="eastAsia"/>
          <w:color w:val="000000" w:themeColor="text1"/>
          <w:sz w:val="28"/>
          <w:szCs w:val="28"/>
        </w:rPr>
        <w:t>土地竞得人须严格按照达州市</w:t>
      </w:r>
      <w:r>
        <w:rPr>
          <w:rFonts w:hint="eastAsia"/>
          <w:color w:val="000000" w:themeColor="text1"/>
          <w:sz w:val="28"/>
          <w:szCs w:val="28"/>
          <w:lang w:val="en-US" w:eastAsia="zh-CN"/>
        </w:rPr>
        <w:t>北外徐家坝片区C02-02</w:t>
      </w:r>
      <w:r>
        <w:rPr>
          <w:rFonts w:hint="eastAsia"/>
          <w:color w:val="000000" w:themeColor="text1"/>
          <w:sz w:val="28"/>
          <w:szCs w:val="28"/>
        </w:rPr>
        <w:t>地块规划条件及要求进行开发建设</w:t>
      </w:r>
      <w:r>
        <w:rPr>
          <w:rFonts w:hint="eastAsia"/>
          <w:color w:val="000000" w:themeColor="text1"/>
          <w:sz w:val="28"/>
          <w:szCs w:val="28"/>
          <w:lang w:eastAsia="zh-CN"/>
        </w:rPr>
        <w:t>；</w:t>
      </w:r>
      <w:r>
        <w:rPr>
          <w:rFonts w:hint="eastAsia"/>
          <w:color w:val="000000" w:themeColor="text1"/>
          <w:sz w:val="28"/>
          <w:szCs w:val="28"/>
        </w:rPr>
        <w:t>严格按照地质灾害防治相关要求，落实地质灾害防治措施</w:t>
      </w:r>
      <w:r>
        <w:rPr>
          <w:rFonts w:hint="eastAsia"/>
          <w:color w:val="000000" w:themeColor="text1"/>
          <w:sz w:val="28"/>
          <w:szCs w:val="28"/>
          <w:lang w:eastAsia="zh-CN"/>
        </w:rPr>
        <w:t>；</w:t>
      </w:r>
      <w:r>
        <w:rPr>
          <w:rFonts w:hint="eastAsia"/>
          <w:color w:val="000000" w:themeColor="text1"/>
          <w:sz w:val="28"/>
          <w:szCs w:val="28"/>
        </w:rPr>
        <w:t>严格按照生态环境保护相关要求，开展环境影响评价，落实生态环境保护措施。</w:t>
      </w:r>
    </w:p>
    <w:p>
      <w:pPr>
        <w:spacing w:line="620" w:lineRule="exact"/>
        <w:ind w:firstLine="560" w:firstLineChars="200"/>
        <w:rPr>
          <w:rFonts w:hint="eastAsia"/>
          <w:color w:val="000000" w:themeColor="text1"/>
          <w:sz w:val="28"/>
          <w:szCs w:val="28"/>
          <w:lang w:eastAsia="zh-CN"/>
        </w:rPr>
      </w:pPr>
      <w:r>
        <w:rPr>
          <w:rFonts w:hint="eastAsia"/>
          <w:color w:val="000000" w:themeColor="text1"/>
          <w:sz w:val="28"/>
          <w:szCs w:val="28"/>
          <w:lang w:eastAsia="zh-CN"/>
        </w:rPr>
        <w:t>（</w:t>
      </w:r>
      <w:r>
        <w:rPr>
          <w:rFonts w:hint="eastAsia"/>
          <w:color w:val="000000" w:themeColor="text1"/>
          <w:sz w:val="28"/>
          <w:szCs w:val="28"/>
          <w:lang w:val="en-US" w:eastAsia="zh-CN"/>
        </w:rPr>
        <w:t>十</w:t>
      </w:r>
      <w:r>
        <w:rPr>
          <w:rFonts w:hint="eastAsia"/>
          <w:color w:val="000000" w:themeColor="text1"/>
          <w:sz w:val="28"/>
          <w:szCs w:val="28"/>
          <w:lang w:eastAsia="zh-CN"/>
        </w:rPr>
        <w:t>）</w:t>
      </w:r>
      <w:r>
        <w:rPr>
          <w:rFonts w:hint="eastAsia"/>
          <w:color w:val="000000" w:themeColor="text1"/>
          <w:sz w:val="28"/>
          <w:szCs w:val="28"/>
          <w:lang w:val="en-US" w:eastAsia="zh-CN"/>
        </w:rPr>
        <w:t>鼓励土地竞得人一次性缴纳成交价款，</w:t>
      </w:r>
      <w:r>
        <w:rPr>
          <w:rFonts w:hint="eastAsia"/>
          <w:color w:val="000000" w:themeColor="text1"/>
          <w:sz w:val="28"/>
          <w:szCs w:val="28"/>
          <w:lang w:eastAsia="zh-CN"/>
        </w:rPr>
        <w:t>在</w:t>
      </w:r>
      <w:r>
        <w:rPr>
          <w:rFonts w:hint="eastAsia"/>
          <w:color w:val="000000" w:themeColor="text1"/>
          <w:sz w:val="28"/>
          <w:szCs w:val="28"/>
          <w:lang w:val="en-US" w:eastAsia="zh-CN"/>
        </w:rPr>
        <w:t>价款</w:t>
      </w:r>
      <w:r>
        <w:rPr>
          <w:rFonts w:hint="eastAsia"/>
          <w:color w:val="000000" w:themeColor="text1"/>
          <w:sz w:val="28"/>
          <w:szCs w:val="28"/>
          <w:lang w:eastAsia="zh-CN"/>
        </w:rPr>
        <w:t>缴清之日起5个工作日内，以“净地”、按现状土地使用条件交付土地，</w:t>
      </w:r>
      <w:r>
        <w:rPr>
          <w:rFonts w:hint="eastAsia"/>
          <w:color w:val="000000" w:themeColor="text1"/>
          <w:sz w:val="28"/>
          <w:szCs w:val="28"/>
          <w:lang w:val="en-US" w:eastAsia="zh-CN"/>
        </w:rPr>
        <w:t>并同步办理不动产登记；分期缴纳价款的在土地竞得人缴清全部土地出让价款（含滞纳金）之日起5个工作日内，</w:t>
      </w:r>
      <w:r>
        <w:rPr>
          <w:rFonts w:hint="eastAsia"/>
          <w:color w:val="000000" w:themeColor="text1"/>
          <w:sz w:val="28"/>
          <w:szCs w:val="28"/>
          <w:lang w:eastAsia="zh-CN"/>
        </w:rPr>
        <w:t>以“净地”、按现状土地使用条件交付土地，</w:t>
      </w:r>
      <w:r>
        <w:rPr>
          <w:rFonts w:hint="eastAsia"/>
          <w:color w:val="000000" w:themeColor="text1"/>
          <w:sz w:val="28"/>
          <w:szCs w:val="28"/>
          <w:lang w:val="en-US" w:eastAsia="zh-CN"/>
        </w:rPr>
        <w:t>宗地范围内的地下资源、埋藏物不属于国有建设用地使用权出让范围</w:t>
      </w:r>
      <w:r>
        <w:rPr>
          <w:rFonts w:hint="eastAsia"/>
          <w:color w:val="000000" w:themeColor="text1"/>
          <w:sz w:val="28"/>
          <w:szCs w:val="28"/>
          <w:lang w:eastAsia="zh-CN"/>
        </w:rPr>
        <w:t>。受让人须自交地之日起1年内开工，自开工之日起3年内建成；受让人不能按期开工，应提前30日向出让人提出延建申请，经出让人同意延建的，其项目竣工时间相应顺延，但延建期限不得超过1年。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color w:val="000000" w:themeColor="text1"/>
          <w:sz w:val="28"/>
          <w:szCs w:val="28"/>
        </w:rPr>
      </w:pPr>
      <w:r>
        <w:rPr>
          <w:color w:val="000000" w:themeColor="text1"/>
          <w:sz w:val="28"/>
          <w:szCs w:val="28"/>
        </w:rPr>
        <w:t>（十</w:t>
      </w:r>
      <w:r>
        <w:rPr>
          <w:rFonts w:hint="eastAsia"/>
          <w:color w:val="000000" w:themeColor="text1"/>
          <w:sz w:val="28"/>
          <w:szCs w:val="28"/>
          <w:lang w:val="en-US" w:eastAsia="zh-CN"/>
        </w:rPr>
        <w:t>一</w:t>
      </w:r>
      <w:r>
        <w:rPr>
          <w:color w:val="000000" w:themeColor="text1"/>
          <w:sz w:val="28"/>
          <w:szCs w:val="28"/>
        </w:rPr>
        <w:t>）</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土地所在辖区外的竞买人，若竞得土地使用权</w:t>
      </w:r>
      <w:r>
        <w:rPr>
          <w:rFonts w:hint="eastAsia"/>
          <w:color w:val="000000" w:themeColor="text1"/>
          <w:sz w:val="28"/>
          <w:szCs w:val="28"/>
          <w:lang w:eastAsia="zh-CN"/>
        </w:rPr>
        <w:t>，</w:t>
      </w:r>
      <w:r>
        <w:rPr>
          <w:rFonts w:hint="eastAsia"/>
          <w:color w:val="000000" w:themeColor="text1"/>
          <w:sz w:val="28"/>
          <w:szCs w:val="28"/>
        </w:rPr>
        <w:t>须在土地所在辖区注册成立</w:t>
      </w:r>
      <w:r>
        <w:rPr>
          <w:rFonts w:hint="eastAsia"/>
          <w:color w:val="000000" w:themeColor="text1"/>
          <w:sz w:val="28"/>
          <w:szCs w:val="28"/>
          <w:lang w:val="en-US" w:eastAsia="zh-CN"/>
        </w:rPr>
        <w:t>一</w:t>
      </w:r>
      <w:r>
        <w:rPr>
          <w:rFonts w:hint="eastAsia"/>
          <w:color w:val="000000" w:themeColor="text1"/>
          <w:sz w:val="28"/>
          <w:szCs w:val="28"/>
        </w:rPr>
        <w:t>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咨询（咨询电话：出让人电话0818-</w:t>
      </w:r>
      <w:r>
        <w:rPr>
          <w:rFonts w:hint="default" w:eastAsiaTheme="minorEastAsia"/>
          <w:color w:val="000000" w:themeColor="text1"/>
          <w:sz w:val="28"/>
          <w:szCs w:val="28"/>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日至2022年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28</w:t>
      </w:r>
      <w:r>
        <w:rPr>
          <w:rFonts w:eastAsiaTheme="minorEastAsia"/>
          <w:b/>
          <w:color w:val="000000" w:themeColor="text1"/>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9</w:t>
      </w:r>
      <w:r>
        <w:rPr>
          <w:rFonts w:eastAsiaTheme="minorEastAsia"/>
          <w:b/>
          <w:color w:val="000000" w:themeColor="text1"/>
          <w:sz w:val="28"/>
          <w:szCs w:val="28"/>
          <w:u w:val="single"/>
        </w:rPr>
        <w:t>日至2022年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28</w:t>
      </w:r>
      <w:r>
        <w:rPr>
          <w:rFonts w:eastAsiaTheme="minorEastAsia"/>
          <w:b/>
          <w:color w:val="000000" w:themeColor="text1"/>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2022年</w:t>
      </w:r>
      <w:r>
        <w:rPr>
          <w:rFonts w:hint="eastAsia" w:eastAsiaTheme="minorEastAsia"/>
          <w:b/>
          <w:color w:val="000000" w:themeColor="text1"/>
          <w:sz w:val="28"/>
          <w:szCs w:val="28"/>
          <w:u w:val="single"/>
          <w:lang w:val="en-US" w:eastAsia="zh-CN"/>
        </w:rPr>
        <w:t>12</w:t>
      </w:r>
      <w:r>
        <w:rPr>
          <w:rFonts w:eastAsiaTheme="minorEastAsia"/>
          <w:b/>
          <w:color w:val="000000" w:themeColor="text1"/>
          <w:sz w:val="28"/>
          <w:szCs w:val="28"/>
          <w:u w:val="single"/>
        </w:rPr>
        <w:t>月</w:t>
      </w:r>
      <w:r>
        <w:rPr>
          <w:rFonts w:hint="eastAsia" w:eastAsiaTheme="minorEastAsia"/>
          <w:b/>
          <w:color w:val="000000" w:themeColor="text1"/>
          <w:sz w:val="28"/>
          <w:szCs w:val="28"/>
          <w:u w:val="single"/>
          <w:lang w:val="en-US" w:eastAsia="zh-CN"/>
        </w:rPr>
        <w:t>29</w:t>
      </w:r>
      <w:r>
        <w:rPr>
          <w:rFonts w:eastAsiaTheme="minorEastAsia"/>
          <w:b/>
          <w:color w:val="000000" w:themeColor="text1"/>
          <w:sz w:val="28"/>
          <w:szCs w:val="28"/>
          <w:u w:val="single"/>
        </w:rPr>
        <w:t>日） 9:00</w:t>
      </w:r>
      <w:r>
        <w:rPr>
          <w:rFonts w:eastAsiaTheme="minorEastAsia"/>
          <w:color w:val="000000" w:themeColor="text1"/>
          <w:sz w:val="28"/>
          <w:szCs w:val="28"/>
        </w:rPr>
        <w:t>之前将竞买申请文件原件提交至4B-17，未按时提交原件的视为自行放弃竞买资格。</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34"/>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34"/>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34"/>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34"/>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29</w:t>
      </w:r>
      <w:r>
        <w:rPr>
          <w:rFonts w:eastAsiaTheme="minorEastAsia"/>
          <w:b/>
          <w:sz w:val="28"/>
          <w:szCs w:val="28"/>
          <w:u w:val="single"/>
        </w:rPr>
        <w:t>日1</w:t>
      </w:r>
      <w:r>
        <w:rPr>
          <w:rFonts w:hint="eastAsia" w:eastAsiaTheme="minorEastAsia"/>
          <w:b/>
          <w:sz w:val="28"/>
          <w:szCs w:val="28"/>
          <w:u w:val="single"/>
          <w:lang w:val="en-US" w:eastAsia="zh-CN"/>
        </w:rPr>
        <w:t>0</w:t>
      </w:r>
      <w:r>
        <w:rPr>
          <w:rFonts w:eastAsiaTheme="minorEastAsia"/>
          <w:b/>
          <w:sz w:val="28"/>
          <w:szCs w:val="28"/>
          <w:u w:val="single"/>
        </w:rPr>
        <w:t>：</w:t>
      </w:r>
      <w:r>
        <w:rPr>
          <w:rFonts w:hint="eastAsia" w:eastAsiaTheme="minorEastAsia"/>
          <w:b/>
          <w:sz w:val="28"/>
          <w:szCs w:val="28"/>
          <w:u w:val="single"/>
          <w:lang w:val="en-US" w:eastAsia="zh-CN"/>
        </w:rPr>
        <w:t>3</w:t>
      </w:r>
      <w:r>
        <w:rPr>
          <w:rFonts w:eastAsiaTheme="minorEastAsia"/>
          <w:b/>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lang w:val="en-US" w:eastAsia="zh-CN"/>
        </w:rPr>
        <w:t>二</w:t>
      </w:r>
      <w:r>
        <w:rPr>
          <w:rFonts w:eastAsiaTheme="minorEastAsia"/>
          <w:color w:val="000000" w:themeColor="text1"/>
          <w:sz w:val="28"/>
          <w:szCs w:val="28"/>
        </w:rPr>
        <w:t>厅举行。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12</w:t>
      </w:r>
      <w:r>
        <w:rPr>
          <w:rFonts w:eastAsiaTheme="minorEastAsia"/>
          <w:b/>
          <w:sz w:val="28"/>
          <w:szCs w:val="28"/>
          <w:u w:val="single"/>
        </w:rPr>
        <w:t>月</w:t>
      </w:r>
      <w:r>
        <w:rPr>
          <w:rFonts w:hint="eastAsia" w:eastAsiaTheme="minorEastAsia"/>
          <w:b/>
          <w:sz w:val="28"/>
          <w:szCs w:val="28"/>
          <w:u w:val="single"/>
          <w:lang w:val="en-US" w:eastAsia="zh-CN"/>
        </w:rPr>
        <w:t>29</w:t>
      </w:r>
      <w:r>
        <w:rPr>
          <w:rFonts w:eastAsiaTheme="minorEastAsia"/>
          <w:b/>
          <w:sz w:val="28"/>
          <w:szCs w:val="28"/>
          <w:u w:val="single"/>
        </w:rPr>
        <w:t>日上午</w:t>
      </w:r>
      <w:r>
        <w:rPr>
          <w:rFonts w:hint="eastAsia" w:eastAsiaTheme="minorEastAsia"/>
          <w:b/>
          <w:sz w:val="28"/>
          <w:szCs w:val="28"/>
          <w:u w:val="single"/>
          <w:lang w:val="en-US" w:eastAsia="zh-CN"/>
        </w:rPr>
        <w:t>10：3</w:t>
      </w:r>
      <w:r>
        <w:rPr>
          <w:rFonts w:eastAsiaTheme="minorEastAsia"/>
          <w:b/>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auto"/>
          <w:sz w:val="28"/>
          <w:szCs w:val="28"/>
        </w:rPr>
      </w:pPr>
      <w:r>
        <w:rPr>
          <w:rFonts w:eastAsiaTheme="minorEastAsia"/>
          <w:color w:val="auto"/>
          <w:sz w:val="28"/>
          <w:szCs w:val="28"/>
        </w:rPr>
        <w:t>本次拍卖起叫价</w:t>
      </w:r>
      <w:r>
        <w:rPr>
          <w:rFonts w:hint="eastAsia" w:eastAsiaTheme="minorEastAsia"/>
          <w:color w:val="auto"/>
          <w:sz w:val="28"/>
          <w:szCs w:val="28"/>
          <w:lang w:val="en-US" w:eastAsia="zh-CN"/>
        </w:rPr>
        <w:t>255</w:t>
      </w:r>
      <w:r>
        <w:rPr>
          <w:rFonts w:eastAsiaTheme="minorEastAsia"/>
          <w:color w:val="auto"/>
          <w:sz w:val="28"/>
          <w:szCs w:val="28"/>
        </w:rPr>
        <w:t>万元/亩</w:t>
      </w:r>
      <w:r>
        <w:rPr>
          <w:rFonts w:hint="eastAsia" w:eastAsiaTheme="minorEastAsia"/>
          <w:color w:val="auto"/>
          <w:sz w:val="28"/>
          <w:szCs w:val="28"/>
          <w:lang w:eastAsia="zh-CN"/>
        </w:rPr>
        <w:t>，</w:t>
      </w:r>
      <w:r>
        <w:rPr>
          <w:rFonts w:eastAsiaTheme="minorEastAsia"/>
          <w:color w:val="auto"/>
          <w:sz w:val="28"/>
          <w:szCs w:val="28"/>
        </w:rPr>
        <w:t>增价幅度为</w:t>
      </w:r>
      <w:r>
        <w:rPr>
          <w:rFonts w:hint="eastAsia" w:eastAsiaTheme="minorEastAsia"/>
          <w:color w:val="auto"/>
          <w:sz w:val="28"/>
          <w:szCs w:val="28"/>
          <w:lang w:val="en-US" w:eastAsia="zh-CN"/>
        </w:rPr>
        <w:t>5</w:t>
      </w:r>
      <w:r>
        <w:rPr>
          <w:rFonts w:eastAsiaTheme="minorEastAsia"/>
          <w:color w:val="auto"/>
          <w:sz w:val="28"/>
          <w:szCs w:val="28"/>
        </w:rPr>
        <w:t>万元/亩或</w:t>
      </w:r>
      <w:r>
        <w:rPr>
          <w:rFonts w:hint="eastAsia" w:eastAsiaTheme="minorEastAsia"/>
          <w:color w:val="auto"/>
          <w:sz w:val="28"/>
          <w:szCs w:val="28"/>
          <w:lang w:val="en-US" w:eastAsia="zh-CN"/>
        </w:rPr>
        <w:t>5</w:t>
      </w:r>
      <w:r>
        <w:rPr>
          <w:rFonts w:eastAsiaTheme="minorEastAsia"/>
          <w:color w:val="auto"/>
          <w:sz w:val="28"/>
          <w:szCs w:val="28"/>
        </w:rPr>
        <w:t>万元/亩的整倍数。成交总地价=拍卖成交最高亩价×出让面积58.01亩。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土地交付条件及时间：在土地出让价款（含滞纳金）缴清之日起5个工作日内，以“净地”、按现状土地使用条件交付土地。宗地范围内的地下资源、埋藏物不属于国有建设用地使用权出让范围。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rPr>
        <w:t>地块规划条件相关资</w:t>
      </w:r>
      <w:bookmarkEnd w:id="5"/>
      <w:bookmarkEnd w:id="6"/>
      <w:r>
        <w:rPr>
          <w:rFonts w:ascii="Times New Roman" w:hAnsi="Times New Roman" w:eastAsia="黑体"/>
          <w:color w:val="000000" w:themeColor="text1"/>
          <w:sz w:val="44"/>
          <w:szCs w:val="44"/>
        </w:rPr>
        <w:t>料</w:t>
      </w:r>
    </w:p>
    <w:p>
      <w:pPr>
        <w:widowControl/>
        <w:jc w:val="left"/>
        <w:rPr>
          <w:kern w:val="0"/>
          <w:sz w:val="24"/>
        </w:rPr>
      </w:pPr>
      <w:r>
        <w:drawing>
          <wp:inline distT="0" distB="0" distL="114300" distR="114300">
            <wp:extent cx="4657725" cy="614362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4657725" cy="6143625"/>
                    </a:xfrm>
                    <a:prstGeom prst="rect">
                      <a:avLst/>
                    </a:prstGeom>
                    <a:noFill/>
                    <a:ln>
                      <a:noFill/>
                    </a:ln>
                  </pic:spPr>
                </pic:pic>
              </a:graphicData>
            </a:graphic>
          </wp:inline>
        </w:drawing>
      </w: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widowControl/>
        <w:jc w:val="left"/>
      </w:pPr>
      <w:r>
        <w:drawing>
          <wp:inline distT="0" distB="0" distL="114300" distR="114300">
            <wp:extent cx="4648200" cy="5819775"/>
            <wp:effectExtent l="0" t="0" r="0"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6"/>
                    <a:stretch>
                      <a:fillRect/>
                    </a:stretch>
                  </pic:blipFill>
                  <pic:spPr>
                    <a:xfrm>
                      <a:off x="0" y="0"/>
                      <a:ext cx="4648200" cy="5819775"/>
                    </a:xfrm>
                    <a:prstGeom prst="rect">
                      <a:avLst/>
                    </a:prstGeom>
                    <a:noFill/>
                    <a:ln>
                      <a:noFill/>
                    </a:ln>
                  </pic:spPr>
                </pic:pic>
              </a:graphicData>
            </a:graphic>
          </wp:inline>
        </w:drawing>
      </w:r>
    </w:p>
    <w:p>
      <w:pPr>
        <w:widowControl/>
        <w:jc w:val="left"/>
      </w:pPr>
    </w:p>
    <w:p>
      <w:pPr>
        <w:widowControl/>
        <w:jc w:val="left"/>
      </w:pPr>
    </w:p>
    <w:p>
      <w:pPr>
        <w:widowControl/>
        <w:jc w:val="left"/>
      </w:pPr>
    </w:p>
    <w:p>
      <w:pPr>
        <w:widowControl/>
        <w:jc w:val="left"/>
      </w:pPr>
    </w:p>
    <w:p>
      <w:pPr>
        <w:widowControl/>
        <w:jc w:val="left"/>
      </w:pPr>
    </w:p>
    <w:p>
      <w:pPr>
        <w:pStyle w:val="13"/>
        <w:jc w:val="both"/>
      </w:pPr>
      <w:bookmarkStart w:id="7" w:name="_Toc3391744"/>
      <w:bookmarkStart w:id="8" w:name="_Toc3391973"/>
    </w:p>
    <w:p/>
    <w:p>
      <w:pPr>
        <w:pStyle w:val="13"/>
        <w:jc w:val="both"/>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p>
    <w:p>
      <w:r>
        <w:drawing>
          <wp:inline distT="0" distB="0" distL="114300" distR="114300">
            <wp:extent cx="5269865" cy="6737985"/>
            <wp:effectExtent l="0" t="0" r="6985" b="57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7"/>
                    <a:stretch>
                      <a:fillRect/>
                    </a:stretch>
                  </pic:blipFill>
                  <pic:spPr>
                    <a:xfrm>
                      <a:off x="0" y="0"/>
                      <a:ext cx="5269865" cy="6737985"/>
                    </a:xfrm>
                    <a:prstGeom prst="rect">
                      <a:avLst/>
                    </a:prstGeom>
                    <a:noFill/>
                    <a:ln>
                      <a:noFill/>
                    </a:ln>
                  </pic:spPr>
                </pic:pic>
              </a:graphicData>
            </a:graphic>
          </wp:inline>
        </w:drawing>
      </w:r>
    </w:p>
    <w:p/>
    <w:p>
      <w:pPr>
        <w:widowControl/>
        <w:jc w:val="left"/>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
      <w:pPr>
        <w:widowControl/>
        <w:rPr>
          <w:color w:val="000000" w:themeColor="text1"/>
          <w:sz w:val="28"/>
          <w:szCs w:val="28"/>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0500" cy="371221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0500" cy="3712210"/>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34"/>
        <w:spacing w:line="420" w:lineRule="exact"/>
        <w:rPr>
          <w:color w:val="000000" w:themeColor="text1"/>
          <w:sz w:val="24"/>
          <w:szCs w:val="24"/>
        </w:rPr>
      </w:pPr>
    </w:p>
    <w:p>
      <w:pPr>
        <w:pStyle w:val="34"/>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34"/>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34"/>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34"/>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34"/>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34"/>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34"/>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34"/>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34"/>
        <w:spacing w:line="420" w:lineRule="exact"/>
        <w:ind w:firstLine="470" w:firstLineChars="196"/>
        <w:rPr>
          <w:color w:val="000000" w:themeColor="text1"/>
          <w:sz w:val="24"/>
          <w:szCs w:val="24"/>
        </w:rPr>
      </w:pPr>
    </w:p>
    <w:p>
      <w:pPr>
        <w:pStyle w:val="34"/>
        <w:spacing w:line="420" w:lineRule="exact"/>
        <w:ind w:left="0"/>
        <w:rPr>
          <w:color w:val="000000" w:themeColor="text1"/>
          <w:sz w:val="24"/>
          <w:szCs w:val="24"/>
        </w:rPr>
      </w:pPr>
      <w:r>
        <w:rPr>
          <w:color w:val="000000" w:themeColor="text1"/>
          <w:sz w:val="24"/>
          <w:szCs w:val="24"/>
        </w:rPr>
        <w:t>竞买申请人（盖章）：</w:t>
      </w:r>
    </w:p>
    <w:p>
      <w:pPr>
        <w:pStyle w:val="34"/>
        <w:spacing w:line="420" w:lineRule="exact"/>
        <w:ind w:left="0"/>
        <w:rPr>
          <w:color w:val="000000" w:themeColor="text1"/>
          <w:sz w:val="24"/>
          <w:szCs w:val="24"/>
        </w:rPr>
      </w:pPr>
      <w:r>
        <w:rPr>
          <w:color w:val="000000" w:themeColor="text1"/>
          <w:sz w:val="24"/>
          <w:szCs w:val="24"/>
        </w:rPr>
        <w:t>法定代表人（本人签名）：</w:t>
      </w:r>
    </w:p>
    <w:p>
      <w:pPr>
        <w:pStyle w:val="34"/>
        <w:spacing w:line="420" w:lineRule="exact"/>
        <w:ind w:left="0"/>
        <w:rPr>
          <w:color w:val="000000" w:themeColor="text1"/>
          <w:sz w:val="24"/>
          <w:szCs w:val="24"/>
        </w:rPr>
      </w:pPr>
      <w:r>
        <w:rPr>
          <w:color w:val="000000" w:themeColor="text1"/>
          <w:sz w:val="24"/>
          <w:szCs w:val="24"/>
        </w:rPr>
        <w:t>联系人：</w:t>
      </w:r>
    </w:p>
    <w:p>
      <w:pPr>
        <w:pStyle w:val="34"/>
        <w:spacing w:line="420" w:lineRule="exact"/>
        <w:ind w:left="0"/>
        <w:rPr>
          <w:color w:val="000000" w:themeColor="text1"/>
          <w:sz w:val="24"/>
          <w:szCs w:val="24"/>
        </w:rPr>
      </w:pPr>
      <w:r>
        <w:rPr>
          <w:color w:val="000000" w:themeColor="text1"/>
          <w:sz w:val="24"/>
          <w:szCs w:val="24"/>
        </w:rPr>
        <w:t>地址：</w:t>
      </w:r>
    </w:p>
    <w:p>
      <w:pPr>
        <w:pStyle w:val="34"/>
        <w:spacing w:line="420" w:lineRule="exact"/>
        <w:ind w:left="0"/>
        <w:rPr>
          <w:color w:val="000000" w:themeColor="text1"/>
          <w:sz w:val="24"/>
          <w:szCs w:val="24"/>
        </w:rPr>
      </w:pPr>
      <w:r>
        <w:rPr>
          <w:color w:val="000000" w:themeColor="text1"/>
          <w:sz w:val="24"/>
          <w:szCs w:val="24"/>
        </w:rPr>
        <w:t>电话：</w:t>
      </w:r>
    </w:p>
    <w:p>
      <w:pPr>
        <w:pStyle w:val="34"/>
        <w:spacing w:line="420" w:lineRule="exact"/>
        <w:ind w:left="0"/>
        <w:rPr>
          <w:color w:val="000000" w:themeColor="text1"/>
          <w:sz w:val="24"/>
          <w:szCs w:val="24"/>
        </w:rPr>
      </w:pPr>
      <w:r>
        <w:rPr>
          <w:color w:val="000000" w:themeColor="text1"/>
          <w:sz w:val="24"/>
          <w:szCs w:val="24"/>
        </w:rPr>
        <w:t>申请日期：  年   月   日</w:t>
      </w:r>
    </w:p>
    <w:p>
      <w:pPr>
        <w:pStyle w:val="34"/>
        <w:spacing w:line="420" w:lineRule="exact"/>
        <w:ind w:left="0" w:firstLine="510"/>
        <w:rPr>
          <w:color w:val="000000" w:themeColor="text1"/>
          <w:sz w:val="24"/>
          <w:szCs w:val="24"/>
        </w:rPr>
      </w:pPr>
    </w:p>
    <w:p>
      <w:pPr>
        <w:pStyle w:val="34"/>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976"/>
      <w:bookmarkStart w:id="14" w:name="_Toc3391747"/>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748"/>
      <w:bookmarkStart w:id="16" w:name="_Toc3391977"/>
      <w:r>
        <w:rPr>
          <w:rFonts w:ascii="Times New Roman" w:hAnsi="Times New Roman" w:eastAsia="黑体"/>
          <w:color w:val="000000" w:themeColor="text1"/>
          <w:sz w:val="44"/>
          <w:szCs w:val="44"/>
        </w:rPr>
        <w:t>法定代表人身份证明书</w:t>
      </w:r>
      <w:bookmarkEnd w:id="15"/>
      <w:bookmarkEnd w:id="16"/>
    </w:p>
    <w:p>
      <w:pPr>
        <w:pStyle w:val="34"/>
        <w:spacing w:line="627" w:lineRule="atLeast"/>
        <w:ind w:left="0"/>
        <w:jc w:val="left"/>
        <w:rPr>
          <w:rFonts w:eastAsia="黑体"/>
          <w:color w:val="000000" w:themeColor="text1"/>
          <w:sz w:val="36"/>
          <w:szCs w:val="36"/>
        </w:rPr>
      </w:pPr>
    </w:p>
    <w:p>
      <w:pPr>
        <w:pStyle w:val="34"/>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34"/>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34"/>
        <w:spacing w:line="627" w:lineRule="atLeast"/>
        <w:ind w:firstLine="900" w:firstLineChars="300"/>
        <w:jc w:val="left"/>
        <w:rPr>
          <w:rFonts w:eastAsia="仿宋_GB2312"/>
          <w:color w:val="000000" w:themeColor="text1"/>
          <w:sz w:val="30"/>
          <w:szCs w:val="30"/>
        </w:rPr>
      </w:pPr>
    </w:p>
    <w:p>
      <w:pPr>
        <w:pStyle w:val="34"/>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rPr>
          <w:color w:val="000000" w:themeColor="text1"/>
          <w:sz w:val="28"/>
          <w:szCs w:val="28"/>
        </w:rPr>
      </w:pPr>
    </w:p>
    <w:p>
      <w:pPr>
        <w:pStyle w:val="34"/>
        <w:spacing w:line="586" w:lineRule="atLeast"/>
        <w:jc w:val="center"/>
        <w:rPr>
          <w:color w:val="000000" w:themeColor="text1"/>
          <w:sz w:val="28"/>
          <w:szCs w:val="28"/>
        </w:rPr>
      </w:pPr>
    </w:p>
    <w:p>
      <w:pPr>
        <w:pStyle w:val="34"/>
        <w:spacing w:line="586" w:lineRule="atLeast"/>
        <w:jc w:val="left"/>
        <w:rPr>
          <w:color w:val="000000" w:themeColor="text1"/>
          <w:sz w:val="28"/>
          <w:szCs w:val="28"/>
        </w:rPr>
      </w:pPr>
    </w:p>
    <w:p>
      <w:pPr>
        <w:pStyle w:val="34"/>
        <w:spacing w:line="586" w:lineRule="atLeast"/>
        <w:jc w:val="left"/>
        <w:rPr>
          <w:color w:val="000000" w:themeColor="text1"/>
          <w:sz w:val="28"/>
          <w:szCs w:val="28"/>
        </w:rPr>
      </w:pPr>
      <w:r>
        <w:rPr>
          <w:color w:val="000000" w:themeColor="text1"/>
          <w:sz w:val="28"/>
          <w:szCs w:val="28"/>
        </w:rPr>
        <w:t>附注：</w:t>
      </w:r>
    </w:p>
    <w:p>
      <w:pPr>
        <w:pStyle w:val="34"/>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34"/>
        <w:spacing w:line="586" w:lineRule="atLeast"/>
        <w:ind w:firstLine="570"/>
        <w:jc w:val="left"/>
        <w:rPr>
          <w:color w:val="000000" w:themeColor="text1"/>
          <w:sz w:val="28"/>
          <w:szCs w:val="28"/>
        </w:rPr>
      </w:pPr>
      <w:r>
        <w:rPr>
          <w:color w:val="000000" w:themeColor="text1"/>
          <w:sz w:val="28"/>
          <w:szCs w:val="28"/>
        </w:rPr>
        <w:t>②法定代表人办公地点：；</w:t>
      </w:r>
    </w:p>
    <w:p>
      <w:pPr>
        <w:pStyle w:val="34"/>
        <w:spacing w:line="586" w:lineRule="atLeast"/>
        <w:ind w:firstLine="570"/>
        <w:jc w:val="left"/>
        <w:rPr>
          <w:color w:val="000000" w:themeColor="text1"/>
          <w:sz w:val="28"/>
          <w:szCs w:val="28"/>
        </w:rPr>
      </w:pPr>
      <w:r>
        <w:rPr>
          <w:color w:val="000000" w:themeColor="text1"/>
          <w:sz w:val="28"/>
          <w:szCs w:val="28"/>
        </w:rPr>
        <w:t>③法定代表人身份证号码：；</w:t>
      </w:r>
    </w:p>
    <w:p>
      <w:pPr>
        <w:pStyle w:val="34"/>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34"/>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34"/>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34"/>
        <w:spacing w:line="600" w:lineRule="exact"/>
        <w:ind w:left="0"/>
        <w:rPr>
          <w:color w:val="000000" w:themeColor="text1"/>
        </w:rPr>
      </w:pPr>
    </w:p>
    <w:p>
      <w:pPr>
        <w:pStyle w:val="34"/>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2336;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8"/>
          <w:rFonts w:ascii="Times New Roman" w:hAnsi="Times New Roman"/>
          <w:color w:val="000000" w:themeColor="text1"/>
        </w:rPr>
      </w:pPr>
    </w:p>
    <w:p>
      <w:pPr>
        <w:pStyle w:val="5"/>
        <w:rPr>
          <w:rStyle w:val="28"/>
          <w:rFonts w:ascii="Times New Roman" w:hAnsi="Times New Roman"/>
          <w:color w:val="000000" w:themeColor="text1"/>
        </w:rPr>
      </w:pPr>
    </w:p>
    <w:p>
      <w:pPr>
        <w:pStyle w:val="3"/>
        <w:jc w:val="center"/>
        <w:rPr>
          <w:rFonts w:eastAsia="宋体"/>
          <w:color w:val="000000" w:themeColor="text1"/>
          <w:sz w:val="18"/>
          <w:szCs w:val="18"/>
        </w:rPr>
      </w:pPr>
      <w:bookmarkStart w:id="19" w:name="_Toc3391751"/>
      <w:bookmarkStart w:id="20" w:name="_Toc3391980"/>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3360;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4384;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monospace">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1" o:spid="_x0000_s2051"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2" o:spid="_x0000_s2052"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9972DE"/>
    <w:rsid w:val="032C24DC"/>
    <w:rsid w:val="039463AD"/>
    <w:rsid w:val="03AA19C7"/>
    <w:rsid w:val="03DE645D"/>
    <w:rsid w:val="03FD2C8C"/>
    <w:rsid w:val="04310280"/>
    <w:rsid w:val="04332E4B"/>
    <w:rsid w:val="04384486"/>
    <w:rsid w:val="05E1083F"/>
    <w:rsid w:val="06F7755F"/>
    <w:rsid w:val="06FA7189"/>
    <w:rsid w:val="071028D8"/>
    <w:rsid w:val="07C85206"/>
    <w:rsid w:val="08057ED2"/>
    <w:rsid w:val="089900B5"/>
    <w:rsid w:val="09E80B76"/>
    <w:rsid w:val="0B1A4AB9"/>
    <w:rsid w:val="0B8C4961"/>
    <w:rsid w:val="0BBF1C32"/>
    <w:rsid w:val="0CFF7400"/>
    <w:rsid w:val="0D822374"/>
    <w:rsid w:val="0DC67A09"/>
    <w:rsid w:val="0DDD6766"/>
    <w:rsid w:val="0DDD6D83"/>
    <w:rsid w:val="0E2D6DD1"/>
    <w:rsid w:val="0E533BDF"/>
    <w:rsid w:val="0F943C97"/>
    <w:rsid w:val="103B29D8"/>
    <w:rsid w:val="10C679D7"/>
    <w:rsid w:val="11797BE6"/>
    <w:rsid w:val="126976EC"/>
    <w:rsid w:val="132F26C0"/>
    <w:rsid w:val="13346057"/>
    <w:rsid w:val="13351506"/>
    <w:rsid w:val="13893C35"/>
    <w:rsid w:val="141D4DDA"/>
    <w:rsid w:val="14B44CE1"/>
    <w:rsid w:val="14E16390"/>
    <w:rsid w:val="15CE1DD3"/>
    <w:rsid w:val="163B2879"/>
    <w:rsid w:val="16572F7C"/>
    <w:rsid w:val="16801789"/>
    <w:rsid w:val="16831C06"/>
    <w:rsid w:val="1684403E"/>
    <w:rsid w:val="16CF777F"/>
    <w:rsid w:val="17694C0B"/>
    <w:rsid w:val="18D0495C"/>
    <w:rsid w:val="19A31B88"/>
    <w:rsid w:val="1B9117F5"/>
    <w:rsid w:val="1BC879CD"/>
    <w:rsid w:val="1BF400B9"/>
    <w:rsid w:val="1D430F6E"/>
    <w:rsid w:val="1DCF1CAD"/>
    <w:rsid w:val="1F107083"/>
    <w:rsid w:val="20795D5C"/>
    <w:rsid w:val="20C02E3B"/>
    <w:rsid w:val="20CE0A25"/>
    <w:rsid w:val="20D90E52"/>
    <w:rsid w:val="20E5353A"/>
    <w:rsid w:val="22153C27"/>
    <w:rsid w:val="24992D39"/>
    <w:rsid w:val="249F1FCC"/>
    <w:rsid w:val="24A50662"/>
    <w:rsid w:val="24B554F3"/>
    <w:rsid w:val="266F0406"/>
    <w:rsid w:val="26AF0309"/>
    <w:rsid w:val="27341F05"/>
    <w:rsid w:val="27AB0974"/>
    <w:rsid w:val="27B73DC6"/>
    <w:rsid w:val="28047123"/>
    <w:rsid w:val="28AF3A48"/>
    <w:rsid w:val="2A2D2B5D"/>
    <w:rsid w:val="2A403FBB"/>
    <w:rsid w:val="2AE05640"/>
    <w:rsid w:val="2B18734C"/>
    <w:rsid w:val="2C136A03"/>
    <w:rsid w:val="2C2A5EE7"/>
    <w:rsid w:val="2C74180A"/>
    <w:rsid w:val="2C7744DE"/>
    <w:rsid w:val="2CDA6E57"/>
    <w:rsid w:val="2CE65313"/>
    <w:rsid w:val="2CFF066C"/>
    <w:rsid w:val="2DFB7CF8"/>
    <w:rsid w:val="2E7F4750"/>
    <w:rsid w:val="2ECB4CA9"/>
    <w:rsid w:val="2F246B5F"/>
    <w:rsid w:val="2FEC3571"/>
    <w:rsid w:val="300466C5"/>
    <w:rsid w:val="308710A4"/>
    <w:rsid w:val="30B22A4B"/>
    <w:rsid w:val="30FD5419"/>
    <w:rsid w:val="311E5627"/>
    <w:rsid w:val="31BF6449"/>
    <w:rsid w:val="327B74C9"/>
    <w:rsid w:val="32CA5270"/>
    <w:rsid w:val="32D55C5F"/>
    <w:rsid w:val="32DB6043"/>
    <w:rsid w:val="33396494"/>
    <w:rsid w:val="33844E91"/>
    <w:rsid w:val="33BE4DDD"/>
    <w:rsid w:val="35462D36"/>
    <w:rsid w:val="35A13B85"/>
    <w:rsid w:val="35E24B70"/>
    <w:rsid w:val="360762D6"/>
    <w:rsid w:val="365111B7"/>
    <w:rsid w:val="37743531"/>
    <w:rsid w:val="379A16BD"/>
    <w:rsid w:val="37C71DB0"/>
    <w:rsid w:val="37DE2A16"/>
    <w:rsid w:val="37DE2AD6"/>
    <w:rsid w:val="37F678AD"/>
    <w:rsid w:val="381F43B6"/>
    <w:rsid w:val="3891221D"/>
    <w:rsid w:val="396C037C"/>
    <w:rsid w:val="396D17E3"/>
    <w:rsid w:val="3B373BF0"/>
    <w:rsid w:val="3BC33327"/>
    <w:rsid w:val="3C774D3E"/>
    <w:rsid w:val="3CAC0CBC"/>
    <w:rsid w:val="3CF60293"/>
    <w:rsid w:val="3D066E64"/>
    <w:rsid w:val="3D1179C2"/>
    <w:rsid w:val="3D141097"/>
    <w:rsid w:val="3DF86F11"/>
    <w:rsid w:val="3E4C593B"/>
    <w:rsid w:val="3E510064"/>
    <w:rsid w:val="3EB30628"/>
    <w:rsid w:val="3F4C5993"/>
    <w:rsid w:val="3F8D625F"/>
    <w:rsid w:val="40D82DFB"/>
    <w:rsid w:val="419C0A8D"/>
    <w:rsid w:val="42091919"/>
    <w:rsid w:val="42C33F30"/>
    <w:rsid w:val="437556E9"/>
    <w:rsid w:val="43962F64"/>
    <w:rsid w:val="44036F51"/>
    <w:rsid w:val="44B17B31"/>
    <w:rsid w:val="44F3127A"/>
    <w:rsid w:val="44F32D05"/>
    <w:rsid w:val="45230F44"/>
    <w:rsid w:val="456A6AE6"/>
    <w:rsid w:val="46477E22"/>
    <w:rsid w:val="467964F4"/>
    <w:rsid w:val="468A0DE6"/>
    <w:rsid w:val="46D84151"/>
    <w:rsid w:val="46FB66E6"/>
    <w:rsid w:val="47EF2633"/>
    <w:rsid w:val="48000CA4"/>
    <w:rsid w:val="48C51F7D"/>
    <w:rsid w:val="48FF771B"/>
    <w:rsid w:val="490D4D6C"/>
    <w:rsid w:val="497E0E3E"/>
    <w:rsid w:val="49BF33D2"/>
    <w:rsid w:val="49CD5A43"/>
    <w:rsid w:val="4A3416AF"/>
    <w:rsid w:val="4A527BD5"/>
    <w:rsid w:val="4AAC3789"/>
    <w:rsid w:val="4BF44EFB"/>
    <w:rsid w:val="4C072893"/>
    <w:rsid w:val="4C8B5DD4"/>
    <w:rsid w:val="4CF907DC"/>
    <w:rsid w:val="4D881D6F"/>
    <w:rsid w:val="4DEC0600"/>
    <w:rsid w:val="4EB4413A"/>
    <w:rsid w:val="4EDC10EC"/>
    <w:rsid w:val="501A39CA"/>
    <w:rsid w:val="503B5814"/>
    <w:rsid w:val="506C2151"/>
    <w:rsid w:val="50E16708"/>
    <w:rsid w:val="511F1731"/>
    <w:rsid w:val="51E62B79"/>
    <w:rsid w:val="522C6630"/>
    <w:rsid w:val="525A371F"/>
    <w:rsid w:val="53185E60"/>
    <w:rsid w:val="5345477B"/>
    <w:rsid w:val="536415F1"/>
    <w:rsid w:val="53EE4B74"/>
    <w:rsid w:val="54263430"/>
    <w:rsid w:val="547153CD"/>
    <w:rsid w:val="552F7529"/>
    <w:rsid w:val="55B55DD2"/>
    <w:rsid w:val="55E81647"/>
    <w:rsid w:val="56105421"/>
    <w:rsid w:val="56BD505E"/>
    <w:rsid w:val="589A3193"/>
    <w:rsid w:val="592C5219"/>
    <w:rsid w:val="59CA51A6"/>
    <w:rsid w:val="5B9F3B36"/>
    <w:rsid w:val="5C163158"/>
    <w:rsid w:val="5C8E7193"/>
    <w:rsid w:val="5D796F08"/>
    <w:rsid w:val="5EA43061"/>
    <w:rsid w:val="5ED13ED0"/>
    <w:rsid w:val="5F580348"/>
    <w:rsid w:val="5F5C11C0"/>
    <w:rsid w:val="5FBF30CA"/>
    <w:rsid w:val="5FCD01EE"/>
    <w:rsid w:val="601B7A0C"/>
    <w:rsid w:val="605F5BE5"/>
    <w:rsid w:val="60A80089"/>
    <w:rsid w:val="613E2520"/>
    <w:rsid w:val="61563D8A"/>
    <w:rsid w:val="618014F7"/>
    <w:rsid w:val="61963FB3"/>
    <w:rsid w:val="61B83F95"/>
    <w:rsid w:val="61CB167B"/>
    <w:rsid w:val="6325605A"/>
    <w:rsid w:val="64F01059"/>
    <w:rsid w:val="65110961"/>
    <w:rsid w:val="665B6338"/>
    <w:rsid w:val="668F14E4"/>
    <w:rsid w:val="66E54769"/>
    <w:rsid w:val="67BB0FE6"/>
    <w:rsid w:val="67ED50B4"/>
    <w:rsid w:val="67FF0F45"/>
    <w:rsid w:val="682B47D1"/>
    <w:rsid w:val="687E4741"/>
    <w:rsid w:val="68B43EFD"/>
    <w:rsid w:val="68C567C2"/>
    <w:rsid w:val="691E189E"/>
    <w:rsid w:val="69F978B3"/>
    <w:rsid w:val="6B330383"/>
    <w:rsid w:val="6B7F1EA3"/>
    <w:rsid w:val="6BD12065"/>
    <w:rsid w:val="6D625C1A"/>
    <w:rsid w:val="6DB97DE8"/>
    <w:rsid w:val="6E4E27FF"/>
    <w:rsid w:val="6E696399"/>
    <w:rsid w:val="6F341910"/>
    <w:rsid w:val="6F535138"/>
    <w:rsid w:val="6FFF27F3"/>
    <w:rsid w:val="70A75B7F"/>
    <w:rsid w:val="718323E3"/>
    <w:rsid w:val="72997548"/>
    <w:rsid w:val="73837CDD"/>
    <w:rsid w:val="739509AF"/>
    <w:rsid w:val="73CF1D2F"/>
    <w:rsid w:val="745C561E"/>
    <w:rsid w:val="745D03BD"/>
    <w:rsid w:val="748A7DE8"/>
    <w:rsid w:val="752C70F1"/>
    <w:rsid w:val="75493809"/>
    <w:rsid w:val="77310B5C"/>
    <w:rsid w:val="779A47E6"/>
    <w:rsid w:val="78340C7E"/>
    <w:rsid w:val="78762B59"/>
    <w:rsid w:val="7B2014A6"/>
    <w:rsid w:val="7B3D5FC0"/>
    <w:rsid w:val="7C396A0A"/>
    <w:rsid w:val="7C944F83"/>
    <w:rsid w:val="7C961A20"/>
    <w:rsid w:val="7C9C593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qFormat="1" w:uiPriority="99" w:name="HTML Acronym" w:locked="1"/>
    <w:lsdException w:uiPriority="99" w:name="HTML Address" w:locked="1"/>
    <w:lsdException w:qFormat="1"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qFormat="1" w:uiPriority="99" w:name="HTML Typewriter" w:locked="1"/>
    <w:lsdException w:qFormat="1"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rFonts w:ascii="Times New Roman" w:hAnsi="Times New Roman" w:cs="Times New Roman"/>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35"/>
    <w:qFormat/>
    <w:uiPriority w:val="99"/>
    <w:rPr>
      <w:rFonts w:ascii="宋体" w:hAnsi="Courier New"/>
      <w:sz w:val="32"/>
      <w:szCs w:val="20"/>
    </w:rPr>
  </w:style>
  <w:style w:type="paragraph" w:styleId="6">
    <w:name w:val="Balloon Text"/>
    <w:basedOn w:val="1"/>
    <w:link w:val="29"/>
    <w:qFormat/>
    <w:uiPriority w:val="99"/>
    <w:rPr>
      <w:sz w:val="18"/>
      <w:szCs w:val="18"/>
    </w:rPr>
  </w:style>
  <w:style w:type="paragraph" w:styleId="7">
    <w:name w:val="footer"/>
    <w:basedOn w:val="1"/>
    <w:link w:val="30"/>
    <w:qFormat/>
    <w:uiPriority w:val="99"/>
    <w:pPr>
      <w:tabs>
        <w:tab w:val="center" w:pos="4153"/>
        <w:tab w:val="right" w:pos="8306"/>
      </w:tabs>
      <w:snapToGrid w:val="0"/>
      <w:jc w:val="left"/>
    </w:pPr>
    <w:rPr>
      <w:sz w:val="18"/>
      <w:szCs w:val="18"/>
    </w:rPr>
  </w:style>
  <w:style w:type="paragraph" w:styleId="8">
    <w:name w:val="header"/>
    <w:basedOn w:val="1"/>
    <w:link w:val="3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32"/>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33"/>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TML Definition"/>
    <w:basedOn w:val="15"/>
    <w:semiHidden/>
    <w:unhideWhenUsed/>
    <w:qFormat/>
    <w:locked/>
    <w:uiPriority w:val="99"/>
  </w:style>
  <w:style w:type="character" w:styleId="19">
    <w:name w:val="HTML Typewriter"/>
    <w:basedOn w:val="15"/>
    <w:semiHidden/>
    <w:unhideWhenUsed/>
    <w:qFormat/>
    <w:locked/>
    <w:uiPriority w:val="99"/>
    <w:rPr>
      <w:rFonts w:ascii="monospace" w:hAnsi="monospace" w:eastAsia="monospace" w:cs="monospace"/>
      <w:sz w:val="20"/>
    </w:rPr>
  </w:style>
  <w:style w:type="character" w:styleId="20">
    <w:name w:val="HTML Acronym"/>
    <w:basedOn w:val="15"/>
    <w:semiHidden/>
    <w:unhideWhenUsed/>
    <w:qFormat/>
    <w:locked/>
    <w:uiPriority w:val="99"/>
  </w:style>
  <w:style w:type="character" w:styleId="21">
    <w:name w:val="HTML Variable"/>
    <w:basedOn w:val="15"/>
    <w:semiHidden/>
    <w:unhideWhenUsed/>
    <w:qFormat/>
    <w:locked/>
    <w:uiPriority w:val="99"/>
  </w:style>
  <w:style w:type="character" w:styleId="22">
    <w:name w:val="Hyperlink"/>
    <w:qFormat/>
    <w:uiPriority w:val="99"/>
    <w:rPr>
      <w:rFonts w:cs="Times New Roman"/>
      <w:color w:val="0000FF"/>
      <w:u w:val="single"/>
    </w:rPr>
  </w:style>
  <w:style w:type="character" w:styleId="23">
    <w:name w:val="HTML Code"/>
    <w:basedOn w:val="15"/>
    <w:semiHidden/>
    <w:unhideWhenUsed/>
    <w:qFormat/>
    <w:locked/>
    <w:uiPriority w:val="99"/>
    <w:rPr>
      <w:rFonts w:hint="default" w:ascii="monospace" w:hAnsi="monospace" w:eastAsia="monospace" w:cs="monospace"/>
      <w:sz w:val="20"/>
    </w:rPr>
  </w:style>
  <w:style w:type="character" w:styleId="24">
    <w:name w:val="HTML Cite"/>
    <w:basedOn w:val="15"/>
    <w:semiHidden/>
    <w:unhideWhenUsed/>
    <w:qFormat/>
    <w:locked/>
    <w:uiPriority w:val="99"/>
  </w:style>
  <w:style w:type="character" w:styleId="25">
    <w:name w:val="HTML Keyboard"/>
    <w:basedOn w:val="15"/>
    <w:semiHidden/>
    <w:unhideWhenUsed/>
    <w:qFormat/>
    <w:locked/>
    <w:uiPriority w:val="99"/>
    <w:rPr>
      <w:rFonts w:hint="default" w:ascii="monospace" w:hAnsi="monospace" w:eastAsia="monospace" w:cs="monospace"/>
      <w:sz w:val="20"/>
    </w:rPr>
  </w:style>
  <w:style w:type="character" w:styleId="26">
    <w:name w:val="HTML Sample"/>
    <w:basedOn w:val="15"/>
    <w:semiHidden/>
    <w:unhideWhenUsed/>
    <w:qFormat/>
    <w:locked/>
    <w:uiPriority w:val="99"/>
    <w:rPr>
      <w:rFonts w:hint="default" w:ascii="monospace" w:hAnsi="monospace" w:eastAsia="monospace" w:cs="monospace"/>
    </w:rPr>
  </w:style>
  <w:style w:type="character" w:customStyle="1" w:styleId="27">
    <w:name w:val="标题 1 字符"/>
    <w:link w:val="3"/>
    <w:qFormat/>
    <w:locked/>
    <w:uiPriority w:val="99"/>
    <w:rPr>
      <w:rFonts w:eastAsia="华文中宋" w:cs="Times New Roman"/>
      <w:b/>
      <w:bCs/>
      <w:kern w:val="44"/>
      <w:sz w:val="44"/>
      <w:szCs w:val="44"/>
    </w:rPr>
  </w:style>
  <w:style w:type="character" w:customStyle="1" w:styleId="28">
    <w:name w:val="Plain Text Char"/>
    <w:qFormat/>
    <w:locked/>
    <w:uiPriority w:val="99"/>
    <w:rPr>
      <w:rFonts w:ascii="宋体" w:hAnsi="Courier New" w:cs="Times New Roman"/>
      <w:kern w:val="2"/>
      <w:sz w:val="32"/>
    </w:rPr>
  </w:style>
  <w:style w:type="character" w:customStyle="1" w:styleId="29">
    <w:name w:val="批注框文本 字符"/>
    <w:link w:val="6"/>
    <w:qFormat/>
    <w:locked/>
    <w:uiPriority w:val="99"/>
    <w:rPr>
      <w:rFonts w:cs="Times New Roman"/>
      <w:kern w:val="2"/>
      <w:sz w:val="18"/>
      <w:szCs w:val="18"/>
    </w:rPr>
  </w:style>
  <w:style w:type="character" w:customStyle="1" w:styleId="30">
    <w:name w:val="页脚 字符"/>
    <w:link w:val="7"/>
    <w:qFormat/>
    <w:locked/>
    <w:uiPriority w:val="99"/>
    <w:rPr>
      <w:rFonts w:eastAsia="宋体" w:cs="Times New Roman"/>
      <w:kern w:val="2"/>
      <w:sz w:val="18"/>
      <w:lang w:val="en-US" w:eastAsia="zh-CN"/>
    </w:rPr>
  </w:style>
  <w:style w:type="character" w:customStyle="1" w:styleId="31">
    <w:name w:val="页眉 字符"/>
    <w:link w:val="8"/>
    <w:qFormat/>
    <w:locked/>
    <w:uiPriority w:val="99"/>
    <w:rPr>
      <w:rFonts w:eastAsia="宋体" w:cs="Times New Roman"/>
      <w:kern w:val="2"/>
      <w:sz w:val="18"/>
      <w:lang w:val="en-US" w:eastAsia="zh-CN"/>
    </w:rPr>
  </w:style>
  <w:style w:type="character" w:customStyle="1" w:styleId="32">
    <w:name w:val="副标题 字符"/>
    <w:link w:val="10"/>
    <w:qFormat/>
    <w:locked/>
    <w:uiPriority w:val="99"/>
    <w:rPr>
      <w:rFonts w:ascii="Calibri" w:hAnsi="Calibri" w:eastAsia="宋体" w:cs="Times New Roman"/>
      <w:b/>
      <w:bCs/>
      <w:kern w:val="28"/>
      <w:sz w:val="32"/>
      <w:szCs w:val="32"/>
    </w:rPr>
  </w:style>
  <w:style w:type="character" w:customStyle="1" w:styleId="33">
    <w:name w:val="标题 字符"/>
    <w:link w:val="13"/>
    <w:qFormat/>
    <w:locked/>
    <w:uiPriority w:val="99"/>
    <w:rPr>
      <w:rFonts w:ascii="Cambria" w:hAnsi="Cambria" w:eastAsia="华文中宋" w:cs="Times New Roman"/>
      <w:b/>
      <w:bCs/>
      <w:kern w:val="2"/>
      <w:sz w:val="32"/>
      <w:szCs w:val="32"/>
    </w:rPr>
  </w:style>
  <w:style w:type="paragraph" w:customStyle="1" w:styleId="34">
    <w:name w:val="p0"/>
    <w:basedOn w:val="1"/>
    <w:qFormat/>
    <w:uiPriority w:val="99"/>
    <w:pPr>
      <w:widowControl/>
      <w:spacing w:line="365" w:lineRule="atLeast"/>
      <w:ind w:left="1"/>
    </w:pPr>
    <w:rPr>
      <w:kern w:val="0"/>
      <w:sz w:val="20"/>
      <w:szCs w:val="20"/>
    </w:rPr>
  </w:style>
  <w:style w:type="character" w:customStyle="1" w:styleId="35">
    <w:name w:val="纯文本 字符"/>
    <w:link w:val="5"/>
    <w:semiHidden/>
    <w:qFormat/>
    <w:locked/>
    <w:uiPriority w:val="99"/>
    <w:rPr>
      <w:rFonts w:ascii="宋体" w:hAnsi="Courier New" w:cs="Courier New"/>
      <w:sz w:val="21"/>
      <w:szCs w:val="21"/>
    </w:rPr>
  </w:style>
  <w:style w:type="character" w:customStyle="1" w:styleId="36">
    <w:name w:val="纯文本 Char1"/>
    <w:qFormat/>
    <w:uiPriority w:val="99"/>
    <w:rPr>
      <w:rFonts w:ascii="宋体" w:hAnsi="Courier New" w:cs="Courier New"/>
      <w:kern w:val="2"/>
      <w:sz w:val="21"/>
      <w:szCs w:val="21"/>
    </w:rPr>
  </w:style>
  <w:style w:type="paragraph" w:customStyle="1" w:styleId="37">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Document1.doc"/><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46</Pages>
  <Words>15934</Words>
  <Characters>16632</Characters>
  <Lines>127</Lines>
  <Paragraphs>35</Paragraphs>
  <TotalTime>9</TotalTime>
  <ScaleCrop>false</ScaleCrop>
  <LinksUpToDate>false</LinksUpToDate>
  <CharactersWithSpaces>16989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2022-07-18T05:00:00Z</cp:lastPrinted>
  <dcterms:modified xsi:type="dcterms:W3CDTF">2022-12-08T09:38:38Z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