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59264;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DST(P)</w:t>
                  </w:r>
                  <w:r>
                    <w:rPr>
                      <w:rFonts w:hint="eastAsia" w:ascii="黑体" w:hAnsi="黑体" w:eastAsia="黑体"/>
                      <w:sz w:val="28"/>
                    </w:rPr>
                    <w:t>〔</w:t>
                  </w:r>
                  <w:r>
                    <w:rPr>
                      <w:rFonts w:ascii="黑体" w:hAnsi="黑体" w:eastAsia="黑体"/>
                      <w:sz w:val="28"/>
                      <w:u w:val="single"/>
                    </w:rPr>
                    <w:t xml:space="preserve"> 2021 </w:t>
                  </w:r>
                  <w:r>
                    <w:rPr>
                      <w:rFonts w:hint="eastAsia" w:ascii="黑体" w:hAnsi="黑体" w:eastAsia="黑体"/>
                      <w:sz w:val="28"/>
                    </w:rPr>
                    <w:t>〕</w:t>
                  </w:r>
                  <w:r>
                    <w:rPr>
                      <w:rFonts w:hint="eastAsia" w:ascii="黑体" w:hAnsi="黑体" w:eastAsia="黑体"/>
                      <w:sz w:val="28"/>
                      <w:lang w:val="en-US" w:eastAsia="zh-CN"/>
                    </w:rPr>
                    <w:t>20</w:t>
                  </w:r>
                  <w:r>
                    <w:rPr>
                      <w:rFonts w:hint="eastAsia" w:ascii="黑体" w:hAnsi="黑体" w:eastAsia="黑体"/>
                      <w:sz w:val="28"/>
                    </w:rPr>
                    <w:t>号</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ascii="方正小标宋简体" w:hAnsi="微软雅黑" w:eastAsia="方正小标宋简体"/>
          <w:color w:val="000000" w:themeColor="text1"/>
          <w:sz w:val="52"/>
          <w:szCs w:val="52"/>
        </w:rPr>
      </w:pPr>
      <w:r>
        <w:rPr>
          <w:rFonts w:ascii="方正小标宋简体" w:hAnsi="微软雅黑" w:eastAsia="方正小标宋简体"/>
          <w:color w:val="000000" w:themeColor="text1"/>
          <w:sz w:val="52"/>
          <w:szCs w:val="52"/>
        </w:rPr>
        <w:t>马踏洞片区中心服务区07-03b地块</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国有建设用地使用权</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6</w:t>
      </w:r>
      <w:r>
        <w:rPr>
          <w:rFonts w:ascii="宋体"/>
          <w:color w:val="000000" w:themeColor="text1"/>
          <w:sz w:val="32"/>
          <w:szCs w:val="32"/>
        </w:rPr>
        <w:t>-</w:t>
      </w:r>
      <w:r>
        <w:rPr>
          <w:rFonts w:ascii="宋体" w:hAnsi="宋体"/>
          <w:color w:val="000000" w:themeColor="text1"/>
          <w:sz w:val="32"/>
          <w:szCs w:val="32"/>
        </w:rPr>
        <w:t>17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18-21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22</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29-43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44-48</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5"/>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741"/>
      <w:bookmarkStart w:id="1" w:name="_Toc3391970"/>
      <w:r>
        <w:rPr>
          <w:rFonts w:hint="eastAsia" w:ascii="方正小标宋简体" w:hAnsi="宋体" w:eastAsia="方正小标宋简体" w:cs="宋体"/>
          <w:color w:val="000000" w:themeColor="text1"/>
          <w:sz w:val="44"/>
          <w:szCs w:val="44"/>
        </w:rPr>
        <w:t>达州市自然资源和规划局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DST(P)[ 202</w:t>
      </w:r>
      <w:r>
        <w:rPr>
          <w:rFonts w:hint="eastAsia" w:ascii="宋体" w:hAnsi="宋体" w:cs="宋体"/>
          <w:color w:val="000000" w:themeColor="text1"/>
          <w:sz w:val="28"/>
          <w:szCs w:val="28"/>
        </w:rPr>
        <w:t>1</w:t>
      </w:r>
      <w:r>
        <w:rPr>
          <w:rFonts w:ascii="宋体" w:hAnsi="宋体" w:cs="宋体"/>
          <w:color w:val="000000" w:themeColor="text1"/>
          <w:sz w:val="28"/>
          <w:szCs w:val="28"/>
        </w:rPr>
        <w:t>]</w:t>
      </w:r>
      <w:r>
        <w:rPr>
          <w:rFonts w:hint="eastAsia" w:ascii="宋体" w:hAnsi="宋体" w:cs="宋体"/>
          <w:color w:val="000000" w:themeColor="text1"/>
          <w:sz w:val="28"/>
          <w:szCs w:val="28"/>
          <w:lang w:val="en-US" w:eastAsia="zh-CN"/>
        </w:rPr>
        <w:t>20</w:t>
      </w:r>
      <w:r>
        <w:rPr>
          <w:rFonts w:hint="eastAsia" w:ascii="宋体" w:hAnsi="宋体" w:cs="宋体"/>
          <w:color w:val="000000" w:themeColor="text1"/>
          <w:sz w:val="28"/>
          <w:szCs w:val="28"/>
        </w:rPr>
        <w:t>号</w:t>
      </w:r>
    </w:p>
    <w:p>
      <w:pPr>
        <w:wordWrap w:val="0"/>
        <w:ind w:firstLine="560" w:firstLineChars="200"/>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rPr>
        <w:t>达州市人民政府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，达州市自然资源和规划局</w:t>
      </w:r>
      <w:r>
        <w:rPr>
          <w:rFonts w:hint="eastAsia" w:ascii="宋体" w:hAnsi="宋体" w:cs="宋体"/>
          <w:color w:val="000000" w:themeColor="text1"/>
          <w:sz w:val="28"/>
          <w:szCs w:val="28"/>
        </w:rPr>
        <w:t>决定以拍卖方式出让马踏洞片区中心服务区07-01a、07-03b、15-03b地块国有建设用地使用权。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w:t>
      </w:r>
      <w:r>
        <w:rPr>
          <w:rFonts w:hint="eastAsia" w:ascii="宋体" w:hAnsi="宋体" w:cs="宋体"/>
          <w:color w:val="000000" w:themeColor="text1"/>
          <w:kern w:val="0"/>
          <w:sz w:val="28"/>
          <w:szCs w:val="28"/>
        </w:rPr>
        <w:t>该地块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3"/>
        <w:gridCol w:w="466"/>
        <w:gridCol w:w="642"/>
        <w:gridCol w:w="463"/>
        <w:gridCol w:w="693"/>
        <w:gridCol w:w="712"/>
        <w:gridCol w:w="716"/>
        <w:gridCol w:w="720"/>
        <w:gridCol w:w="720"/>
        <w:gridCol w:w="716"/>
        <w:gridCol w:w="781"/>
        <w:gridCol w:w="573"/>
        <w:gridCol w:w="577"/>
        <w:gridCol w:w="421"/>
        <w:gridCol w:w="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2" w:type="pct"/>
            <w:vMerge w:val="restart"/>
            <w:tcBorders>
              <w:top w:val="single" w:color="000000" w:sz="4" w:space="0"/>
              <w:lef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序号</w:t>
            </w:r>
          </w:p>
        </w:tc>
        <w:tc>
          <w:tcPr>
            <w:tcW w:w="259"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地块</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编号</w:t>
            </w:r>
          </w:p>
        </w:tc>
        <w:tc>
          <w:tcPr>
            <w:tcW w:w="356"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土地</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位置</w:t>
            </w:r>
          </w:p>
        </w:tc>
        <w:tc>
          <w:tcPr>
            <w:tcW w:w="257"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土地出让面积</w:t>
            </w:r>
            <w:r>
              <w:rPr>
                <w:rFonts w:ascii="黑体" w:hAnsi="黑体" w:eastAsia="黑体" w:cs="宋体"/>
                <w:color w:val="000000" w:themeColor="text1"/>
                <w:sz w:val="15"/>
                <w:szCs w:val="15"/>
              </w:rPr>
              <w:t>(</w:t>
            </w:r>
            <w:r>
              <w:rPr>
                <w:rFonts w:hint="eastAsia" w:ascii="黑体" w:hAnsi="黑体" w:eastAsia="黑体" w:cs="宋体"/>
                <w:color w:val="000000" w:themeColor="text1"/>
                <w:sz w:val="15"/>
                <w:szCs w:val="15"/>
              </w:rPr>
              <w:t>㎡）</w:t>
            </w:r>
          </w:p>
        </w:tc>
        <w:tc>
          <w:tcPr>
            <w:tcW w:w="384"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土地</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用途</w:t>
            </w:r>
          </w:p>
        </w:tc>
        <w:tc>
          <w:tcPr>
            <w:tcW w:w="2423" w:type="pct"/>
            <w:gridSpan w:val="6"/>
            <w:tcBorders>
              <w:top w:val="single" w:color="000000" w:sz="4" w:space="0"/>
              <w:bottom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规划指标要求</w:t>
            </w:r>
          </w:p>
        </w:tc>
        <w:tc>
          <w:tcPr>
            <w:tcW w:w="317"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出让</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年限</w:t>
            </w:r>
          </w:p>
        </w:tc>
        <w:tc>
          <w:tcPr>
            <w:tcW w:w="320"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起始价</w:t>
            </w:r>
          </w:p>
        </w:tc>
        <w:tc>
          <w:tcPr>
            <w:tcW w:w="234"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增价</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幅度</w:t>
            </w:r>
          </w:p>
        </w:tc>
        <w:tc>
          <w:tcPr>
            <w:tcW w:w="234"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竞买</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212" w:type="pct"/>
            <w:vMerge w:val="continue"/>
            <w:tcBorders>
              <w:top w:val="single" w:color="000000" w:sz="4" w:space="0"/>
              <w:lef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59"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56"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57"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84"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95" w:type="pct"/>
            <w:tcBorders>
              <w:bottom w:val="single" w:color="000000" w:sz="4" w:space="0"/>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容积率</w:t>
            </w:r>
          </w:p>
        </w:tc>
        <w:tc>
          <w:tcPr>
            <w:tcW w:w="397" w:type="pct"/>
            <w:tcBorders>
              <w:bottom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建筑</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密度</w:t>
            </w:r>
          </w:p>
        </w:tc>
        <w:tc>
          <w:tcPr>
            <w:tcW w:w="399" w:type="pct"/>
            <w:tcBorders>
              <w:bottom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绿地率</w:t>
            </w:r>
          </w:p>
        </w:tc>
        <w:tc>
          <w:tcPr>
            <w:tcW w:w="399" w:type="pct"/>
            <w:tcBorders>
              <w:bottom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建筑</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限高</w:t>
            </w:r>
          </w:p>
        </w:tc>
        <w:tc>
          <w:tcPr>
            <w:tcW w:w="397" w:type="pct"/>
            <w:tcBorders>
              <w:bottom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配套设施</w:t>
            </w:r>
          </w:p>
        </w:tc>
        <w:tc>
          <w:tcPr>
            <w:tcW w:w="433" w:type="pct"/>
            <w:tcBorders>
              <w:bottom w:val="single" w:color="000000" w:sz="4" w:space="0"/>
              <w:right w:val="single" w:color="000000" w:sz="4" w:space="0"/>
            </w:tcBorders>
            <w:vAlign w:val="center"/>
          </w:tcPr>
          <w:p>
            <w:pPr>
              <w:spacing w:line="240" w:lineRule="exact"/>
              <w:jc w:val="center"/>
              <w:rPr>
                <w:rFonts w:hint="eastAsia" w:ascii="黑体" w:hAnsi="黑体" w:eastAsia="黑体" w:cs="宋体"/>
                <w:color w:val="000000" w:themeColor="text1"/>
                <w:sz w:val="15"/>
                <w:szCs w:val="15"/>
              </w:rPr>
            </w:pPr>
            <w:r>
              <w:rPr>
                <w:rFonts w:hint="eastAsia" w:ascii="黑体" w:hAnsi="黑体" w:eastAsia="黑体" w:cs="宋体"/>
                <w:color w:val="000000" w:themeColor="text1"/>
                <w:sz w:val="15"/>
                <w:szCs w:val="15"/>
              </w:rPr>
              <w:t>其他规划</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指标</w:t>
            </w:r>
          </w:p>
        </w:tc>
        <w:tc>
          <w:tcPr>
            <w:tcW w:w="317"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20"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34"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34"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2" w:type="pct"/>
            <w:tcBorders>
              <w:left w:val="single" w:color="000000" w:sz="4" w:space="0"/>
            </w:tcBorders>
            <w:vAlign w:val="center"/>
          </w:tcPr>
          <w:p>
            <w:pPr>
              <w:spacing w:line="240" w:lineRule="exact"/>
              <w:jc w:val="center"/>
              <w:rPr>
                <w:rFonts w:hint="eastAsia" w:ascii="黑体" w:hAnsi="黑体" w:eastAsia="黑体" w:cs="宋体"/>
                <w:color w:val="000000" w:themeColor="text1"/>
                <w:sz w:val="15"/>
                <w:szCs w:val="15"/>
                <w:lang w:eastAsia="zh-CN"/>
              </w:rPr>
            </w:pPr>
            <w:r>
              <w:rPr>
                <w:rFonts w:hint="eastAsia" w:ascii="黑体" w:hAnsi="黑体" w:eastAsia="黑体" w:cs="宋体"/>
                <w:color w:val="000000" w:themeColor="text1"/>
                <w:sz w:val="15"/>
                <w:szCs w:val="15"/>
                <w:lang w:val="en-US" w:eastAsia="zh-CN"/>
              </w:rPr>
              <w:t>1</w:t>
            </w:r>
          </w:p>
        </w:tc>
        <w:tc>
          <w:tcPr>
            <w:tcW w:w="259"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马踏洞片区 中心服务区 07-01a 地块</w:t>
            </w:r>
          </w:p>
        </w:tc>
        <w:tc>
          <w:tcPr>
            <w:tcW w:w="356"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马踏洞片区中心服务区（方大世纪城北侧）</w:t>
            </w:r>
          </w:p>
        </w:tc>
        <w:tc>
          <w:tcPr>
            <w:tcW w:w="25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56739平方米（折合85.11亩）</w:t>
            </w:r>
          </w:p>
        </w:tc>
        <w:tc>
          <w:tcPr>
            <w:tcW w:w="384" w:type="pct"/>
            <w:tcBorders>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lang w:val="en-US" w:eastAsia="zh-CN"/>
              </w:rPr>
              <w:t>二类居住用地（用地用海分类为二类城镇住宅用地）</w:t>
            </w:r>
          </w:p>
        </w:tc>
        <w:tc>
          <w:tcPr>
            <w:tcW w:w="395" w:type="pct"/>
            <w:tcBorders>
              <w:righ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F≤1.8</w:t>
            </w:r>
          </w:p>
        </w:tc>
        <w:tc>
          <w:tcPr>
            <w:tcW w:w="397"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B≤30％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G≥30％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HL≤54 米</w:t>
            </w:r>
          </w:p>
        </w:tc>
        <w:tc>
          <w:tcPr>
            <w:tcW w:w="397" w:type="pct"/>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区中心服务区07-01a</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433" w:type="pct"/>
            <w:tcBorders>
              <w:right w:val="single" w:color="000000" w:sz="4" w:space="0"/>
            </w:tcBorders>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区中心服务区07-01a</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31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住宅用地 70 年</w:t>
            </w:r>
          </w:p>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商业用地 40 年</w:t>
            </w:r>
          </w:p>
        </w:tc>
        <w:tc>
          <w:tcPr>
            <w:tcW w:w="320"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225万元/亩</w:t>
            </w:r>
          </w:p>
        </w:tc>
        <w:tc>
          <w:tcPr>
            <w:tcW w:w="234"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万元/亩或</w:t>
            </w:r>
          </w:p>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万元/亩的整倍数</w:t>
            </w:r>
          </w:p>
        </w:tc>
        <w:tc>
          <w:tcPr>
            <w:tcW w:w="234"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5800万元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2" w:type="pct"/>
            <w:tcBorders>
              <w:lef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2</w:t>
            </w:r>
          </w:p>
        </w:tc>
        <w:tc>
          <w:tcPr>
            <w:tcW w:w="259"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 中心服务区 07-03b 地块</w:t>
            </w:r>
          </w:p>
        </w:tc>
        <w:tc>
          <w:tcPr>
            <w:tcW w:w="356"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马踏洞片区中心服务区（ 天</w:t>
            </w:r>
            <w:r>
              <w:rPr>
                <w:rFonts w:hint="eastAsia" w:ascii="黑体" w:hAnsi="黑体" w:eastAsia="黑体" w:cs="宋体"/>
                <w:color w:val="000000" w:themeColor="text1"/>
                <w:sz w:val="15"/>
                <w:szCs w:val="15"/>
                <w:lang w:val="en-US" w:eastAsia="zh-CN"/>
              </w:rPr>
              <w:t>立</w:t>
            </w:r>
            <w:r>
              <w:rPr>
                <w:rFonts w:ascii="黑体" w:hAnsi="黑体" w:eastAsia="黑体" w:cs="宋体"/>
                <w:color w:val="000000" w:themeColor="text1"/>
                <w:sz w:val="15"/>
                <w:szCs w:val="15"/>
              </w:rPr>
              <w:t>学校北侧）</w:t>
            </w:r>
          </w:p>
        </w:tc>
        <w:tc>
          <w:tcPr>
            <w:tcW w:w="25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48952平方米（折合73.43亩）</w:t>
            </w:r>
          </w:p>
        </w:tc>
        <w:tc>
          <w:tcPr>
            <w:tcW w:w="384" w:type="pct"/>
            <w:tcBorders>
              <w:right w:val="single" w:color="000000" w:sz="4" w:space="0"/>
            </w:tcBorders>
            <w:vAlign w:val="center"/>
          </w:tcPr>
          <w:p>
            <w:pPr>
              <w:spacing w:line="240" w:lineRule="exact"/>
              <w:jc w:val="center"/>
              <w:rPr>
                <w:rFonts w:hint="eastAsia"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二类居住用地（用地用海分类为二类城镇住宅用地）</w:t>
            </w:r>
          </w:p>
        </w:tc>
        <w:tc>
          <w:tcPr>
            <w:tcW w:w="395" w:type="pct"/>
            <w:tcBorders>
              <w:righ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F≤2.2</w:t>
            </w:r>
          </w:p>
        </w:tc>
        <w:tc>
          <w:tcPr>
            <w:tcW w:w="397"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B≤28％</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G≥35％</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HL≤70 米</w:t>
            </w:r>
          </w:p>
        </w:tc>
        <w:tc>
          <w:tcPr>
            <w:tcW w:w="397" w:type="pct"/>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433" w:type="pct"/>
            <w:tcBorders>
              <w:right w:val="single" w:color="000000" w:sz="4" w:space="0"/>
            </w:tcBorders>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31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住宅用地 70 年</w:t>
            </w:r>
          </w:p>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商业用地 40 年</w:t>
            </w:r>
          </w:p>
        </w:tc>
        <w:tc>
          <w:tcPr>
            <w:tcW w:w="320" w:type="pct"/>
            <w:tcBorders>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lang w:val="en-US" w:eastAsia="zh-CN"/>
              </w:rPr>
              <w:t>270万元/亩</w:t>
            </w:r>
          </w:p>
        </w:tc>
        <w:tc>
          <w:tcPr>
            <w:tcW w:w="234"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万元/亩或</w:t>
            </w:r>
          </w:p>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万元/亩的整倍数</w:t>
            </w:r>
          </w:p>
        </w:tc>
        <w:tc>
          <w:tcPr>
            <w:tcW w:w="234"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6000万元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2" w:type="pct"/>
            <w:tcBorders>
              <w:left w:val="single" w:color="000000" w:sz="4" w:space="0"/>
            </w:tcBorders>
            <w:vAlign w:val="center"/>
          </w:tcPr>
          <w:p>
            <w:pPr>
              <w:snapToGrid w:val="0"/>
              <w:spacing w:line="240" w:lineRule="exact"/>
              <w:jc w:val="center"/>
              <w:rPr>
                <w:rFonts w:hint="eastAsia"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3</w:t>
            </w:r>
          </w:p>
        </w:tc>
        <w:tc>
          <w:tcPr>
            <w:tcW w:w="259" w:type="pct"/>
            <w:tcBorders>
              <w:right w:val="single" w:color="000000" w:sz="4" w:space="0"/>
            </w:tcBorders>
            <w:vAlign w:val="center"/>
          </w:tcPr>
          <w:p>
            <w:pPr>
              <w:snapToGrid w:val="0"/>
              <w:spacing w:line="240" w:lineRule="exact"/>
              <w:jc w:val="center"/>
              <w:rPr>
                <w:rFonts w:hint="eastAsia"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 中心服务区 15-03b 地块</w:t>
            </w:r>
          </w:p>
        </w:tc>
        <w:tc>
          <w:tcPr>
            <w:tcW w:w="356" w:type="pct"/>
            <w:tcBorders>
              <w:right w:val="single" w:color="000000" w:sz="4" w:space="0"/>
            </w:tcBorders>
            <w:vAlign w:val="center"/>
          </w:tcPr>
          <w:p>
            <w:pPr>
              <w:snapToGrid w:val="0"/>
              <w:spacing w:line="240" w:lineRule="exact"/>
              <w:jc w:val="center"/>
              <w:rPr>
                <w:rFonts w:hint="default"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 区中心服 务区峨城 街与旺兴 路交汇处</w:t>
            </w:r>
          </w:p>
        </w:tc>
        <w:tc>
          <w:tcPr>
            <w:tcW w:w="25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62701平方米（折合</w:t>
            </w:r>
            <w:r>
              <w:rPr>
                <w:rFonts w:ascii="黑体" w:hAnsi="黑体" w:eastAsia="黑体" w:cs="宋体"/>
                <w:color w:val="000000" w:themeColor="text1"/>
                <w:sz w:val="15"/>
                <w:szCs w:val="15"/>
              </w:rPr>
              <w:t>94.0</w:t>
            </w:r>
            <w:r>
              <w:rPr>
                <w:rFonts w:hint="eastAsia" w:ascii="黑体" w:hAnsi="黑体" w:eastAsia="黑体" w:cs="宋体"/>
                <w:color w:val="000000" w:themeColor="text1"/>
                <w:sz w:val="15"/>
                <w:szCs w:val="15"/>
                <w:lang w:val="en-US" w:eastAsia="zh-CN"/>
              </w:rPr>
              <w:t>5亩）</w:t>
            </w:r>
          </w:p>
        </w:tc>
        <w:tc>
          <w:tcPr>
            <w:tcW w:w="384" w:type="pct"/>
            <w:tcBorders>
              <w:right w:val="single" w:color="000000" w:sz="4" w:space="0"/>
            </w:tcBorders>
            <w:vAlign w:val="center"/>
          </w:tcPr>
          <w:p>
            <w:pPr>
              <w:spacing w:line="240" w:lineRule="exact"/>
              <w:jc w:val="center"/>
              <w:rPr>
                <w:rFonts w:hint="eastAsia"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二类居住用地（用地用海分类为二类城镇住宅用地）</w:t>
            </w:r>
          </w:p>
        </w:tc>
        <w:tc>
          <w:tcPr>
            <w:tcW w:w="395" w:type="pct"/>
            <w:tcBorders>
              <w:righ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F≤2.0</w:t>
            </w:r>
          </w:p>
        </w:tc>
        <w:tc>
          <w:tcPr>
            <w:tcW w:w="397"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B≤30％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G≥30％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HL≤80 米</w:t>
            </w:r>
          </w:p>
        </w:tc>
        <w:tc>
          <w:tcPr>
            <w:tcW w:w="397" w:type="pct"/>
            <w:vAlign w:val="center"/>
          </w:tcPr>
          <w:p>
            <w:pPr>
              <w:snapToGrid w:val="0"/>
              <w:spacing w:line="240" w:lineRule="exact"/>
              <w:jc w:val="center"/>
              <w:rPr>
                <w:rFonts w:hint="eastAsia"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w:t>
            </w:r>
            <w:bookmarkStart w:id="21" w:name="_GoBack"/>
            <w:bookmarkEnd w:id="21"/>
            <w:r>
              <w:rPr>
                <w:rFonts w:ascii="黑体" w:hAnsi="黑体" w:eastAsia="黑体" w:cs="宋体"/>
                <w:color w:val="000000" w:themeColor="text1"/>
                <w:sz w:val="15"/>
                <w:szCs w:val="15"/>
              </w:rPr>
              <w:t>马踏洞片</w:t>
            </w:r>
            <w:r>
              <w:rPr>
                <w:rFonts w:hint="eastAsia" w:ascii="黑体" w:hAnsi="黑体" w:eastAsia="黑体" w:cs="宋体"/>
                <w:color w:val="000000" w:themeColor="text1"/>
                <w:sz w:val="15"/>
                <w:szCs w:val="15"/>
                <w:lang w:val="en-US" w:eastAsia="zh-CN"/>
              </w:rPr>
              <w:t>区中心服务区15-03b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433" w:type="pct"/>
            <w:tcBorders>
              <w:right w:val="single" w:color="000000" w:sz="4" w:space="0"/>
            </w:tcBorders>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区中心服务区15-03b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31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住宅用地 70 年</w:t>
            </w:r>
          </w:p>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商业用地 40 年</w:t>
            </w:r>
          </w:p>
        </w:tc>
        <w:tc>
          <w:tcPr>
            <w:tcW w:w="320" w:type="pct"/>
            <w:tcBorders>
              <w:right w:val="single" w:color="000000" w:sz="4" w:space="0"/>
            </w:tcBorders>
            <w:vAlign w:val="center"/>
          </w:tcPr>
          <w:p>
            <w:pPr>
              <w:spacing w:line="240" w:lineRule="exact"/>
              <w:jc w:val="center"/>
              <w:rPr>
                <w:rFonts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240万元/亩</w:t>
            </w:r>
          </w:p>
        </w:tc>
        <w:tc>
          <w:tcPr>
            <w:tcW w:w="234"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万元/亩或</w:t>
            </w:r>
          </w:p>
          <w:p>
            <w:pPr>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5 万元/亩的整倍数</w:t>
            </w:r>
          </w:p>
        </w:tc>
        <w:tc>
          <w:tcPr>
            <w:tcW w:w="234"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6800万元</w:t>
            </w:r>
          </w:p>
        </w:tc>
      </w:tr>
    </w:tbl>
    <w:p>
      <w:pPr>
        <w:snapToGrid w:val="0"/>
        <w:spacing w:line="600" w:lineRule="exact"/>
        <w:rPr>
          <w:rFonts w:ascii="宋体" w:hAnsi="宋体" w:cs="宋体"/>
          <w:color w:val="000000" w:themeColor="text1"/>
          <w:sz w:val="28"/>
          <w:szCs w:val="28"/>
        </w:rPr>
      </w:pPr>
    </w:p>
    <w:p>
      <w:pPr>
        <w:snapToGrid w:val="0"/>
        <w:spacing w:line="600" w:lineRule="exact"/>
        <w:ind w:firstLine="700" w:firstLineChars="250"/>
        <w:rPr>
          <w:rFonts w:asci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17"/>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17"/>
          <w:rFonts w:asciiTheme="minorEastAsia" w:hAnsiTheme="minorEastAsia" w:eastAsiaTheme="minorEastAsia"/>
          <w:b/>
          <w:color w:val="000000" w:themeColor="text1"/>
          <w:sz w:val="28"/>
          <w:szCs w:val="28"/>
        </w:rPr>
      </w:pPr>
      <w:r>
        <w:rPr>
          <w:rStyle w:val="17"/>
          <w:rFonts w:hint="eastAsia" w:cs="宋体" w:asciiTheme="minorEastAsia" w:hAnsiTheme="minorEastAsia" w:eastAsiaTheme="minorEastAsia"/>
          <w:color w:val="000000" w:themeColor="text1"/>
          <w:sz w:val="28"/>
          <w:szCs w:val="28"/>
          <w:u w:val="none"/>
        </w:rPr>
        <w:t>已完成用户注册的竞买申请人须在</w:t>
      </w:r>
      <w:r>
        <w:rPr>
          <w:rStyle w:val="17"/>
          <w:rFonts w:ascii="仿宋" w:hAnsi="仿宋" w:eastAsia="仿宋" w:cs="宋体"/>
          <w:color w:val="000000" w:themeColor="text1"/>
          <w:sz w:val="28"/>
          <w:szCs w:val="28"/>
        </w:rPr>
        <w:t>202</w:t>
      </w:r>
      <w:r>
        <w:rPr>
          <w:rStyle w:val="17"/>
          <w:rFonts w:hint="eastAsia" w:ascii="仿宋" w:hAnsi="仿宋" w:eastAsia="仿宋" w:cs="宋体"/>
          <w:color w:val="000000" w:themeColor="text1"/>
          <w:sz w:val="28"/>
          <w:szCs w:val="28"/>
        </w:rPr>
        <w:t>1年12月</w:t>
      </w:r>
      <w:r>
        <w:rPr>
          <w:rStyle w:val="17"/>
          <w:rFonts w:hint="eastAsia" w:ascii="仿宋" w:hAnsi="仿宋" w:eastAsia="仿宋" w:cs="宋体"/>
          <w:color w:val="000000" w:themeColor="text1"/>
          <w:sz w:val="28"/>
          <w:szCs w:val="28"/>
          <w:lang w:val="en-US" w:eastAsia="zh-CN"/>
        </w:rPr>
        <w:t>23</w:t>
      </w:r>
      <w:r>
        <w:rPr>
          <w:rStyle w:val="17"/>
          <w:rFonts w:hint="eastAsia" w:ascii="仿宋" w:hAnsi="仿宋" w:eastAsia="仿宋" w:cs="宋体"/>
          <w:color w:val="000000" w:themeColor="text1"/>
          <w:sz w:val="28"/>
          <w:szCs w:val="28"/>
        </w:rPr>
        <w:t>日</w:t>
      </w:r>
      <w:r>
        <w:rPr>
          <w:rStyle w:val="17"/>
          <w:rFonts w:ascii="仿宋" w:hAnsi="仿宋" w:eastAsia="仿宋" w:cs="宋体"/>
          <w:color w:val="000000" w:themeColor="text1"/>
          <w:sz w:val="28"/>
          <w:szCs w:val="28"/>
        </w:rPr>
        <w:t>17:00</w:t>
      </w:r>
      <w:r>
        <w:rPr>
          <w:rStyle w:val="17"/>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17"/>
          <w:rFonts w:ascii="仿宋" w:hAnsi="仿宋" w:eastAsia="仿宋" w:cs="宋体"/>
          <w:color w:val="000000" w:themeColor="text1"/>
          <w:sz w:val="28"/>
          <w:szCs w:val="28"/>
        </w:rPr>
        <w:t>202</w:t>
      </w:r>
      <w:r>
        <w:rPr>
          <w:rStyle w:val="17"/>
          <w:rFonts w:hint="eastAsia" w:ascii="仿宋" w:hAnsi="仿宋" w:eastAsia="仿宋" w:cs="宋体"/>
          <w:color w:val="000000" w:themeColor="text1"/>
          <w:sz w:val="28"/>
          <w:szCs w:val="28"/>
        </w:rPr>
        <w:t>1年12月</w:t>
      </w:r>
      <w:r>
        <w:rPr>
          <w:rStyle w:val="17"/>
          <w:rFonts w:hint="eastAsia" w:ascii="仿宋" w:hAnsi="仿宋" w:eastAsia="仿宋" w:cs="宋体"/>
          <w:color w:val="000000" w:themeColor="text1"/>
          <w:sz w:val="28"/>
          <w:szCs w:val="28"/>
          <w:lang w:val="en-US" w:eastAsia="zh-CN"/>
        </w:rPr>
        <w:t>23</w:t>
      </w:r>
      <w:r>
        <w:rPr>
          <w:rStyle w:val="17"/>
          <w:rFonts w:hint="eastAsia" w:ascii="仿宋" w:hAnsi="仿宋" w:eastAsia="仿宋" w:cs="宋体"/>
          <w:color w:val="000000" w:themeColor="text1"/>
          <w:sz w:val="28"/>
          <w:szCs w:val="28"/>
        </w:rPr>
        <w:t>日</w:t>
      </w:r>
      <w:r>
        <w:rPr>
          <w:rStyle w:val="17"/>
          <w:rFonts w:ascii="仿宋" w:hAnsi="仿宋" w:eastAsia="仿宋" w:cs="宋体"/>
          <w:color w:val="000000" w:themeColor="text1"/>
          <w:sz w:val="28"/>
          <w:szCs w:val="28"/>
        </w:rPr>
        <w:t>17:00</w:t>
      </w:r>
      <w:r>
        <w:rPr>
          <w:rStyle w:val="17"/>
          <w:rFonts w:hint="eastAsia" w:cs="宋体" w:asciiTheme="minorEastAsia" w:hAnsiTheme="minorEastAsia" w:eastAsiaTheme="minorEastAsia"/>
          <w:b/>
          <w:color w:val="000000" w:themeColor="text1"/>
          <w:sz w:val="28"/>
          <w:szCs w:val="28"/>
        </w:rPr>
        <w:t>时</w:t>
      </w:r>
      <w:r>
        <w:rPr>
          <w:rStyle w:val="17"/>
          <w:rFonts w:hint="eastAsia" w:cs="宋体" w:asciiTheme="minorEastAsia" w:hAnsiTheme="minorEastAsia" w:eastAsiaTheme="minorEastAsia"/>
          <w:color w:val="000000" w:themeColor="text1"/>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 2021</w:t>
      </w:r>
      <w:r>
        <w:rPr>
          <w:rFonts w:hint="eastAsia" w:ascii="楷体" w:hAnsi="楷体" w:eastAsia="楷体" w:cs="宋体"/>
          <w:b/>
          <w:color w:val="000000" w:themeColor="text1"/>
          <w:sz w:val="28"/>
          <w:szCs w:val="28"/>
          <w:u w:val="single"/>
        </w:rPr>
        <w:t>年12月</w:t>
      </w:r>
      <w:r>
        <w:rPr>
          <w:rFonts w:hint="eastAsia" w:ascii="楷体" w:hAnsi="楷体" w:eastAsia="楷体" w:cs="宋体"/>
          <w:b/>
          <w:color w:val="000000" w:themeColor="text1"/>
          <w:sz w:val="28"/>
          <w:szCs w:val="28"/>
          <w:u w:val="single"/>
          <w:lang w:val="en-US" w:eastAsia="zh-CN"/>
        </w:rPr>
        <w:t>24</w:t>
      </w:r>
      <w:r>
        <w:rPr>
          <w:rFonts w:hint="eastAsia" w:ascii="楷体" w:hAnsi="楷体" w:eastAsia="楷体" w:cs="宋体"/>
          <w:b/>
          <w:color w:val="000000" w:themeColor="text1"/>
          <w:sz w:val="28"/>
          <w:szCs w:val="28"/>
          <w:u w:val="single"/>
        </w:rPr>
        <w:t>日</w:t>
      </w:r>
      <w:r>
        <w:rPr>
          <w:rFonts w:hint="eastAsia" w:ascii="楷体" w:hAnsi="楷体" w:eastAsia="楷体" w:cs="宋体"/>
          <w:b/>
          <w:color w:val="000000" w:themeColor="text1"/>
          <w:sz w:val="28"/>
          <w:szCs w:val="28"/>
        </w:rPr>
        <w:t>）</w:t>
      </w:r>
      <w:r>
        <w:rPr>
          <w:rFonts w:hint="eastAsia" w:ascii="仿宋" w:hAnsi="仿宋" w:eastAsia="仿宋" w:cs="宋体"/>
          <w:b/>
          <w:color w:val="000000" w:themeColor="text1"/>
          <w:sz w:val="28"/>
          <w:szCs w:val="28"/>
        </w:rPr>
        <w:t>9</w:t>
      </w:r>
      <w:r>
        <w:rPr>
          <w:rFonts w:ascii="仿宋" w:hAnsi="仿宋" w:eastAsia="仿宋" w:cs="宋体"/>
          <w:b/>
          <w:color w:val="000000" w:themeColor="text1"/>
          <w:sz w:val="28"/>
          <w:szCs w:val="28"/>
        </w:rPr>
        <w:t>:</w:t>
      </w:r>
      <w:r>
        <w:rPr>
          <w:rFonts w:hint="eastAsia" w:ascii="仿宋" w:hAnsi="仿宋" w:eastAsia="仿宋" w:cs="宋体"/>
          <w:b/>
          <w:color w:val="000000" w:themeColor="text1"/>
          <w:sz w:val="28"/>
          <w:szCs w:val="28"/>
        </w:rPr>
        <w:t>0</w:t>
      </w:r>
      <w:r>
        <w:rPr>
          <w:rFonts w:ascii="仿宋" w:hAnsi="仿宋" w:eastAsia="仿宋" w:cs="宋体"/>
          <w:b/>
          <w:color w:val="000000" w:themeColor="text1"/>
          <w:sz w:val="28"/>
          <w:szCs w:val="28"/>
        </w:rPr>
        <w:t>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1年12月2</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w:t>
      </w:r>
      <w:r>
        <w:rPr>
          <w:rFonts w:ascii="仿宋" w:hAnsi="仿宋" w:eastAsia="仿宋" w:cs="宋体"/>
          <w:b/>
          <w:color w:val="000000" w:themeColor="text1"/>
          <w:sz w:val="28"/>
          <w:szCs w:val="28"/>
          <w:u w:val="single"/>
        </w:rPr>
        <w:t>1</w:t>
      </w:r>
      <w:r>
        <w:rPr>
          <w:rFonts w:hint="eastAsia" w:ascii="仿宋" w:hAnsi="仿宋" w:eastAsia="仿宋" w:cs="宋体"/>
          <w:b/>
          <w:color w:val="000000" w:themeColor="text1"/>
          <w:sz w:val="28"/>
          <w:szCs w:val="28"/>
          <w:u w:val="single"/>
          <w:lang w:val="en-US" w:eastAsia="zh-CN"/>
        </w:rPr>
        <w:t>1</w:t>
      </w:r>
      <w:r>
        <w:rPr>
          <w:rFonts w:ascii="仿宋" w:hAnsi="仿宋" w:eastAsia="仿宋" w:cs="宋体"/>
          <w:b/>
          <w:color w:val="000000" w:themeColor="text1"/>
          <w:sz w:val="28"/>
          <w:szCs w:val="28"/>
          <w:u w:val="single"/>
        </w:rPr>
        <w:t>:</w:t>
      </w:r>
      <w:r>
        <w:rPr>
          <w:rFonts w:hint="eastAsia" w:ascii="仿宋" w:hAnsi="仿宋" w:eastAsia="仿宋" w:cs="宋体"/>
          <w:b/>
          <w:color w:val="000000" w:themeColor="text1"/>
          <w:sz w:val="28"/>
          <w:szCs w:val="28"/>
          <w:u w:val="single"/>
        </w:rPr>
        <w:t>3</w:t>
      </w:r>
      <w:r>
        <w:rPr>
          <w:rFonts w:ascii="仿宋" w:hAnsi="仿宋" w:eastAsia="仿宋" w:cs="宋体"/>
          <w:b/>
          <w:color w:val="000000" w:themeColor="text1"/>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17"/>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 12月2</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 xml:space="preserve"> 日</w:t>
      </w:r>
      <w:r>
        <w:rPr>
          <w:rFonts w:ascii="仿宋" w:hAnsi="仿宋" w:eastAsia="仿宋" w:cs="宋体"/>
          <w:b/>
          <w:color w:val="000000" w:themeColor="text1"/>
          <w:sz w:val="28"/>
          <w:szCs w:val="28"/>
          <w:u w:val="single"/>
        </w:rPr>
        <w:t>1</w:t>
      </w:r>
      <w:r>
        <w:rPr>
          <w:rFonts w:hint="eastAsia" w:ascii="仿宋" w:hAnsi="仿宋" w:eastAsia="仿宋" w:cs="宋体"/>
          <w:b/>
          <w:color w:val="000000" w:themeColor="text1"/>
          <w:sz w:val="28"/>
          <w:szCs w:val="28"/>
          <w:u w:val="single"/>
          <w:lang w:val="en-US" w:eastAsia="zh-CN"/>
        </w:rPr>
        <w:t>1</w:t>
      </w:r>
      <w:r>
        <w:rPr>
          <w:rFonts w:ascii="仿宋" w:hAnsi="仿宋" w:eastAsia="仿宋" w:cs="宋体"/>
          <w:b/>
          <w:color w:val="000000" w:themeColor="text1"/>
          <w:sz w:val="28"/>
          <w:szCs w:val="28"/>
          <w:u w:val="single"/>
        </w:rPr>
        <w:t>:</w:t>
      </w:r>
      <w:r>
        <w:rPr>
          <w:rFonts w:hint="eastAsia" w:ascii="仿宋" w:hAnsi="仿宋" w:eastAsia="仿宋" w:cs="宋体"/>
          <w:b/>
          <w:color w:val="000000" w:themeColor="text1"/>
          <w:sz w:val="28"/>
          <w:szCs w:val="28"/>
          <w:u w:val="single"/>
        </w:rPr>
        <w:t>3</w:t>
      </w:r>
      <w:r>
        <w:rPr>
          <w:rFonts w:ascii="仿宋" w:hAnsi="仿宋" w:eastAsia="仿宋" w:cs="宋体"/>
          <w:b/>
          <w:color w:val="000000" w:themeColor="text1"/>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w:t>
      </w:r>
      <w:r>
        <w:rPr>
          <w:rFonts w:hint="eastAsia" w:asciiTheme="minorEastAsia" w:hAnsiTheme="minorEastAsia" w:eastAsiaTheme="minorEastAsia"/>
          <w:color w:val="FF0000"/>
          <w:sz w:val="28"/>
          <w:szCs w:val="28"/>
          <w:u w:val="single"/>
          <w:lang w:val="en-US" w:eastAsia="zh-CN"/>
        </w:rPr>
        <w:t>五厅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出让人：达州市自然资源和规划局</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联系地址：达州市通川区白塔路243号</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0818-2377534</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rPr>
        <w:t>3699</w:t>
      </w: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达州市自然资源和规划局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right"/>
        <w:rPr>
          <w:rFonts w:ascii="仿宋" w:hAnsi="仿宋" w:eastAsia="仿宋" w:cs="宋体"/>
          <w:b/>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000000" w:themeColor="text1"/>
          <w:sz w:val="28"/>
          <w:szCs w:val="28"/>
        </w:rPr>
        <w:t>202</w:t>
      </w:r>
      <w:r>
        <w:rPr>
          <w:rFonts w:hint="eastAsia" w:ascii="仿宋" w:hAnsi="仿宋" w:eastAsia="仿宋" w:cs="宋体"/>
          <w:b/>
          <w:color w:val="000000" w:themeColor="text1"/>
          <w:sz w:val="28"/>
          <w:szCs w:val="28"/>
        </w:rPr>
        <w:t>1年1</w:t>
      </w:r>
      <w:r>
        <w:rPr>
          <w:rFonts w:hint="eastAsia" w:ascii="仿宋" w:hAnsi="仿宋" w:eastAsia="仿宋" w:cs="宋体"/>
          <w:b/>
          <w:color w:val="000000" w:themeColor="text1"/>
          <w:sz w:val="28"/>
          <w:szCs w:val="28"/>
          <w:lang w:val="en-US" w:eastAsia="zh-CN"/>
        </w:rPr>
        <w:t>2</w:t>
      </w:r>
      <w:r>
        <w:rPr>
          <w:rFonts w:hint="eastAsia" w:ascii="仿宋" w:hAnsi="仿宋" w:eastAsia="仿宋" w:cs="宋体"/>
          <w:b/>
          <w:color w:val="000000" w:themeColor="text1"/>
          <w:sz w:val="28"/>
          <w:szCs w:val="28"/>
        </w:rPr>
        <w:t>月</w:t>
      </w:r>
      <w:r>
        <w:rPr>
          <w:rFonts w:hint="eastAsia" w:ascii="仿宋" w:hAnsi="仿宋" w:eastAsia="仿宋" w:cs="宋体"/>
          <w:b/>
          <w:color w:val="000000" w:themeColor="text1"/>
          <w:sz w:val="28"/>
          <w:szCs w:val="28"/>
          <w:lang w:val="en-US" w:eastAsia="zh-CN"/>
        </w:rPr>
        <w:t>4</w:t>
      </w:r>
      <w:r>
        <w:rPr>
          <w:rFonts w:hint="eastAsia" w:ascii="仿宋" w:hAnsi="仿宋" w:eastAsia="仿宋" w:cs="宋体"/>
          <w:b/>
          <w:color w:val="000000" w:themeColor="text1"/>
          <w:sz w:val="28"/>
          <w:szCs w:val="28"/>
        </w:rPr>
        <w:t>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达州市自然资源和规划局</w:t>
      </w:r>
      <w:r>
        <w:rPr>
          <w:rFonts w:hint="eastAsia" w:ascii="宋体" w:hAnsi="宋体"/>
          <w:color w:val="000000" w:themeColor="text1"/>
          <w:sz w:val="28"/>
          <w:szCs w:val="28"/>
        </w:rPr>
        <w:t>决定拍卖出让</w:t>
      </w:r>
      <w:r>
        <w:rPr>
          <w:rFonts w:hint="eastAsia" w:ascii="宋体" w:hAnsi="宋体"/>
          <w:color w:val="000000" w:themeColor="text1"/>
          <w:sz w:val="28"/>
          <w:szCs w:val="28"/>
          <w:u w:val="single"/>
          <w:lang w:val="en-US" w:eastAsia="zh-CN"/>
        </w:rPr>
        <w:t>马踏洞片区中心服务区07-03b</w:t>
      </w:r>
      <w:r>
        <w:rPr>
          <w:rFonts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达州市自然资源和规划局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（一）地块位置：马踏洞片区中心服务区（天</w:t>
      </w:r>
      <w:r>
        <w:rPr>
          <w:rFonts w:hint="eastAsia" w:ascii="宋体" w:hAnsi="宋体"/>
          <w:color w:val="000000" w:themeColor="text1"/>
          <w:sz w:val="28"/>
          <w:szCs w:val="28"/>
          <w:lang w:val="en-US" w:eastAsia="zh-CN"/>
        </w:rPr>
        <w:t>立</w:t>
      </w:r>
      <w:r>
        <w:rPr>
          <w:rFonts w:hint="eastAsia" w:ascii="宋体" w:hAnsi="宋体"/>
          <w:color w:val="000000" w:themeColor="text1"/>
          <w:sz w:val="28"/>
          <w:szCs w:val="28"/>
        </w:rPr>
        <w:t>学校北侧）；</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（二）地块范围：详见《</w:t>
      </w:r>
      <w:r>
        <w:rPr>
          <w:rFonts w:hint="eastAsia" w:ascii="宋体" w:hAnsi="宋体"/>
          <w:color w:val="000000" w:themeColor="text1"/>
          <w:sz w:val="28"/>
          <w:szCs w:val="28"/>
          <w:lang w:val="en-US" w:eastAsia="zh-CN"/>
        </w:rPr>
        <w:t>马踏洞片区中心服务区07-03b</w:t>
      </w:r>
      <w:r>
        <w:rPr>
          <w:rFonts w:hint="eastAsia" w:ascii="宋体" w:hAnsi="宋体"/>
          <w:color w:val="000000" w:themeColor="text1"/>
          <w:sz w:val="28"/>
          <w:szCs w:val="28"/>
        </w:rPr>
        <w:t>地块</w:t>
      </w:r>
      <w:r>
        <w:rPr>
          <w:rFonts w:hint="eastAsia" w:ascii="宋体" w:hAnsi="宋体"/>
          <w:color w:val="000000" w:themeColor="text1"/>
          <w:sz w:val="28"/>
          <w:szCs w:val="28"/>
          <w:lang w:val="en-US" w:eastAsia="zh-CN"/>
        </w:rPr>
        <w:t>建设用地勘界图</w:t>
      </w:r>
      <w:r>
        <w:rPr>
          <w:rFonts w:hint="eastAsia" w:ascii="宋体" w:hAnsi="宋体"/>
          <w:color w:val="000000" w:themeColor="text1"/>
          <w:sz w:val="28"/>
          <w:szCs w:val="28"/>
        </w:rPr>
        <w:t>》</w:t>
      </w:r>
      <w:r>
        <w:rPr>
          <w:rFonts w:ascii="宋体" w:hAnsi="宋体"/>
          <w:color w:val="000000" w:themeColor="text1"/>
          <w:sz w:val="28"/>
          <w:szCs w:val="28"/>
        </w:rPr>
        <w:t>；</w:t>
      </w:r>
    </w:p>
    <w:p>
      <w:pPr>
        <w:snapToGrid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（三）出让面积：</w:t>
      </w:r>
      <w:r>
        <w:rPr>
          <w:rFonts w:hint="eastAsia" w:ascii="宋体" w:hAnsi="宋体"/>
          <w:color w:val="000000" w:themeColor="text1"/>
          <w:sz w:val="28"/>
          <w:szCs w:val="28"/>
          <w:lang w:val="en-US" w:eastAsia="zh-CN"/>
        </w:rPr>
        <w:t>48952平方米（折合73.43亩）</w:t>
      </w:r>
      <w:r>
        <w:rPr>
          <w:rFonts w:hint="eastAsia" w:ascii="宋体" w:hAnsi="宋体"/>
          <w:color w:val="000000" w:themeColor="text1"/>
          <w:sz w:val="28"/>
          <w:szCs w:val="28"/>
        </w:rPr>
        <w:t>；</w:t>
      </w:r>
    </w:p>
    <w:p>
      <w:pPr>
        <w:pStyle w:val="25"/>
        <w:spacing w:line="600" w:lineRule="exact"/>
        <w:ind w:left="701" w:leftChars="267" w:hanging="140" w:hangingChars="50"/>
        <w:outlineLvl w:val="0"/>
        <w:rPr>
          <w:rFonts w:ascii="宋体" w:hAnsi="宋体"/>
          <w:color w:val="000000" w:themeColor="text1"/>
          <w:kern w:val="2"/>
          <w:sz w:val="28"/>
          <w:szCs w:val="28"/>
        </w:rPr>
      </w:pPr>
      <w:r>
        <w:rPr>
          <w:rFonts w:hint="eastAsia" w:ascii="宋体" w:hAnsi="宋体"/>
          <w:color w:val="000000" w:themeColor="text1"/>
          <w:kern w:val="2"/>
          <w:sz w:val="28"/>
          <w:szCs w:val="28"/>
        </w:rPr>
        <w:t>（四）土地用途：</w:t>
      </w:r>
      <w:r>
        <w:rPr>
          <w:rFonts w:ascii="宋体" w:hAnsi="宋体"/>
          <w:color w:val="000000" w:themeColor="text1"/>
          <w:kern w:val="2"/>
          <w:sz w:val="28"/>
          <w:szCs w:val="28"/>
        </w:rPr>
        <w:t>二类居住用地（用地用海分类为二类城镇住宅用</w:t>
      </w:r>
    </w:p>
    <w:p>
      <w:pPr>
        <w:pStyle w:val="25"/>
        <w:spacing w:line="600" w:lineRule="exact"/>
        <w:ind w:left="701" w:leftChars="267" w:hanging="140" w:hangingChars="50"/>
        <w:outlineLvl w:val="0"/>
        <w:rPr>
          <w:rFonts w:ascii="宋体" w:hAnsi="宋体"/>
          <w:color w:val="000000" w:themeColor="text1"/>
          <w:kern w:val="2"/>
          <w:sz w:val="28"/>
          <w:szCs w:val="28"/>
        </w:rPr>
      </w:pPr>
      <w:r>
        <w:rPr>
          <w:rFonts w:ascii="宋体" w:hAnsi="宋体"/>
          <w:color w:val="000000" w:themeColor="text1"/>
          <w:kern w:val="2"/>
          <w:sz w:val="28"/>
          <w:szCs w:val="28"/>
        </w:rPr>
        <w:t>地）</w:t>
      </w:r>
      <w:r>
        <w:rPr>
          <w:rFonts w:hint="eastAsia" w:ascii="宋体" w:hAnsi="宋体"/>
          <w:color w:val="000000" w:themeColor="text1"/>
          <w:kern w:val="2"/>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（五）出让年限：</w:t>
      </w:r>
      <w:r>
        <w:rPr>
          <w:rFonts w:ascii="宋体" w:hAnsi="宋体"/>
          <w:color w:val="000000" w:themeColor="text1"/>
          <w:sz w:val="28"/>
          <w:szCs w:val="28"/>
        </w:rPr>
        <w:t>商业</w:t>
      </w:r>
      <w:r>
        <w:rPr>
          <w:rFonts w:hint="eastAsia" w:ascii="宋体" w:hAnsi="宋体"/>
          <w:color w:val="000000" w:themeColor="text1"/>
          <w:sz w:val="28"/>
          <w:szCs w:val="28"/>
          <w:u w:val="none"/>
          <w:lang w:val="en-US" w:eastAsia="zh-CN"/>
        </w:rPr>
        <w:t>40</w:t>
      </w:r>
      <w:r>
        <w:rPr>
          <w:rFonts w:ascii="宋体" w:hAnsi="宋体"/>
          <w:color w:val="000000" w:themeColor="text1"/>
          <w:sz w:val="28"/>
          <w:szCs w:val="28"/>
          <w:u w:val="none"/>
        </w:rPr>
        <w:t>年，住宅</w:t>
      </w:r>
      <w:r>
        <w:rPr>
          <w:rFonts w:hint="eastAsia" w:ascii="宋体" w:hAnsi="宋体"/>
          <w:color w:val="000000" w:themeColor="text1"/>
          <w:sz w:val="28"/>
          <w:szCs w:val="28"/>
          <w:u w:val="none"/>
          <w:lang w:val="en-US" w:eastAsia="zh-CN"/>
        </w:rPr>
        <w:t>70</w:t>
      </w:r>
      <w:r>
        <w:rPr>
          <w:rFonts w:ascii="宋体" w:hAnsi="宋体"/>
          <w:color w:val="000000" w:themeColor="text1"/>
          <w:sz w:val="28"/>
          <w:szCs w:val="28"/>
        </w:rPr>
        <w:t>年</w:t>
      </w:r>
      <w:r>
        <w:rPr>
          <w:rFonts w:hint="eastAsia" w:ascii="宋体" w:hAnsi="宋体"/>
          <w:color w:val="000000" w:themeColor="text1"/>
          <w:sz w:val="28"/>
          <w:szCs w:val="28"/>
        </w:rPr>
        <w:t>；</w:t>
      </w:r>
    </w:p>
    <w:p>
      <w:pPr>
        <w:spacing w:line="6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（六）规划条件：详见《</w:t>
      </w:r>
      <w:r>
        <w:rPr>
          <w:rFonts w:hint="eastAsia" w:ascii="宋体" w:hAnsi="宋体"/>
          <w:color w:val="000000" w:themeColor="text1"/>
          <w:sz w:val="28"/>
          <w:szCs w:val="28"/>
          <w:lang w:val="en-US" w:eastAsia="zh-CN"/>
        </w:rPr>
        <w:t>马踏洞片区中心服务区07-03b</w:t>
      </w:r>
      <w:r>
        <w:rPr>
          <w:rFonts w:ascii="宋体" w:hAnsi="宋体"/>
          <w:color w:val="000000" w:themeColor="text1"/>
          <w:sz w:val="28"/>
          <w:szCs w:val="28"/>
        </w:rPr>
        <w:t>地块</w:t>
      </w:r>
      <w:r>
        <w:rPr>
          <w:rFonts w:hint="eastAsia" w:ascii="宋体" w:hAnsi="宋体"/>
          <w:color w:val="000000" w:themeColor="text1"/>
          <w:sz w:val="28"/>
          <w:szCs w:val="28"/>
        </w:rPr>
        <w:t>规划条件》；</w:t>
      </w:r>
    </w:p>
    <w:p>
      <w:pPr>
        <w:spacing w:line="6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七</w:t>
      </w:r>
      <w:r>
        <w:rPr>
          <w:rFonts w:hint="eastAsia" w:ascii="宋体" w:hAnsi="宋体"/>
          <w:color w:val="000000" w:themeColor="text1"/>
          <w:sz w:val="28"/>
          <w:szCs w:val="28"/>
          <w:lang w:eastAsia="zh-CN"/>
        </w:rPr>
        <w:t>）</w:t>
      </w:r>
      <w:r>
        <w:rPr>
          <w:rFonts w:hint="eastAsia" w:ascii="宋体" w:hAnsi="宋体"/>
          <w:color w:val="000000" w:themeColor="text1"/>
          <w:sz w:val="28"/>
          <w:szCs w:val="28"/>
        </w:rPr>
        <w:t>该地块可配建不大于计容总建筑面积 10%的商业服务用房， 设 计方案中商业、居住须分离布局 （且商业用房在设计方案中应设置 商业专用烟道） ，其临规划主干道的建筑外立面应作公建化设计。</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val="en-US" w:eastAsia="zh-CN"/>
        </w:rPr>
        <w:t>八</w:t>
      </w:r>
      <w:r>
        <w:rPr>
          <w:rFonts w:hint="eastAsia" w:ascii="宋体" w:hAnsi="宋体"/>
          <w:color w:val="000000" w:themeColor="text1"/>
          <w:sz w:val="28"/>
          <w:szCs w:val="28"/>
        </w:rPr>
        <w:t>）</w:t>
      </w:r>
      <w:r>
        <w:rPr>
          <w:rFonts w:ascii="宋体" w:hAnsi="宋体"/>
          <w:color w:val="000000" w:themeColor="text1"/>
          <w:sz w:val="28"/>
          <w:szCs w:val="28"/>
        </w:rPr>
        <w:t>配套服务设施：</w:t>
      </w:r>
    </w:p>
    <w:p>
      <w:pPr>
        <w:spacing w:line="600" w:lineRule="exact"/>
        <w:ind w:firstLine="560" w:firstLineChars="200"/>
        <w:rPr>
          <w:rFonts w:hint="eastAsia" w:ascii="宋体" w:hAnsi="宋体"/>
          <w:color w:val="000000" w:themeColor="text1"/>
          <w:sz w:val="28"/>
          <w:szCs w:val="28"/>
          <w:lang w:eastAsia="zh-CN"/>
        </w:rPr>
      </w:pPr>
      <w:r>
        <w:rPr>
          <w:rFonts w:hint="eastAsia" w:ascii="宋体" w:hAnsi="宋体"/>
          <w:color w:val="000000" w:themeColor="text1"/>
          <w:sz w:val="28"/>
          <w:szCs w:val="28"/>
        </w:rPr>
        <w:t xml:space="preserve"> 公厕（建筑面积不小于60㎡，建成后含不动产权无偿移交环卫部门）。卫生站（建筑面积不小于300㎡ ）、小区级党委支部工作站（建筑面积不小于20㎡）。 根据《达州市人民政府办公室关于印发达州市中心城区新建住宅小区配套建设社区综合服务设施实施办法的通知》（达市府办〔 2018〕57 号） 精神上述社区综合服务设施应无偿配建，其建筑面积不计入项目容积率</w:t>
      </w:r>
      <w:r>
        <w:rPr>
          <w:rFonts w:hint="eastAsia" w:ascii="宋体" w:hAnsi="宋体"/>
          <w:color w:val="000000" w:themeColor="text1"/>
          <w:sz w:val="28"/>
          <w:szCs w:val="28"/>
          <w:lang w:eastAsia="zh-CN"/>
        </w:rPr>
        <w:t>，</w:t>
      </w:r>
      <w:r>
        <w:rPr>
          <w:rFonts w:hint="eastAsia" w:ascii="宋体" w:hAnsi="宋体"/>
          <w:color w:val="000000" w:themeColor="text1"/>
          <w:sz w:val="28"/>
          <w:szCs w:val="28"/>
        </w:rPr>
        <w:t>不动产权和使用权归地方政府。</w:t>
      </w:r>
    </w:p>
    <w:p>
      <w:pPr>
        <w:spacing w:before="89" w:line="262" w:lineRule="auto"/>
        <w:ind w:left="34" w:right="15" w:firstLine="425"/>
        <w:rPr>
          <w:rFonts w:hint="eastAsia" w:ascii="宋体" w:hAnsi="宋体"/>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val="en-US" w:eastAsia="zh-CN"/>
        </w:rPr>
        <w:t>九</w:t>
      </w:r>
      <w:r>
        <w:rPr>
          <w:rFonts w:hint="eastAsia" w:ascii="宋体" w:hAnsi="宋体"/>
          <w:color w:val="000000" w:themeColor="text1"/>
          <w:sz w:val="28"/>
          <w:szCs w:val="28"/>
        </w:rPr>
        <w:t>）其他规划要求：项目排水实行雨污分流，生活污水须接入市政污水管网排放，项目建成后因市政原因导致生活污水暂不能接入市政污水管网排放的，建设单位须同步配套临时污水处理设施，确保生活污水处理 达标后排放；市政管网接通后，建设单位必须将生产、生活污水接 入市政管网排放。地块内建筑间距、退用地界线距离、退规划道路红线距离、退规划绿带距离、停车泊位等应满足《城市居住区规划设计标准》 （GB50180-2018）、《达州市国土空间规划管理技术规定（2021 版）》</w:t>
      </w:r>
      <w:r>
        <w:rPr>
          <w:rFonts w:hint="eastAsia" w:ascii="宋体" w:hAnsi="宋体"/>
          <w:color w:val="000000" w:themeColor="text1"/>
          <w:sz w:val="28"/>
          <w:szCs w:val="28"/>
          <w:lang w:eastAsia="zh-CN"/>
        </w:rPr>
        <w:t>、</w:t>
      </w:r>
      <w:r>
        <w:rPr>
          <w:rFonts w:hint="eastAsia" w:ascii="宋体" w:hAnsi="宋体"/>
          <w:color w:val="000000" w:themeColor="text1"/>
          <w:sz w:val="28"/>
          <w:szCs w:val="28"/>
        </w:rPr>
        <w:t>《达州市马踏洞中心服务区控制性详细规划》（维护与修改方案）等相关规定。</w:t>
      </w:r>
    </w:p>
    <w:p>
      <w:pPr>
        <w:spacing w:line="600" w:lineRule="exact"/>
        <w:ind w:firstLine="560" w:firstLineChars="200"/>
        <w:rPr>
          <w:rFonts w:asciiTheme="minorEastAsia" w:hAnsiTheme="minorEastAsia" w:eastAsiaTheme="minorEastAsia"/>
          <w:b/>
          <w:sz w:val="28"/>
          <w:szCs w:val="28"/>
          <w:u w:val="single"/>
        </w:rPr>
      </w:pP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十</w:t>
      </w:r>
      <w:r>
        <w:rPr>
          <w:rFonts w:hint="eastAsia" w:asciiTheme="minorEastAsia" w:hAnsiTheme="minorEastAsia" w:eastAsiaTheme="minorEastAsia"/>
          <w:sz w:val="28"/>
          <w:szCs w:val="28"/>
        </w:rPr>
        <w:t>）本宗地实行现状出让：</w:t>
      </w:r>
      <w:r>
        <w:rPr>
          <w:rFonts w:hint="eastAsia" w:cs="宋体" w:asciiTheme="minorEastAsia" w:hAnsiTheme="minorEastAsia" w:eastAsiaTheme="minorEastAsia"/>
          <w:b/>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hint="eastAsia" w:asciiTheme="minorEastAsia" w:hAnsiTheme="minorEastAsia" w:eastAsiaTheme="minorEastAsia"/>
          <w:color w:val="000000" w:themeColor="text1"/>
          <w:sz w:val="28"/>
          <w:szCs w:val="28"/>
          <w:lang w:val="en-US" w:eastAsia="zh-CN"/>
        </w:rPr>
        <w:t>一</w:t>
      </w:r>
      <w:r>
        <w:rPr>
          <w:rFonts w:hint="eastAsia" w:asciiTheme="minorEastAsia" w:hAnsiTheme="minorEastAsia" w:eastAsiaTheme="minorEastAsia"/>
          <w:color w:val="000000" w:themeColor="text1"/>
          <w:sz w:val="28"/>
          <w:szCs w:val="28"/>
        </w:rPr>
        <w:t>）动工及竣工期限：</w:t>
      </w:r>
      <w:r>
        <w:rPr>
          <w:rFonts w:hint="eastAsia" w:asciiTheme="minorEastAsia" w:hAnsiTheme="minorEastAsia" w:eastAsiaTheme="minorEastAsia"/>
          <w:b/>
          <w:color w:val="000000" w:themeColor="text1"/>
          <w:sz w:val="28"/>
          <w:szCs w:val="28"/>
        </w:rPr>
        <w:t>受让人须自交地之日起 1 年内开工，自开工之日起 3 年内建成；受让人不能按期开工，须提前30 日向出让人提出延建申请，经出让人同意延建的，其项目竣工时间相应顺延，但延建期限不得超过一年。</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hint="eastAsia" w:asciiTheme="minorEastAsia" w:hAnsiTheme="minorEastAsia" w:eastAsiaTheme="minorEastAsia"/>
          <w:color w:val="000000" w:themeColor="text1"/>
          <w:sz w:val="28"/>
          <w:szCs w:val="28"/>
          <w:lang w:val="en-US" w:eastAsia="zh-CN"/>
        </w:rPr>
        <w:t>二</w:t>
      </w:r>
      <w:r>
        <w:rPr>
          <w:rFonts w:hint="eastAsia" w:asciiTheme="minorEastAsia" w:hAnsiTheme="minorEastAsia" w:eastAsiaTheme="minorEastAsia"/>
          <w:color w:val="000000" w:themeColor="text1"/>
          <w:sz w:val="28"/>
          <w:szCs w:val="28"/>
        </w:rPr>
        <w:t>）土地竞得人须严格按照</w:t>
      </w:r>
      <w:r>
        <w:rPr>
          <w:rFonts w:hint="eastAsia" w:ascii="宋体" w:hAnsi="宋体"/>
          <w:color w:val="000000" w:themeColor="text1"/>
          <w:sz w:val="28"/>
          <w:szCs w:val="28"/>
          <w:lang w:val="en-US" w:eastAsia="zh-CN"/>
        </w:rPr>
        <w:t>马</w:t>
      </w:r>
      <w:r>
        <w:rPr>
          <w:rFonts w:hint="eastAsia" w:asciiTheme="minorEastAsia" w:hAnsiTheme="minorEastAsia" w:eastAsiaTheme="minorEastAsia"/>
          <w:color w:val="000000" w:themeColor="text1"/>
          <w:sz w:val="28"/>
          <w:szCs w:val="28"/>
          <w:lang w:val="en-US" w:eastAsia="zh-CN"/>
        </w:rPr>
        <w:t>踏洞片区中心服务区07-03b</w:t>
      </w:r>
      <w:r>
        <w:rPr>
          <w:rFonts w:hint="eastAsia" w:asciiTheme="minorEastAsia" w:hAnsiTheme="minorEastAsia" w:eastAsiaTheme="minorEastAsia"/>
          <w:color w:val="000000" w:themeColor="text1"/>
          <w:sz w:val="28"/>
          <w:szCs w:val="28"/>
        </w:rPr>
        <w:t>地块规划条件及要求进行开发利用；严格按照地质灾害防治的相关要求，落实地质灾害防治措施；严格按照生态环境保护的相关要求，开展环境影响评价，全面落实生态环境保护措施。</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四、竞买资格及要求</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(一)竞买资格</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2.在达州市内有下列情形之一的，不得申请参与本次拍卖活动。</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①逾期不签成交确认书、土地出让合同的；</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②欠缴土地出让价款的；</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③因企业原因闲置土地一年以上，且尚未完成查处整改的单位和个</w:t>
      </w:r>
      <w:r>
        <w:rPr>
          <w:rFonts w:hint="eastAsia" w:cs="宋体" w:asciiTheme="minorEastAsia" w:hAnsiTheme="minorEastAsia" w:eastAsiaTheme="minorEastAsia"/>
          <w:color w:val="000000" w:themeColor="text1"/>
          <w:sz w:val="28"/>
          <w:szCs w:val="28"/>
        </w:rPr>
        <w:t>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（二）要求</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cs="仿宋_GB2312" w:asciiTheme="minorEastAsia" w:hAnsiTheme="minorEastAsia" w:eastAsiaTheme="minorEastAsia"/>
          <w:b/>
          <w:color w:val="000000" w:themeColor="text1"/>
          <w:sz w:val="28"/>
          <w:szCs w:val="28"/>
          <w:u w:val="single"/>
        </w:rPr>
        <w:t xml:space="preserve">0818-2377534  </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拍卖人电话0818-3333699）。</w:t>
      </w:r>
    </w:p>
    <w:p>
      <w:pPr>
        <w:pStyle w:val="11"/>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3.土地所在辖区外的竞买申请人须承诺，若竞得土地使用权后，必须在</w:t>
      </w:r>
      <w:r>
        <w:rPr>
          <w:rFonts w:hint="eastAsia" w:cs="Times New Roman" w:asciiTheme="minorEastAsia" w:hAnsiTheme="minorEastAsia" w:eastAsiaTheme="minorEastAsia"/>
          <w:color w:val="FF0000"/>
          <w:kern w:val="2"/>
          <w:sz w:val="28"/>
          <w:szCs w:val="28"/>
        </w:rPr>
        <w:t>土地所在辖区</w:t>
      </w:r>
      <w:r>
        <w:rPr>
          <w:rFonts w:hint="eastAsia" w:cs="Times New Roman" w:asciiTheme="minorEastAsia" w:hAnsiTheme="minorEastAsia" w:eastAsiaTheme="minorEastAsia"/>
          <w:color w:val="000000" w:themeColor="text1"/>
          <w:kern w:val="2"/>
          <w:sz w:val="28"/>
          <w:szCs w:val="28"/>
        </w:rPr>
        <w:t>成立一家新公司对竞得土地进行开发建设。</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五、申请和资格审查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（一）拍卖文件取得</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竞买申请人可于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w:t>
      </w:r>
      <w:r>
        <w:rPr>
          <w:rFonts w:hint="eastAsia" w:cs="宋体" w:asciiTheme="minorEastAsia" w:hAnsiTheme="minorEastAsia" w:eastAsiaTheme="minorEastAsia"/>
          <w:b/>
          <w:color w:val="000000" w:themeColor="text1"/>
          <w:sz w:val="28"/>
          <w:szCs w:val="28"/>
          <w:u w:val="single"/>
          <w:lang w:val="en-US" w:eastAsia="zh-CN"/>
        </w:rPr>
        <w:t>2</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1年12月</w:t>
      </w:r>
      <w:r>
        <w:rPr>
          <w:rFonts w:hint="eastAsia" w:cs="宋体" w:asciiTheme="minorEastAsia" w:hAnsiTheme="minorEastAsia" w:eastAsiaTheme="minorEastAsia"/>
          <w:b/>
          <w:color w:val="000000" w:themeColor="text1"/>
          <w:sz w:val="28"/>
          <w:szCs w:val="28"/>
          <w:u w:val="single"/>
          <w:lang w:val="en-US" w:eastAsia="zh-CN"/>
        </w:rPr>
        <w:t>23</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17:00</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kern w:val="2"/>
          <w:sz w:val="28"/>
          <w:szCs w:val="28"/>
        </w:rPr>
        <w:t>http://www.dzggzy.cn</w:t>
      </w:r>
      <w:r>
        <w:rPr>
          <w:rFonts w:hint="eastAsia" w:asciiTheme="minorEastAsia" w:hAnsiTheme="minorEastAsia" w:eastAsiaTheme="minorEastAsia"/>
          <w:color w:val="000000" w:themeColor="text1"/>
          <w:kern w:val="2"/>
          <w:sz w:val="28"/>
          <w:szCs w:val="28"/>
        </w:rPr>
        <w:fldChar w:fldCharType="end"/>
      </w:r>
      <w:r>
        <w:rPr>
          <w:rFonts w:hint="eastAsia" w:asciiTheme="minorEastAsia" w:hAnsiTheme="minorEastAsia" w:eastAsiaTheme="minorEastAsia"/>
          <w:color w:val="000000" w:themeColor="text1"/>
          <w:kern w:val="2"/>
          <w:sz w:val="28"/>
          <w:szCs w:val="28"/>
        </w:rPr>
        <w:t>）获取拍卖出让文件。</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（二）提交申请文件</w:t>
      </w:r>
    </w:p>
    <w:p>
      <w:pPr>
        <w:spacing w:line="600" w:lineRule="exact"/>
        <w:ind w:firstLine="560" w:firstLineChars="200"/>
        <w:rPr>
          <w:rFonts w:hint="eastAsia"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竞买申请人应于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w:t>
      </w:r>
      <w:r>
        <w:rPr>
          <w:rFonts w:hint="eastAsia" w:cs="宋体" w:asciiTheme="minorEastAsia" w:hAnsiTheme="minorEastAsia" w:eastAsiaTheme="minorEastAsia"/>
          <w:b/>
          <w:color w:val="000000" w:themeColor="text1"/>
          <w:sz w:val="28"/>
          <w:szCs w:val="28"/>
          <w:u w:val="single"/>
          <w:lang w:val="en-US" w:eastAsia="zh-CN"/>
        </w:rPr>
        <w:t>2</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1年12月</w:t>
      </w:r>
      <w:r>
        <w:rPr>
          <w:rFonts w:hint="eastAsia" w:cs="宋体" w:asciiTheme="minorEastAsia" w:hAnsiTheme="minorEastAsia" w:eastAsiaTheme="minorEastAsia"/>
          <w:b/>
          <w:color w:val="000000" w:themeColor="text1"/>
          <w:sz w:val="28"/>
          <w:szCs w:val="28"/>
          <w:u w:val="single"/>
          <w:lang w:val="en-US" w:eastAsia="zh-CN"/>
        </w:rPr>
        <w:t>23</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17:00</w:t>
      </w:r>
      <w:r>
        <w:rPr>
          <w:rFonts w:hint="eastAsia" w:cs="宋体" w:asciiTheme="minorEastAsia" w:hAnsiTheme="minorEastAsia" w:eastAsiaTheme="minorEastAsia"/>
          <w:color w:val="000000" w:themeColor="text1"/>
          <w:sz w:val="28"/>
          <w:szCs w:val="28"/>
        </w:rPr>
        <w:t>止</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sz w:val="28"/>
          <w:szCs w:val="28"/>
        </w:rPr>
        <w:t>http://www.dzggzy.cn</w:t>
      </w:r>
      <w:r>
        <w:rPr>
          <w:rFonts w:hint="eastAsia"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）通过系统上传申请文件扫描件并提交申请。申请文件包括：</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1.法人申请的，应提交下列文件：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（4）法人单位有效证明文件；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（5）法定代表人的有效身份证明文件；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2.自然人申请的，应提交下列文件：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（4）申请人有效身份证明文件；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3.其他组织申请的，应提交下列文件：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（4）表明该组织合法存在的文件或有效证明；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（5）表明该组织负责人身份的有效证明文件；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4.境外申请人申请的，应提交下列文件：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（4）境外法人、自然人、其他组织的有效身份证明文件；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（1）联合申请各方共同签署的申请书；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（2）联合申请各方共同签署的保证金承诺书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（3）联合体各方商业金融机构的资信证明；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（4）联合各方的有效身份证明文件；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已提交申请的竞买申请人须在</w:t>
      </w:r>
      <w:r>
        <w:rPr>
          <w:rFonts w:hint="eastAsia" w:cs="宋体" w:asciiTheme="minorEastAsia" w:hAnsiTheme="minorEastAsia" w:eastAsiaTheme="minorEastAsia"/>
          <w:b/>
          <w:color w:val="000000" w:themeColor="text1"/>
          <w:sz w:val="28"/>
          <w:szCs w:val="28"/>
        </w:rPr>
        <w:t>资格审查当日（</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1年12月2</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w:t>
      </w:r>
      <w:r>
        <w:rPr>
          <w:rFonts w:hint="eastAsia" w:cs="宋体" w:asciiTheme="minorEastAsia" w:hAnsiTheme="minorEastAsia" w:eastAsiaTheme="minorEastAsia"/>
          <w:b/>
          <w:color w:val="000000" w:themeColor="text1"/>
          <w:sz w:val="28"/>
          <w:szCs w:val="28"/>
          <w:u w:val="single"/>
        </w:rPr>
        <w:t>9</w:t>
      </w:r>
      <w:r>
        <w:rPr>
          <w:rFonts w:cs="宋体" w:asciiTheme="minorEastAsia" w:hAnsiTheme="minorEastAsia" w:eastAsiaTheme="minorEastAsia"/>
          <w:b/>
          <w:color w:val="000000" w:themeColor="text1"/>
          <w:sz w:val="28"/>
          <w:szCs w:val="28"/>
          <w:u w:val="single"/>
        </w:rPr>
        <w:t>:</w:t>
      </w:r>
      <w:r>
        <w:rPr>
          <w:rFonts w:hint="eastAsia" w:cs="宋体" w:asciiTheme="minorEastAsia" w:hAnsiTheme="minorEastAsia" w:eastAsiaTheme="minorEastAsia"/>
          <w:b/>
          <w:color w:val="000000" w:themeColor="text1"/>
          <w:sz w:val="28"/>
          <w:szCs w:val="28"/>
          <w:u w:val="single"/>
        </w:rPr>
        <w:t>0</w:t>
      </w:r>
      <w:r>
        <w:rPr>
          <w:rFonts w:cs="宋体" w:asciiTheme="minorEastAsia" w:hAnsiTheme="minorEastAsia" w:eastAsiaTheme="minorEastAsia"/>
          <w:b/>
          <w:color w:val="000000" w:themeColor="text1"/>
          <w:sz w:val="28"/>
          <w:szCs w:val="28"/>
          <w:u w:val="single"/>
        </w:rPr>
        <w:t>0</w:t>
      </w:r>
      <w:r>
        <w:rPr>
          <w:rFonts w:hint="eastAsia" w:asciiTheme="minorEastAsia" w:hAnsiTheme="minorEastAsia" w:eastAsiaTheme="minorEastAsia"/>
          <w:color w:val="000000" w:themeColor="text1"/>
          <w:sz w:val="28"/>
          <w:szCs w:val="28"/>
        </w:rPr>
        <w:t>之前将竞买申请文件原件提交至4B-17，未按时提交原件的视为自行放弃竞买资格。</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1.申请人不具备竞买资格的；</w:t>
      </w:r>
    </w:p>
    <w:p>
      <w:pPr>
        <w:pStyle w:val="25"/>
        <w:widowControl w:val="0"/>
        <w:spacing w:line="600" w:lineRule="exact"/>
        <w:ind w:left="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 xml:space="preserve">    2.未按规定交纳竞买保证金的；</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3.申请文件不齐全或不符合法律法规和出让文件规定的；</w:t>
      </w:r>
    </w:p>
    <w:p>
      <w:pPr>
        <w:pStyle w:val="25"/>
        <w:widowControl w:val="0"/>
        <w:spacing w:line="600" w:lineRule="exact"/>
        <w:ind w:left="0" w:firstLine="57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4.委托他人代理，委托文件不齐全或不符合规定的；</w:t>
      </w:r>
    </w:p>
    <w:p>
      <w:pPr>
        <w:pStyle w:val="25"/>
        <w:widowControl w:val="0"/>
        <w:spacing w:line="600" w:lineRule="exact"/>
        <w:ind w:left="0" w:firstLine="585"/>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5.法律法规规定的其他情形。</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（四）确认竞买人资格</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取得竞买资格的竞买申请人，请在</w:t>
      </w:r>
      <w:r>
        <w:rPr>
          <w:rFonts w:cs="宋体" w:asciiTheme="minorEastAsia" w:hAnsiTheme="minorEastAsia" w:eastAsiaTheme="minorEastAsia"/>
          <w:b/>
          <w:color w:val="000000" w:themeColor="text1"/>
          <w:sz w:val="28"/>
          <w:szCs w:val="28"/>
        </w:rPr>
        <w:t>202</w:t>
      </w:r>
      <w:r>
        <w:rPr>
          <w:rFonts w:hint="eastAsia" w:cs="宋体" w:asciiTheme="minorEastAsia" w:hAnsiTheme="minorEastAsia" w:eastAsiaTheme="minorEastAsia"/>
          <w:b/>
          <w:color w:val="000000" w:themeColor="text1"/>
          <w:sz w:val="28"/>
          <w:szCs w:val="28"/>
        </w:rPr>
        <w:t>1年12月2</w:t>
      </w:r>
      <w:r>
        <w:rPr>
          <w:rFonts w:hint="eastAsia" w:cs="宋体" w:asciiTheme="minorEastAsia" w:hAnsiTheme="minorEastAsia" w:eastAsiaTheme="minorEastAsia"/>
          <w:b/>
          <w:color w:val="000000" w:themeColor="text1"/>
          <w:sz w:val="28"/>
          <w:szCs w:val="28"/>
          <w:lang w:val="en-US" w:eastAsia="zh-CN"/>
        </w:rPr>
        <w:t>4</w:t>
      </w:r>
      <w:r>
        <w:rPr>
          <w:rFonts w:hint="eastAsia" w:cs="宋体" w:asciiTheme="minorEastAsia" w:hAnsiTheme="minorEastAsia" w:eastAsiaTheme="minorEastAsia"/>
          <w:b/>
          <w:color w:val="000000" w:themeColor="text1"/>
          <w:sz w:val="28"/>
          <w:szCs w:val="28"/>
        </w:rPr>
        <w:t>日</w:t>
      </w:r>
      <w:r>
        <w:rPr>
          <w:rFonts w:cs="宋体" w:asciiTheme="minorEastAsia" w:hAnsiTheme="minorEastAsia" w:eastAsiaTheme="minorEastAsia"/>
          <w:b/>
          <w:color w:val="000000" w:themeColor="text1"/>
          <w:sz w:val="28"/>
          <w:szCs w:val="28"/>
          <w:u w:val="single"/>
        </w:rPr>
        <w:t xml:space="preserve"> 1</w:t>
      </w:r>
      <w:r>
        <w:rPr>
          <w:rFonts w:hint="eastAsia" w:cs="宋体" w:asciiTheme="minorEastAsia" w:hAnsiTheme="minorEastAsia" w:eastAsiaTheme="minorEastAsia"/>
          <w:b/>
          <w:color w:val="000000" w:themeColor="text1"/>
          <w:sz w:val="28"/>
          <w:szCs w:val="28"/>
          <w:u w:val="single"/>
          <w:lang w:val="en-US" w:eastAsia="zh-CN"/>
        </w:rPr>
        <w:t>1</w:t>
      </w:r>
      <w:r>
        <w:rPr>
          <w:rFonts w:hint="eastAsia" w:cs="宋体" w:asciiTheme="minorEastAsia" w:hAnsiTheme="minorEastAsia" w:eastAsiaTheme="minorEastAsia"/>
          <w:b/>
          <w:color w:val="000000" w:themeColor="text1"/>
          <w:sz w:val="28"/>
          <w:szCs w:val="28"/>
          <w:u w:val="single"/>
        </w:rPr>
        <w:t>：30前</w:t>
      </w:r>
      <w:r>
        <w:rPr>
          <w:rFonts w:hint="eastAsia" w:asciiTheme="minorEastAsia" w:hAnsiTheme="minorEastAsia"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（五）答疑及现场踏勘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六、本次出让宗地拍卖会时间、地点及拍卖的起叫价、增价幅度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本次拍卖会地点为：达州市公共资源交易中心开标</w:t>
      </w:r>
      <w:r>
        <w:rPr>
          <w:rFonts w:hint="eastAsia" w:asciiTheme="minorEastAsia" w:hAnsiTheme="minorEastAsia" w:eastAsiaTheme="minorEastAsia"/>
          <w:color w:val="FF0000"/>
          <w:sz w:val="28"/>
          <w:szCs w:val="28"/>
          <w:u w:val="single"/>
          <w:lang w:val="en-US" w:eastAsia="zh-CN"/>
        </w:rPr>
        <w:t>五厅</w:t>
      </w:r>
      <w:r>
        <w:rPr>
          <w:rFonts w:hint="eastAsia" w:asciiTheme="minorEastAsia" w:hAnsiTheme="minorEastAsia" w:eastAsiaTheme="minorEastAsia"/>
          <w:color w:val="000000" w:themeColor="text1"/>
          <w:sz w:val="28"/>
          <w:szCs w:val="28"/>
          <w:u w:val="single"/>
        </w:rPr>
        <w:t>举行</w:t>
      </w:r>
      <w:r>
        <w:rPr>
          <w:rFonts w:hint="eastAsia" w:asciiTheme="minorEastAsia" w:hAnsiTheme="minorEastAsia" w:eastAsiaTheme="minorEastAsia"/>
          <w:color w:val="000000" w:themeColor="text1"/>
          <w:sz w:val="28"/>
          <w:szCs w:val="28"/>
        </w:rPr>
        <w:t>。</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本次拍卖会时间为：</w:t>
      </w:r>
      <w:r>
        <w:rPr>
          <w:rFonts w:asciiTheme="minorEastAsia" w:hAnsiTheme="minorEastAsia" w:eastAsiaTheme="minorEastAsia"/>
          <w:b/>
          <w:color w:val="000000" w:themeColor="text1"/>
          <w:sz w:val="28"/>
          <w:szCs w:val="28"/>
          <w:u w:val="single"/>
        </w:rPr>
        <w:t>202</w:t>
      </w:r>
      <w:r>
        <w:rPr>
          <w:rFonts w:hint="eastAsia" w:asciiTheme="minorEastAsia" w:hAnsiTheme="minorEastAsia" w:eastAsiaTheme="minorEastAsia"/>
          <w:b/>
          <w:color w:val="000000" w:themeColor="text1"/>
          <w:sz w:val="28"/>
          <w:szCs w:val="28"/>
          <w:u w:val="single"/>
        </w:rPr>
        <w:t>1年12月2</w:t>
      </w:r>
      <w:r>
        <w:rPr>
          <w:rFonts w:hint="eastAsia" w:asciiTheme="minorEastAsia" w:hAnsiTheme="minorEastAsia" w:eastAsiaTheme="minorEastAsia"/>
          <w:b/>
          <w:color w:val="000000" w:themeColor="text1"/>
          <w:sz w:val="28"/>
          <w:szCs w:val="28"/>
          <w:u w:val="single"/>
          <w:lang w:val="en-US" w:eastAsia="zh-CN"/>
        </w:rPr>
        <w:t>4</w:t>
      </w:r>
      <w:r>
        <w:rPr>
          <w:rFonts w:hint="eastAsia" w:asciiTheme="minorEastAsia" w:hAnsiTheme="minorEastAsia" w:eastAsiaTheme="minorEastAsia"/>
          <w:b/>
          <w:color w:val="000000" w:themeColor="text1"/>
          <w:sz w:val="28"/>
          <w:szCs w:val="28"/>
          <w:u w:val="single"/>
        </w:rPr>
        <w:t>日上午</w:t>
      </w:r>
      <w:r>
        <w:rPr>
          <w:rFonts w:asciiTheme="minorEastAsia" w:hAnsiTheme="minorEastAsia" w:eastAsiaTheme="minorEastAsia"/>
          <w:b/>
          <w:color w:val="000000" w:themeColor="text1"/>
          <w:sz w:val="28"/>
          <w:szCs w:val="28"/>
          <w:u w:val="single"/>
        </w:rPr>
        <w:t>1</w:t>
      </w:r>
      <w:r>
        <w:rPr>
          <w:rFonts w:hint="eastAsia" w:asciiTheme="minorEastAsia" w:hAnsiTheme="minorEastAsia" w:eastAsiaTheme="minorEastAsia"/>
          <w:b/>
          <w:color w:val="000000" w:themeColor="text1"/>
          <w:sz w:val="28"/>
          <w:szCs w:val="28"/>
          <w:u w:val="single"/>
          <w:lang w:val="en-US" w:eastAsia="zh-CN"/>
        </w:rPr>
        <w:t>1</w:t>
      </w:r>
      <w:r>
        <w:rPr>
          <w:rFonts w:hint="eastAsia" w:asciiTheme="minorEastAsia" w:hAnsiTheme="minorEastAsia" w:eastAsiaTheme="minorEastAsia"/>
          <w:b/>
          <w:color w:val="000000" w:themeColor="text1"/>
          <w:sz w:val="28"/>
          <w:szCs w:val="28"/>
          <w:u w:val="single"/>
        </w:rPr>
        <w:t>：30</w:t>
      </w:r>
      <w:r>
        <w:rPr>
          <w:rFonts w:hint="eastAsia" w:asciiTheme="minorEastAsia" w:hAnsiTheme="minorEastAsia" w:eastAsiaTheme="minorEastAsia"/>
          <w:color w:val="000000" w:themeColor="text1"/>
          <w:sz w:val="28"/>
          <w:szCs w:val="28"/>
        </w:rPr>
        <w:t>（拍卖会时间可能因资格审查而延迟）。</w:t>
      </w:r>
    </w:p>
    <w:p>
      <w:pPr>
        <w:snapToGrid w:val="0"/>
        <w:spacing w:line="600" w:lineRule="exact"/>
        <w:ind w:firstLine="555"/>
        <w:rPr>
          <w:rFonts w:hint="eastAsia"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本次拍卖起叫价</w:t>
      </w:r>
      <w:r>
        <w:rPr>
          <w:rFonts w:hint="eastAsia" w:asciiTheme="minorEastAsia" w:hAnsiTheme="minorEastAsia" w:eastAsiaTheme="minorEastAsia"/>
          <w:color w:val="000000" w:themeColor="text1"/>
          <w:sz w:val="28"/>
          <w:szCs w:val="28"/>
          <w:lang w:val="en-US" w:eastAsia="zh-CN"/>
        </w:rPr>
        <w:t>270</w:t>
      </w:r>
      <w:r>
        <w:rPr>
          <w:rFonts w:hint="eastAsia" w:asciiTheme="minorEastAsia" w:hAnsiTheme="minorEastAsia" w:eastAsiaTheme="minorEastAsia"/>
          <w:color w:val="000000" w:themeColor="text1"/>
          <w:sz w:val="28"/>
          <w:szCs w:val="28"/>
        </w:rPr>
        <w:t>万元/亩,增价幅度为5万元/亩或5万元/亩的整倍数。成交总地价=拍卖成交最高亩价×出让面积</w:t>
      </w:r>
      <w:r>
        <w:rPr>
          <w:rFonts w:hint="eastAsia" w:asciiTheme="minorEastAsia" w:hAnsiTheme="minorEastAsia" w:eastAsiaTheme="minorEastAsia"/>
          <w:color w:val="000000" w:themeColor="text1"/>
          <w:sz w:val="28"/>
          <w:szCs w:val="28"/>
          <w:lang w:val="en-US" w:eastAsia="zh-CN"/>
        </w:rPr>
        <w:t>73.43</w:t>
      </w:r>
      <w:r>
        <w:rPr>
          <w:rFonts w:hint="eastAsia" w:asciiTheme="minorEastAsia" w:hAnsiTheme="minorEastAsia" w:eastAsiaTheme="minorEastAsia"/>
          <w:color w:val="000000" w:themeColor="text1"/>
          <w:sz w:val="28"/>
          <w:szCs w:val="28"/>
        </w:rPr>
        <w:t>亩。</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七、拍卖程序</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9.现场抽取确定首轮竞价顺序；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10.拍卖主持人报出起叫价，宣布竞价开始；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11.竞买人举牌应价或者报价，首轮竞价完毕后须宣布首轮竞价结束并转为自由竞价；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12.拍卖主持人确认该竞买人应价或者报价后继续竞价；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13.拍卖主持人连续三次宣布同一应价或报价而没有人再应价或报价，拍卖主持人宣布竞价结束（每次的时间间隔不得短于规定时间）；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14.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15.公证员现场致公证词；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16.拍卖主持人主持拍卖人与竞得人在现场签订《成交确认书》。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（四）出让结果公布：</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八、竞价规则</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（二）凡参加拍卖的竞买人必须承认起叫价，即从起叫价(</w:t>
      </w:r>
      <w:r>
        <w:rPr>
          <w:rFonts w:hint="eastAsia" w:asciiTheme="minorEastAsia" w:hAnsiTheme="minorEastAsia" w:eastAsiaTheme="minorEastAsia"/>
          <w:color w:val="000000" w:themeColor="text1"/>
          <w:sz w:val="28"/>
          <w:szCs w:val="28"/>
          <w:lang w:val="en-US" w:eastAsia="zh-CN"/>
        </w:rPr>
        <w:t>270</w:t>
      </w:r>
      <w:r>
        <w:rPr>
          <w:rFonts w:hint="eastAsia" w:asciiTheme="minorEastAsia" w:hAnsiTheme="minorEastAsia" w:eastAsiaTheme="minorEastAsia"/>
          <w:color w:val="000000" w:themeColor="text1"/>
          <w:sz w:val="28"/>
          <w:szCs w:val="28"/>
        </w:rPr>
        <w:t>万元/亩)＋最低增价幅度(5万元/亩)=</w:t>
      </w:r>
      <w:r>
        <w:rPr>
          <w:rFonts w:hint="eastAsia" w:asciiTheme="minorEastAsia" w:hAnsiTheme="minorEastAsia" w:eastAsiaTheme="minorEastAsia"/>
          <w:color w:val="000000" w:themeColor="text1"/>
          <w:sz w:val="28"/>
          <w:szCs w:val="28"/>
          <w:lang w:val="en-US" w:eastAsia="zh-CN"/>
        </w:rPr>
        <w:t>275</w:t>
      </w:r>
      <w:r>
        <w:rPr>
          <w:rFonts w:hint="eastAsia" w:asciiTheme="minorEastAsia" w:hAnsiTheme="minorEastAsia" w:eastAsiaTheme="minorEastAsia"/>
          <w:color w:val="000000" w:themeColor="text1"/>
          <w:sz w:val="28"/>
          <w:szCs w:val="28"/>
        </w:rPr>
        <w:t>万元/亩的价格确认，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（三）抽签确定事项: 1.竞买人抽签顺序按资格审查合格的竞买人从达州市公共资源交易服务网（http://www.dzggzy.cn）打印的竞买资格确认书中的竞价牌号从小到大依次进行。2.首轮竞价顺序确定事项：资格审查合格的竞买人在拍卖现场按竞买人抽签顺序依次从密封箱内一次性随机抽取乒乓号球，首轮竞价顺序按从小到大顺序排列确定。</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（四）竞买人以举牌方式应价，也可以报价，但报价的加价幅度不得小于拍卖主持人宣布或调整的增价幅度。竞买人一经应价或报价，不可撤回。</w:t>
      </w:r>
    </w:p>
    <w:p>
      <w:pPr>
        <w:snapToGrid w:val="0"/>
        <w:spacing w:line="600" w:lineRule="exact"/>
        <w:ind w:firstLine="555"/>
        <w:rPr>
          <w:rFonts w:asciiTheme="minorEastAsia" w:hAnsiTheme="minorEastAsia" w:eastAsiaTheme="minorEastAsia"/>
          <w:color w:val="000000" w:themeColor="text1"/>
          <w:sz w:val="28"/>
          <w:szCs w:val="28"/>
        </w:rPr>
      </w:pPr>
      <w:r>
        <w:rPr>
          <w:rFonts w:hint="eastAsia" w:eastAsia="仿宋_GB2312"/>
          <w:color w:val="000000" w:themeColor="text1"/>
          <w:sz w:val="32"/>
          <w:szCs w:val="32"/>
        </w:rPr>
        <w:t>（五）若设有政府底价，最后应价未达到底价时，拍卖主持人终止本次拍卖活动，拍卖不成交。</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九、注意事项</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（六）有下列情形之一的，拍卖人应当在拍卖会前终止拍卖活动，并通知竞买人：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 ．竞买人串通损害国家利益、社会利益或他人合法权益的；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 ．拍卖工作人员私下接触竞买人，足以影响拍卖公正性的；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 ．应当依法终止拍卖活动的其他情形。</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1.竞得人逾期或拒绝在现场签订《成交确认书》的；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2.竞得人逾期或拒绝签订《国有建设用地使用权出让合同》的；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3.竞得人逾期支付交易服务费的；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（九）出让合同签订时间及价款支付：</w:t>
      </w:r>
      <w:r>
        <w:rPr>
          <w:rFonts w:asciiTheme="minorEastAsia" w:hAnsiTheme="minorEastAsia" w:eastAsiaTheme="minorEastAsia"/>
          <w:sz w:val="28"/>
          <w:szCs w:val="28"/>
        </w:rPr>
        <w:t>土地拍卖出让成交后须当场签订《成交确认书》</w:t>
      </w:r>
      <w:r>
        <w:rPr>
          <w:rFonts w:hint="eastAsia" w:asciiTheme="minorEastAsia" w:hAnsiTheme="minorEastAsia" w:eastAsiaTheme="minorEastAsia"/>
          <w:sz w:val="28"/>
          <w:szCs w:val="28"/>
        </w:rPr>
        <w:t>，</w:t>
      </w:r>
      <w:r>
        <w:rPr>
          <w:rFonts w:hint="eastAsia" w:asciiTheme="minorEastAsia" w:hAnsiTheme="minorEastAsia" w:eastAsiaTheme="minorEastAsia"/>
          <w:color w:val="000000" w:themeColor="text1"/>
          <w:sz w:val="28"/>
          <w:szCs w:val="28"/>
        </w:rPr>
        <w:t>自成交之日起10个工作日内须签订《国有建设用地使用权出让合同》；</w:t>
      </w:r>
      <w:r>
        <w:rPr>
          <w:rFonts w:asciiTheme="minorEastAsia" w:hAnsiTheme="minorEastAsia" w:eastAsiaTheme="minorEastAsia"/>
          <w:sz w:val="28"/>
          <w:szCs w:val="28"/>
        </w:rPr>
        <w:t>在出让合同签订之日起</w:t>
      </w:r>
      <w:r>
        <w:rPr>
          <w:rFonts w:hint="eastAsia" w:asciiTheme="minorEastAsia" w:hAnsiTheme="minorEastAsia" w:eastAsiaTheme="minorEastAsia"/>
          <w:sz w:val="28"/>
          <w:szCs w:val="28"/>
          <w:lang w:val="en-US" w:eastAsia="zh-CN"/>
        </w:rPr>
        <w:t>1</w:t>
      </w:r>
      <w:r>
        <w:rPr>
          <w:rFonts w:asciiTheme="minorEastAsia" w:hAnsiTheme="minorEastAsia" w:eastAsiaTheme="minorEastAsia"/>
          <w:sz w:val="28"/>
          <w:szCs w:val="28"/>
        </w:rPr>
        <w:t>个月内缴纳拍卖成交价总额50%的首付款，余款在出让合同签订之日起7个月内缴清</w:t>
      </w:r>
      <w:r>
        <w:rPr>
          <w:rFonts w:hint="eastAsia" w:asciiTheme="minorEastAsia" w:hAnsiTheme="minorEastAsia" w:eastAsiaTheme="minorEastAsia"/>
          <w:color w:val="000000" w:themeColor="text1"/>
          <w:sz w:val="28"/>
          <w:szCs w:val="28"/>
        </w:rPr>
        <w:t>。否则，视为违约。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（十)土地交付条件及时间：在</w:t>
      </w:r>
      <w:r>
        <w:rPr>
          <w:rFonts w:hint="eastAsia" w:asciiTheme="minorEastAsia" w:hAnsiTheme="minorEastAsia" w:eastAsiaTheme="minorEastAsia"/>
          <w:color w:val="000000" w:themeColor="text1"/>
          <w:sz w:val="28"/>
          <w:szCs w:val="28"/>
          <w:lang w:val="en-US" w:eastAsia="zh-CN"/>
        </w:rPr>
        <w:t>土地竞得人</w:t>
      </w:r>
      <w:r>
        <w:rPr>
          <w:rFonts w:hint="eastAsia" w:asciiTheme="minorEastAsia" w:hAnsiTheme="minorEastAsia" w:eastAsiaTheme="minorEastAsia"/>
          <w:color w:val="000000" w:themeColor="text1"/>
          <w:sz w:val="28"/>
          <w:szCs w:val="28"/>
        </w:rPr>
        <w:t>缴清全部土地</w:t>
      </w:r>
      <w:r>
        <w:rPr>
          <w:rFonts w:hint="eastAsia" w:asciiTheme="minorEastAsia" w:hAnsiTheme="minorEastAsia" w:eastAsiaTheme="minorEastAsia"/>
          <w:color w:val="000000" w:themeColor="text1"/>
          <w:sz w:val="28"/>
          <w:szCs w:val="28"/>
          <w:lang w:val="en-US" w:eastAsia="zh-CN"/>
        </w:rPr>
        <w:t>出让</w:t>
      </w:r>
      <w:r>
        <w:rPr>
          <w:rFonts w:hint="eastAsia" w:asciiTheme="minorEastAsia" w:hAnsiTheme="minorEastAsia" w:eastAsiaTheme="minorEastAsia"/>
          <w:color w:val="000000" w:themeColor="text1"/>
          <w:sz w:val="28"/>
          <w:szCs w:val="28"/>
        </w:rPr>
        <w:t>价款</w:t>
      </w:r>
      <w:r>
        <w:rPr>
          <w:rFonts w:hint="eastAsia" w:asciiTheme="minorEastAsia" w:hAnsiTheme="minorEastAsia" w:eastAsiaTheme="minorEastAsia"/>
          <w:color w:val="000000" w:themeColor="text1"/>
          <w:sz w:val="28"/>
          <w:szCs w:val="28"/>
          <w:lang w:eastAsia="zh-CN"/>
        </w:rPr>
        <w:t>（</w:t>
      </w:r>
      <w:r>
        <w:rPr>
          <w:rFonts w:hint="eastAsia" w:asciiTheme="minorEastAsia" w:hAnsiTheme="minorEastAsia" w:eastAsiaTheme="minorEastAsia"/>
          <w:color w:val="000000" w:themeColor="text1"/>
          <w:sz w:val="28"/>
          <w:szCs w:val="28"/>
          <w:lang w:val="en-US" w:eastAsia="zh-CN"/>
        </w:rPr>
        <w:t>含滞纳金</w:t>
      </w:r>
      <w:r>
        <w:rPr>
          <w:rFonts w:hint="eastAsia" w:asciiTheme="minorEastAsia" w:hAnsiTheme="minorEastAsia" w:eastAsiaTheme="minorEastAsia"/>
          <w:color w:val="000000" w:themeColor="text1"/>
          <w:sz w:val="28"/>
          <w:szCs w:val="28"/>
          <w:lang w:eastAsia="zh-CN"/>
        </w:rPr>
        <w:t>）</w:t>
      </w:r>
      <w:r>
        <w:rPr>
          <w:rFonts w:hint="eastAsia" w:asciiTheme="minorEastAsia" w:hAnsiTheme="minorEastAsia" w:eastAsiaTheme="minorEastAsia"/>
          <w:color w:val="000000" w:themeColor="text1"/>
          <w:sz w:val="28"/>
          <w:szCs w:val="28"/>
          <w:lang w:val="en-US" w:eastAsia="zh-CN"/>
        </w:rPr>
        <w:t>之日起</w:t>
      </w:r>
      <w:r>
        <w:rPr>
          <w:rFonts w:hint="eastAsia" w:asciiTheme="minorEastAsia" w:hAnsiTheme="minorEastAsia" w:eastAsiaTheme="minorEastAsia"/>
          <w:color w:val="000000" w:themeColor="text1"/>
          <w:sz w:val="28"/>
          <w:szCs w:val="28"/>
        </w:rPr>
        <w:t>30日内，</w:t>
      </w:r>
      <w:r>
        <w:rPr>
          <w:rFonts w:hint="eastAsia" w:cs="宋体" w:asciiTheme="minorEastAsia" w:hAnsiTheme="minorEastAsia" w:eastAsiaTheme="minorEastAsia"/>
          <w:b/>
          <w:color w:val="000000" w:themeColor="text1"/>
          <w:sz w:val="28"/>
          <w:szCs w:val="28"/>
          <w:u w:val="single"/>
        </w:rPr>
        <w:t>达州市自然资源和规划局</w:t>
      </w:r>
      <w:r>
        <w:rPr>
          <w:rFonts w:hint="eastAsia" w:asciiTheme="minorEastAsia" w:hAnsiTheme="minorEastAsia" w:eastAsiaTheme="minorEastAsia"/>
          <w:color w:val="000000" w:themeColor="text1"/>
          <w:sz w:val="28"/>
          <w:szCs w:val="28"/>
          <w:lang w:val="en-US" w:eastAsia="zh-CN"/>
        </w:rPr>
        <w:t>以“净地”（仅指无地上建&lt;构&gt;筑物）、</w:t>
      </w:r>
      <w:r>
        <w:rPr>
          <w:rFonts w:hint="eastAsia" w:asciiTheme="minorEastAsia" w:hAnsiTheme="minorEastAsia" w:eastAsiaTheme="minorEastAsia"/>
          <w:color w:val="000000" w:themeColor="text1"/>
          <w:sz w:val="28"/>
          <w:szCs w:val="28"/>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（十二）拍卖不成交的或成交不签订《成交确认书》的，由</w:t>
      </w:r>
      <w:r>
        <w:rPr>
          <w:rFonts w:hint="eastAsia" w:asciiTheme="minorEastAsia" w:hAnsiTheme="minorEastAsia" w:eastAsiaTheme="minorEastAsia"/>
          <w:color w:val="000000" w:themeColor="text1"/>
          <w:sz w:val="28"/>
          <w:szCs w:val="28"/>
          <w:u w:val="single"/>
        </w:rPr>
        <w:t>达州市公共资源交易服务中心</w:t>
      </w:r>
      <w:r>
        <w:rPr>
          <w:rFonts w:hint="eastAsia" w:asciiTheme="minorEastAsia" w:hAnsiTheme="minorEastAsia" w:eastAsiaTheme="minorEastAsia"/>
          <w:color w:val="000000" w:themeColor="text1"/>
          <w:sz w:val="28"/>
          <w:szCs w:val="28"/>
        </w:rPr>
        <w:t>在2个工作日内书面函告出让人。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hint="eastAsia" w:asciiTheme="minorEastAsia" w:hAnsiTheme="minorEastAsia"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hint="eastAsia" w:ascii="宋体" w:hAnsi="宋体" w:eastAsia="宋体" w:cs="宋体"/>
          <w:kern w:val="0"/>
          <w:sz w:val="24"/>
          <w:lang w:eastAsia="zh-CN"/>
        </w:rPr>
      </w:pPr>
      <w:bookmarkStart w:id="4" w:name="_Toc3391743"/>
      <w:bookmarkStart w:id="5" w:name="_Toc3391972"/>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r>
        <w:rPr>
          <w:rFonts w:hint="eastAsia" w:ascii="宋体" w:hAnsi="宋体" w:eastAsia="宋体" w:cs="宋体"/>
          <w:kern w:val="0"/>
          <w:sz w:val="24"/>
          <w:lang w:eastAsia="zh-CN"/>
        </w:rPr>
        <w:drawing>
          <wp:inline distT="0" distB="0" distL="114300" distR="114300">
            <wp:extent cx="5269865" cy="6819900"/>
            <wp:effectExtent l="0" t="0" r="6985" b="0"/>
            <wp:docPr id="2" name="图片 2" descr="马踏洞片区中心服务区07-03b 地块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马踏洞片区中心服务区07-03b 地块规划条件_00"/>
                    <pic:cNvPicPr>
                      <a:picLocks noChangeAspect="1"/>
                    </pic:cNvPicPr>
                  </pic:nvPicPr>
                  <pic:blipFill>
                    <a:blip r:embed="rId25"/>
                    <a:stretch>
                      <a:fillRect/>
                    </a:stretch>
                  </pic:blipFill>
                  <pic:spPr>
                    <a:xfrm>
                      <a:off x="0" y="0"/>
                      <a:ext cx="5269865" cy="6819900"/>
                    </a:xfrm>
                    <a:prstGeom prst="rect">
                      <a:avLst/>
                    </a:prstGeom>
                  </pic:spPr>
                </pic:pic>
              </a:graphicData>
            </a:graphic>
          </wp:inline>
        </w:drawing>
      </w:r>
      <w:r>
        <w:rPr>
          <w:rFonts w:hint="eastAsia" w:ascii="宋体" w:hAnsi="宋体" w:eastAsia="宋体" w:cs="宋体"/>
          <w:kern w:val="0"/>
          <w:sz w:val="24"/>
          <w:lang w:eastAsia="zh-CN"/>
        </w:rPr>
        <w:drawing>
          <wp:inline distT="0" distB="0" distL="114300" distR="114300">
            <wp:extent cx="5269865" cy="6819900"/>
            <wp:effectExtent l="0" t="0" r="6985" b="0"/>
            <wp:docPr id="1" name="图片 1" descr="马踏洞片区中心服务区07-03b 地块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马踏洞片区中心服务区07-03b 地块规划条件_01"/>
                    <pic:cNvPicPr>
                      <a:picLocks noChangeAspect="1"/>
                    </pic:cNvPicPr>
                  </pic:nvPicPr>
                  <pic:blipFill>
                    <a:blip r:embed="rId26"/>
                    <a:stretch>
                      <a:fillRect/>
                    </a:stretch>
                  </pic:blipFill>
                  <pic:spPr>
                    <a:xfrm>
                      <a:off x="0" y="0"/>
                      <a:ext cx="5269865" cy="6819900"/>
                    </a:xfrm>
                    <a:prstGeom prst="rect">
                      <a:avLst/>
                    </a:prstGeom>
                  </pic:spPr>
                </pic:pic>
              </a:graphicData>
            </a:graphic>
          </wp:inline>
        </w:drawing>
      </w: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pStyle w:val="12"/>
        <w:jc w:val="center"/>
        <w:rPr>
          <w:rFonts w:ascii="黑体" w:eastAsia="黑体"/>
          <w:color w:val="000000" w:themeColor="text1"/>
          <w:sz w:val="44"/>
          <w:szCs w:val="44"/>
        </w:rPr>
      </w:pPr>
      <w:bookmarkStart w:id="6" w:name="_Toc3391744"/>
      <w:bookmarkStart w:id="7" w:name="_Toc3391973"/>
      <w:r>
        <w:rPr>
          <w:rFonts w:hint="eastAsia" w:ascii="黑体" w:eastAsia="黑体"/>
          <w:color w:val="000000" w:themeColor="text1"/>
          <w:sz w:val="44"/>
          <w:szCs w:val="44"/>
        </w:rPr>
        <w:t>用地红线图</w:t>
      </w:r>
      <w:bookmarkEnd w:id="6"/>
      <w:bookmarkEnd w:id="7"/>
    </w:p>
    <w:p>
      <w:pPr>
        <w:rPr>
          <w:rFonts w:hint="eastAsia" w:eastAsia="宋体"/>
          <w:lang w:eastAsia="zh-CN"/>
        </w:rPr>
      </w:pPr>
      <w:r>
        <w:rPr>
          <w:rFonts w:hint="eastAsia" w:eastAsia="宋体"/>
          <w:lang w:eastAsia="zh-CN"/>
        </w:rPr>
        <w:drawing>
          <wp:inline distT="0" distB="0" distL="114300" distR="114300">
            <wp:extent cx="5270500" cy="4072890"/>
            <wp:effectExtent l="0" t="0" r="6350" b="3810"/>
            <wp:docPr id="3" name="图片 3" descr="马踏洞片区中心服务区07-03b地块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马踏洞片区中心服务区07-03b地块红线图_00"/>
                    <pic:cNvPicPr>
                      <a:picLocks noChangeAspect="1"/>
                    </pic:cNvPicPr>
                  </pic:nvPicPr>
                  <pic:blipFill>
                    <a:blip r:embed="rId27"/>
                    <a:stretch>
                      <a:fillRect/>
                    </a:stretch>
                  </pic:blipFill>
                  <pic:spPr>
                    <a:xfrm>
                      <a:off x="0" y="0"/>
                      <a:ext cx="5270500" cy="4072890"/>
                    </a:xfrm>
                    <a:prstGeom prst="rect">
                      <a:avLst/>
                    </a:prstGeom>
                  </pic:spPr>
                </pic:pic>
              </a:graphicData>
            </a:graphic>
          </wp:inline>
        </w:drawing>
      </w:r>
    </w:p>
    <w:p/>
    <w:p/>
    <w:p>
      <w:pPr>
        <w:widowControl/>
        <w:jc w:val="left"/>
        <w:rPr>
          <w:rFonts w:ascii="宋体" w:cs="宋体"/>
          <w:color w:val="000000" w:themeColor="text1"/>
          <w:sz w:val="28"/>
          <w:szCs w:val="28"/>
        </w:rPr>
      </w:pPr>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8" w:name="_Toc3391745"/>
      <w:bookmarkStart w:id="9" w:name="_Toc3391974"/>
      <w:r>
        <w:rPr>
          <w:rFonts w:hint="eastAsia" w:ascii="黑体" w:eastAsia="黑体"/>
          <w:color w:val="000000" w:themeColor="text1"/>
          <w:sz w:val="44"/>
          <w:szCs w:val="44"/>
        </w:rPr>
        <w:t>地块勘界图</w:t>
      </w:r>
      <w:bookmarkEnd w:id="8"/>
      <w:bookmarkEnd w:id="9"/>
    </w:p>
    <w:p/>
    <w:p>
      <w:pPr>
        <w:widowControl/>
        <w:rPr>
          <w:rFonts w:hint="eastAsia" w:ascii="宋体" w:eastAsia="宋体" w:cs="宋体"/>
          <w:color w:val="000000" w:themeColor="text1"/>
          <w:sz w:val="28"/>
          <w:szCs w:val="28"/>
          <w:lang w:eastAsia="zh-CN"/>
        </w:rPr>
        <w:sectPr>
          <w:pgSz w:w="11906" w:h="16838"/>
          <w:pgMar w:top="1440" w:right="1800" w:bottom="1440" w:left="1800" w:header="851" w:footer="992" w:gutter="0"/>
          <w:cols w:space="425" w:num="1"/>
          <w:docGrid w:type="lines" w:linePitch="312" w:charSpace="0"/>
        </w:sectPr>
      </w:pPr>
      <w:r>
        <w:rPr>
          <w:rFonts w:hint="eastAsia" w:ascii="宋体" w:eastAsia="宋体" w:cs="宋体"/>
          <w:color w:val="000000" w:themeColor="text1"/>
          <w:sz w:val="28"/>
          <w:szCs w:val="28"/>
          <w:lang w:eastAsia="zh-CN"/>
        </w:rPr>
        <w:drawing>
          <wp:inline distT="0" distB="0" distL="114300" distR="114300">
            <wp:extent cx="5261610" cy="3719830"/>
            <wp:effectExtent l="0" t="0" r="15240" b="13970"/>
            <wp:docPr id="4" name="图片 4" descr="马踏中心片区07-03b地块建设用地勘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马踏中心片区07-03b地块建设用地勘界图_00"/>
                    <pic:cNvPicPr>
                      <a:picLocks noChangeAspect="1"/>
                    </pic:cNvPicPr>
                  </pic:nvPicPr>
                  <pic:blipFill>
                    <a:blip r:embed="rId28"/>
                    <a:stretch>
                      <a:fillRect/>
                    </a:stretch>
                  </pic:blipFill>
                  <pic:spPr>
                    <a:xfrm>
                      <a:off x="0" y="0"/>
                      <a:ext cx="5261610" cy="3719830"/>
                    </a:xfrm>
                    <a:prstGeom prst="rect">
                      <a:avLst/>
                    </a:prstGeom>
                  </pic:spPr>
                </pic:pic>
              </a:graphicData>
            </a:graphic>
          </wp:inline>
        </w:drawing>
      </w:r>
    </w:p>
    <w:p>
      <w:pPr>
        <w:pStyle w:val="12"/>
        <w:spacing w:before="0" w:after="0" w:line="500" w:lineRule="exact"/>
        <w:rPr>
          <w:rFonts w:ascii="黑体" w:hAnsi="宋体" w:eastAsia="黑体"/>
          <w:color w:val="000000" w:themeColor="text1"/>
          <w:sz w:val="44"/>
          <w:szCs w:val="44"/>
        </w:rPr>
      </w:pPr>
      <w:bookmarkStart w:id="10" w:name="_Toc3391746"/>
      <w:bookmarkStart w:id="11" w:name="_Toc3391975"/>
      <w:r>
        <w:rPr>
          <w:rFonts w:hint="eastAsia" w:ascii="黑体" w:eastAsia="黑体"/>
          <w:color w:val="000000" w:themeColor="text1"/>
          <w:sz w:val="44"/>
          <w:szCs w:val="44"/>
        </w:rPr>
        <w:t>竞买申请书</w:t>
      </w:r>
      <w:bookmarkEnd w:id="10"/>
      <w:bookmarkEnd w:id="11"/>
    </w:p>
    <w:p>
      <w:pPr>
        <w:pStyle w:val="25"/>
        <w:spacing w:line="420" w:lineRule="exact"/>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25"/>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w:t>
      </w:r>
      <w:r>
        <w:rPr>
          <w:rFonts w:hint="eastAsia" w:ascii="仿宋_GB2312" w:hAnsi="仿宋" w:eastAsia="仿宋_GB2312"/>
          <w:color w:val="000000" w:themeColor="text1"/>
          <w:w w:val="90"/>
          <w:sz w:val="24"/>
          <w:szCs w:val="24"/>
        </w:rPr>
        <w:t>￥</w:t>
      </w:r>
      <w:r>
        <w:rPr>
          <w:rFonts w:hint="eastAsia" w:ascii="仿宋_GB2312" w:hAnsi="仿宋" w:eastAsia="仿宋_GB2312"/>
          <w:color w:val="000000" w:themeColor="text1"/>
          <w:w w:val="90"/>
          <w:sz w:val="24"/>
          <w:szCs w:val="24"/>
          <w:u w:val="single"/>
        </w:rPr>
        <w:t xml:space="preserve">         </w:t>
      </w:r>
      <w:r>
        <w:rPr>
          <w:rFonts w:hint="eastAsia" w:ascii="宋体" w:hAnsi="宋体"/>
          <w:color w:val="000000" w:themeColor="text1"/>
          <w:sz w:val="24"/>
          <w:szCs w:val="24"/>
        </w:rPr>
        <w:t>万元）。</w:t>
      </w:r>
    </w:p>
    <w:p>
      <w:pPr>
        <w:pStyle w:val="25"/>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5"/>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rPr>
        <w:t>注册成立一家新公司对竞得土地进行开发建设，新公司出资构成为</w:t>
      </w:r>
      <w:r>
        <w:rPr>
          <w:rFonts w:hint="eastAsia" w:ascii="宋体" w:hAnsi="宋体"/>
          <w:b/>
          <w:color w:val="000000" w:themeColor="text1"/>
          <w:sz w:val="24"/>
          <w:szCs w:val="24"/>
          <w:u w:val="single"/>
        </w:rPr>
        <w:t xml:space="preserve">              </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万元（人民币）已转为何种法律性质的价款，我方均无权要求予以退还。</w:t>
      </w:r>
    </w:p>
    <w:p>
      <w:pPr>
        <w:pStyle w:val="25"/>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25"/>
        <w:spacing w:line="420" w:lineRule="exact"/>
        <w:ind w:firstLine="470" w:firstLineChars="196"/>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25"/>
        <w:spacing w:line="420" w:lineRule="exact"/>
        <w:ind w:left="0" w:firstLine="510"/>
        <w:rPr>
          <w:rFonts w:ascii="宋体"/>
          <w:color w:val="000000" w:themeColor="text1"/>
          <w:sz w:val="24"/>
          <w:szCs w:val="24"/>
        </w:rPr>
      </w:pPr>
    </w:p>
    <w:p>
      <w:pPr>
        <w:pStyle w:val="25"/>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976"/>
      <w:bookmarkStart w:id="13" w:name="_Toc3391747"/>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w:t>
      </w:r>
      <w:r>
        <w:rPr>
          <w:rFonts w:hint="eastAsia" w:ascii="仿宋_GB2312" w:hAnsi="仿宋_GB2312" w:eastAsia="仿宋_GB2312" w:cs="仿宋_GB2312"/>
          <w:color w:val="000000" w:themeColor="text1"/>
          <w:sz w:val="30"/>
          <w:szCs w:val="30"/>
          <w:u w:val="single"/>
        </w:rPr>
        <w:t xml:space="preserve">      </w:t>
      </w:r>
      <w:r>
        <w:rPr>
          <w:rFonts w:hint="eastAsia" w:ascii="仿宋_GB2312" w:hAnsi="仿宋_GB2312" w:eastAsia="仿宋_GB2312" w:cs="仿宋_GB2312"/>
          <w:color w:val="000000" w:themeColor="text1"/>
          <w:sz w:val="30"/>
          <w:szCs w:val="30"/>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977"/>
      <w:bookmarkStart w:id="15" w:name="_Toc3391748"/>
      <w:r>
        <w:rPr>
          <w:rFonts w:hint="eastAsia" w:ascii="黑体" w:eastAsia="黑体"/>
          <w:color w:val="000000" w:themeColor="text1"/>
          <w:sz w:val="44"/>
          <w:szCs w:val="44"/>
        </w:rPr>
        <w:t>法定代表人身份证明书</w:t>
      </w:r>
      <w:bookmarkEnd w:id="14"/>
      <w:bookmarkEnd w:id="15"/>
    </w:p>
    <w:p>
      <w:pPr>
        <w:pStyle w:val="25"/>
        <w:spacing w:line="627" w:lineRule="atLeast"/>
        <w:ind w:left="0"/>
        <w:jc w:val="left"/>
        <w:rPr>
          <w:rFonts w:ascii="黑体" w:eastAsia="黑体"/>
          <w:color w:val="000000" w:themeColor="text1"/>
          <w:sz w:val="36"/>
          <w:szCs w:val="36"/>
        </w:rPr>
      </w:pPr>
    </w:p>
    <w:p>
      <w:pPr>
        <w:pStyle w:val="25"/>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25"/>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themeColor="text1"/>
          <w:sz w:val="30"/>
          <w:szCs w:val="30"/>
        </w:rPr>
      </w:pPr>
    </w:p>
    <w:p>
      <w:pPr>
        <w:pStyle w:val="25"/>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left"/>
        <w:rPr>
          <w:rFonts w:ascii="宋体"/>
          <w:color w:val="000000" w:themeColor="text1"/>
          <w:sz w:val="28"/>
          <w:szCs w:val="28"/>
        </w:rPr>
      </w:pPr>
    </w:p>
    <w:p>
      <w:pPr>
        <w:pStyle w:val="25"/>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25"/>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5"/>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978"/>
      <w:bookmarkStart w:id="17" w:name="_Toc3391749"/>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仿宋_GB2312" w:eastAsia="仿宋_GB2312"/>
                <w:color w:val="000000" w:themeColor="text1"/>
                <w:kern w:val="0"/>
                <w:sz w:val="24"/>
                <w:u w:val="single"/>
              </w:rPr>
              <w:t xml:space="preserve">         </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25"/>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hint="eastAsia" w:ascii="仿宋_GB2312" w:hAnsi="宋体" w:eastAsia="仿宋_GB2312"/>
          <w:color w:val="000000" w:themeColor="text1"/>
          <w:sz w:val="30"/>
          <w:szCs w:val="30"/>
          <w:u w:val="single"/>
        </w:rPr>
        <w:t xml:space="preserve">          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25"/>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themeColor="text1"/>
        </w:rPr>
      </w:pPr>
    </w:p>
    <w:p>
      <w:pPr>
        <w:pStyle w:val="25"/>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19"/>
          <w:rFonts w:hAnsi="宋体" w:cs="宋体"/>
          <w:color w:val="000000" w:themeColor="text1"/>
        </w:rPr>
      </w:pPr>
    </w:p>
    <w:p>
      <w:pPr>
        <w:pStyle w:val="4"/>
        <w:rPr>
          <w:rStyle w:val="19"/>
          <w:rFonts w:hAnsi="宋体" w:cs="宋体"/>
          <w:color w:val="000000" w:themeColor="text1"/>
        </w:rPr>
      </w:pPr>
    </w:p>
    <w:p>
      <w:pPr>
        <w:pStyle w:val="2"/>
        <w:jc w:val="center"/>
        <w:rPr>
          <w:rFonts w:ascii="宋体" w:hAnsi="宋体" w:eastAsia="宋体"/>
          <w:color w:val="000000" w:themeColor="text1"/>
          <w:sz w:val="18"/>
          <w:szCs w:val="18"/>
        </w:rPr>
      </w:pPr>
      <w:bookmarkStart w:id="18" w:name="_Toc3391980"/>
      <w:bookmarkStart w:id="19" w:name="_Toc3391751"/>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4340" w:firstLineChars="1550"/>
        <w:rPr>
          <w:rFonts w:hAnsi="宋体"/>
          <w:color w:val="000000" w:themeColor="text1"/>
        </w:rPr>
      </w:pPr>
      <w:r>
        <w:rPr>
          <w:rFonts w:hint="eastAsia" w:hAnsi="宋体" w:cs="仿宋_GB2312"/>
          <w:color w:val="000000" w:themeColor="text1"/>
          <w:sz w:val="28"/>
          <w:szCs w:val="28"/>
        </w:rPr>
        <w:t>二〇二〇年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w:t>
      </w:r>
      <w:r>
        <w:rPr>
          <w:rFonts w:hint="eastAsia" w:ascii="仿宋" w:hAnsi="仿宋" w:eastAsia="仿宋" w:cs="仿宋"/>
          <w:b/>
          <w:color w:val="000000" w:themeColor="text1"/>
          <w:sz w:val="32"/>
          <w:szCs w:val="32"/>
          <w:u w:val="single"/>
        </w:rPr>
        <w:t xml:space="preserve">       </w:t>
      </w:r>
      <w:r>
        <w:rPr>
          <w:rFonts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交地方：            </w:t>
      </w:r>
      <w:r>
        <w:rPr>
          <w:rFonts w:ascii="仿宋" w:hAnsi="仿宋" w:eastAsia="仿宋" w:cs="仿宋"/>
          <w:b/>
          <w:color w:val="000000" w:themeColor="text1"/>
          <w:sz w:val="32"/>
          <w:szCs w:val="32"/>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Malgun Gothic"/>
    <w:panose1 w:val="020B0600000101010101"/>
    <w:charset w:val="81"/>
    <w:family w:val="moder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2" o:spt="202" type="#_x0000_t202" style="position:absolute;left:0pt;margin-top:0pt;height:10.35pt;width:4.55pt;mso-position-horizontal:right;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44</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1CF2"/>
    <w:rsid w:val="00013422"/>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B6320"/>
    <w:rsid w:val="000C512D"/>
    <w:rsid w:val="000D17E6"/>
    <w:rsid w:val="000D28F8"/>
    <w:rsid w:val="000D3955"/>
    <w:rsid w:val="000D60A9"/>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741"/>
    <w:rsid w:val="00145892"/>
    <w:rsid w:val="001500C4"/>
    <w:rsid w:val="0015050B"/>
    <w:rsid w:val="001505EA"/>
    <w:rsid w:val="001512B8"/>
    <w:rsid w:val="0015612F"/>
    <w:rsid w:val="00156360"/>
    <w:rsid w:val="00157644"/>
    <w:rsid w:val="001609C1"/>
    <w:rsid w:val="00165EB4"/>
    <w:rsid w:val="00166665"/>
    <w:rsid w:val="001706F1"/>
    <w:rsid w:val="001713CB"/>
    <w:rsid w:val="00171736"/>
    <w:rsid w:val="00176BEE"/>
    <w:rsid w:val="00177F59"/>
    <w:rsid w:val="00182674"/>
    <w:rsid w:val="001849B2"/>
    <w:rsid w:val="0019277E"/>
    <w:rsid w:val="001927B6"/>
    <w:rsid w:val="00192F08"/>
    <w:rsid w:val="00194425"/>
    <w:rsid w:val="001972E9"/>
    <w:rsid w:val="00197CCD"/>
    <w:rsid w:val="001A20DE"/>
    <w:rsid w:val="001A55A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FCB"/>
    <w:rsid w:val="00270033"/>
    <w:rsid w:val="00271597"/>
    <w:rsid w:val="00273103"/>
    <w:rsid w:val="00276CF4"/>
    <w:rsid w:val="00280F72"/>
    <w:rsid w:val="00291512"/>
    <w:rsid w:val="00292C2B"/>
    <w:rsid w:val="002A09DD"/>
    <w:rsid w:val="002A0E8C"/>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2F3898"/>
    <w:rsid w:val="003026FD"/>
    <w:rsid w:val="003055EA"/>
    <w:rsid w:val="00310264"/>
    <w:rsid w:val="00311336"/>
    <w:rsid w:val="003235F6"/>
    <w:rsid w:val="00324175"/>
    <w:rsid w:val="00327996"/>
    <w:rsid w:val="00330403"/>
    <w:rsid w:val="0033062A"/>
    <w:rsid w:val="003349CC"/>
    <w:rsid w:val="0034122B"/>
    <w:rsid w:val="0034334B"/>
    <w:rsid w:val="00350213"/>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278"/>
    <w:rsid w:val="004053CC"/>
    <w:rsid w:val="00411519"/>
    <w:rsid w:val="00413AE8"/>
    <w:rsid w:val="00415951"/>
    <w:rsid w:val="004173EA"/>
    <w:rsid w:val="00417927"/>
    <w:rsid w:val="00420668"/>
    <w:rsid w:val="004243A2"/>
    <w:rsid w:val="004252F2"/>
    <w:rsid w:val="00426100"/>
    <w:rsid w:val="00427EFE"/>
    <w:rsid w:val="00434234"/>
    <w:rsid w:val="00437E6F"/>
    <w:rsid w:val="00442023"/>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1792"/>
    <w:rsid w:val="00473DBF"/>
    <w:rsid w:val="004742E7"/>
    <w:rsid w:val="00476150"/>
    <w:rsid w:val="00476358"/>
    <w:rsid w:val="00483A0F"/>
    <w:rsid w:val="004851CE"/>
    <w:rsid w:val="00490F97"/>
    <w:rsid w:val="004935C4"/>
    <w:rsid w:val="004A0672"/>
    <w:rsid w:val="004A1B6A"/>
    <w:rsid w:val="004A29A7"/>
    <w:rsid w:val="004A39A5"/>
    <w:rsid w:val="004B0B4C"/>
    <w:rsid w:val="004B3FCB"/>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152DD"/>
    <w:rsid w:val="0052113C"/>
    <w:rsid w:val="00523EAD"/>
    <w:rsid w:val="00524E38"/>
    <w:rsid w:val="005308EF"/>
    <w:rsid w:val="00530B1F"/>
    <w:rsid w:val="00533D25"/>
    <w:rsid w:val="005348A9"/>
    <w:rsid w:val="00536417"/>
    <w:rsid w:val="0055404F"/>
    <w:rsid w:val="00554A0F"/>
    <w:rsid w:val="00555FE0"/>
    <w:rsid w:val="00563CCD"/>
    <w:rsid w:val="0057687B"/>
    <w:rsid w:val="00577211"/>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D61"/>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0FE3"/>
    <w:rsid w:val="00651EC5"/>
    <w:rsid w:val="00652A61"/>
    <w:rsid w:val="006547A4"/>
    <w:rsid w:val="00657A52"/>
    <w:rsid w:val="00665AAD"/>
    <w:rsid w:val="0066625D"/>
    <w:rsid w:val="00671872"/>
    <w:rsid w:val="006746D5"/>
    <w:rsid w:val="00690289"/>
    <w:rsid w:val="0069191F"/>
    <w:rsid w:val="00691AAD"/>
    <w:rsid w:val="00697A08"/>
    <w:rsid w:val="006A2E69"/>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C669A"/>
    <w:rsid w:val="006C78CC"/>
    <w:rsid w:val="006D58D2"/>
    <w:rsid w:val="006E3F71"/>
    <w:rsid w:val="006E4100"/>
    <w:rsid w:val="006E462A"/>
    <w:rsid w:val="006E4D01"/>
    <w:rsid w:val="006E6F1A"/>
    <w:rsid w:val="006F0FC4"/>
    <w:rsid w:val="00700ABE"/>
    <w:rsid w:val="00705C0F"/>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7D4"/>
    <w:rsid w:val="00786963"/>
    <w:rsid w:val="007933DA"/>
    <w:rsid w:val="00796228"/>
    <w:rsid w:val="00796BCF"/>
    <w:rsid w:val="007A25EF"/>
    <w:rsid w:val="007A4F2F"/>
    <w:rsid w:val="007A61CF"/>
    <w:rsid w:val="007B0ECF"/>
    <w:rsid w:val="007B4CD9"/>
    <w:rsid w:val="007C083D"/>
    <w:rsid w:val="007C0910"/>
    <w:rsid w:val="007C1CC7"/>
    <w:rsid w:val="007C2D9D"/>
    <w:rsid w:val="007C35C6"/>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1183"/>
    <w:rsid w:val="008B261E"/>
    <w:rsid w:val="008B4CA0"/>
    <w:rsid w:val="008C1D25"/>
    <w:rsid w:val="008C3B9B"/>
    <w:rsid w:val="008C4B3C"/>
    <w:rsid w:val="008C7754"/>
    <w:rsid w:val="008D0522"/>
    <w:rsid w:val="008D0E33"/>
    <w:rsid w:val="008D109B"/>
    <w:rsid w:val="008D1470"/>
    <w:rsid w:val="008D1F65"/>
    <w:rsid w:val="008D331A"/>
    <w:rsid w:val="008D3B54"/>
    <w:rsid w:val="008D79C1"/>
    <w:rsid w:val="008E23FE"/>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0194"/>
    <w:rsid w:val="009453C1"/>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3BD4"/>
    <w:rsid w:val="009D7829"/>
    <w:rsid w:val="009E21FF"/>
    <w:rsid w:val="009E2EDB"/>
    <w:rsid w:val="009E502E"/>
    <w:rsid w:val="009E78C7"/>
    <w:rsid w:val="009F0745"/>
    <w:rsid w:val="009F249F"/>
    <w:rsid w:val="009F2DA6"/>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41050"/>
    <w:rsid w:val="00A41152"/>
    <w:rsid w:val="00A459F9"/>
    <w:rsid w:val="00A45ACA"/>
    <w:rsid w:val="00A469BB"/>
    <w:rsid w:val="00A56A0A"/>
    <w:rsid w:val="00A56CFB"/>
    <w:rsid w:val="00A575CA"/>
    <w:rsid w:val="00A57825"/>
    <w:rsid w:val="00A71758"/>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45A4"/>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3630"/>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2235"/>
    <w:rsid w:val="00C636B6"/>
    <w:rsid w:val="00C65AF3"/>
    <w:rsid w:val="00C672B5"/>
    <w:rsid w:val="00C7096B"/>
    <w:rsid w:val="00C7517C"/>
    <w:rsid w:val="00C7582F"/>
    <w:rsid w:val="00C75D92"/>
    <w:rsid w:val="00C76511"/>
    <w:rsid w:val="00C83AAA"/>
    <w:rsid w:val="00C842D1"/>
    <w:rsid w:val="00C85C75"/>
    <w:rsid w:val="00C87A9A"/>
    <w:rsid w:val="00C93B9F"/>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448F"/>
    <w:rsid w:val="00CF5254"/>
    <w:rsid w:val="00D027AD"/>
    <w:rsid w:val="00D02A5E"/>
    <w:rsid w:val="00D033D6"/>
    <w:rsid w:val="00D04275"/>
    <w:rsid w:val="00D07BFC"/>
    <w:rsid w:val="00D16877"/>
    <w:rsid w:val="00D2163E"/>
    <w:rsid w:val="00D21B59"/>
    <w:rsid w:val="00D34BFE"/>
    <w:rsid w:val="00D37EFE"/>
    <w:rsid w:val="00D4353D"/>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3169"/>
    <w:rsid w:val="00DC39D9"/>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487E"/>
    <w:rsid w:val="00EB7CA6"/>
    <w:rsid w:val="00EC0B3D"/>
    <w:rsid w:val="00EC1570"/>
    <w:rsid w:val="00EC1F18"/>
    <w:rsid w:val="00EC3320"/>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69E9"/>
    <w:rsid w:val="00F10224"/>
    <w:rsid w:val="00F10ADD"/>
    <w:rsid w:val="00F11623"/>
    <w:rsid w:val="00F1162F"/>
    <w:rsid w:val="00F1451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614E"/>
    <w:rsid w:val="00F77BA9"/>
    <w:rsid w:val="00F831BD"/>
    <w:rsid w:val="00F86296"/>
    <w:rsid w:val="00F871B6"/>
    <w:rsid w:val="00F92F5F"/>
    <w:rsid w:val="00F93AAF"/>
    <w:rsid w:val="00F94E1E"/>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14E"/>
    <w:rsid w:val="00FD68AF"/>
    <w:rsid w:val="00FE0D35"/>
    <w:rsid w:val="00FE153F"/>
    <w:rsid w:val="00FE5D43"/>
    <w:rsid w:val="00FE7476"/>
    <w:rsid w:val="00FF0451"/>
    <w:rsid w:val="00FF17A3"/>
    <w:rsid w:val="00FF3B64"/>
    <w:rsid w:val="029972DE"/>
    <w:rsid w:val="032C24DC"/>
    <w:rsid w:val="0391667F"/>
    <w:rsid w:val="039463AD"/>
    <w:rsid w:val="039B3DC0"/>
    <w:rsid w:val="03AA19C7"/>
    <w:rsid w:val="03DE645D"/>
    <w:rsid w:val="05244FC5"/>
    <w:rsid w:val="05595CE0"/>
    <w:rsid w:val="05E1083F"/>
    <w:rsid w:val="06DB46AD"/>
    <w:rsid w:val="06FA7189"/>
    <w:rsid w:val="07C85206"/>
    <w:rsid w:val="08204A4A"/>
    <w:rsid w:val="0A8E6B29"/>
    <w:rsid w:val="0B1A4AB9"/>
    <w:rsid w:val="0B27380F"/>
    <w:rsid w:val="0BC179F5"/>
    <w:rsid w:val="0CAF67A2"/>
    <w:rsid w:val="0DB87D44"/>
    <w:rsid w:val="0E2D6DD1"/>
    <w:rsid w:val="103B29D8"/>
    <w:rsid w:val="10C679D7"/>
    <w:rsid w:val="11797BE6"/>
    <w:rsid w:val="124140DD"/>
    <w:rsid w:val="129D405C"/>
    <w:rsid w:val="132F26C0"/>
    <w:rsid w:val="141D4DDA"/>
    <w:rsid w:val="14E16390"/>
    <w:rsid w:val="150D25DC"/>
    <w:rsid w:val="158D08BD"/>
    <w:rsid w:val="16801789"/>
    <w:rsid w:val="17D52530"/>
    <w:rsid w:val="17FC4DB6"/>
    <w:rsid w:val="19385485"/>
    <w:rsid w:val="197A352D"/>
    <w:rsid w:val="19934234"/>
    <w:rsid w:val="1A9F49BD"/>
    <w:rsid w:val="1DCF1CAD"/>
    <w:rsid w:val="1E830C01"/>
    <w:rsid w:val="1F7F1538"/>
    <w:rsid w:val="20C02E3B"/>
    <w:rsid w:val="20E5353A"/>
    <w:rsid w:val="249F1FCC"/>
    <w:rsid w:val="266F0406"/>
    <w:rsid w:val="26AF0309"/>
    <w:rsid w:val="28AF3A48"/>
    <w:rsid w:val="28F0446D"/>
    <w:rsid w:val="296A1CA7"/>
    <w:rsid w:val="29CA015F"/>
    <w:rsid w:val="29CF3350"/>
    <w:rsid w:val="2B75204E"/>
    <w:rsid w:val="2CE65313"/>
    <w:rsid w:val="2DE30A72"/>
    <w:rsid w:val="2DFB7CF8"/>
    <w:rsid w:val="2E7F4750"/>
    <w:rsid w:val="2EB433E7"/>
    <w:rsid w:val="2EF75187"/>
    <w:rsid w:val="2F246B5F"/>
    <w:rsid w:val="2F2A7C22"/>
    <w:rsid w:val="322323B4"/>
    <w:rsid w:val="327B74C9"/>
    <w:rsid w:val="32DB6043"/>
    <w:rsid w:val="337B0291"/>
    <w:rsid w:val="34A71D15"/>
    <w:rsid w:val="35A13B85"/>
    <w:rsid w:val="365111B7"/>
    <w:rsid w:val="37716D9A"/>
    <w:rsid w:val="38102F17"/>
    <w:rsid w:val="385633BC"/>
    <w:rsid w:val="3B373BF0"/>
    <w:rsid w:val="3CAC0CBC"/>
    <w:rsid w:val="3D066E64"/>
    <w:rsid w:val="3D1179C2"/>
    <w:rsid w:val="3DF86F11"/>
    <w:rsid w:val="3E2D5039"/>
    <w:rsid w:val="3E4C593B"/>
    <w:rsid w:val="3EB30628"/>
    <w:rsid w:val="424707A7"/>
    <w:rsid w:val="42666D6B"/>
    <w:rsid w:val="43962F64"/>
    <w:rsid w:val="44036F51"/>
    <w:rsid w:val="46164ECF"/>
    <w:rsid w:val="47544477"/>
    <w:rsid w:val="47D138D2"/>
    <w:rsid w:val="47EF2633"/>
    <w:rsid w:val="48000CA4"/>
    <w:rsid w:val="49BF33D2"/>
    <w:rsid w:val="4A654C2D"/>
    <w:rsid w:val="4AAB5658"/>
    <w:rsid w:val="4C072893"/>
    <w:rsid w:val="4C1859E4"/>
    <w:rsid w:val="4C7622A1"/>
    <w:rsid w:val="503B5814"/>
    <w:rsid w:val="50AF0395"/>
    <w:rsid w:val="50E16708"/>
    <w:rsid w:val="510252D8"/>
    <w:rsid w:val="51E62B79"/>
    <w:rsid w:val="52C37089"/>
    <w:rsid w:val="5310768D"/>
    <w:rsid w:val="536415F1"/>
    <w:rsid w:val="53702267"/>
    <w:rsid w:val="540C7CDF"/>
    <w:rsid w:val="54A17B83"/>
    <w:rsid w:val="55D97B18"/>
    <w:rsid w:val="55E81647"/>
    <w:rsid w:val="579F1D91"/>
    <w:rsid w:val="58E84F27"/>
    <w:rsid w:val="59CC1F4B"/>
    <w:rsid w:val="5B1C44E4"/>
    <w:rsid w:val="5B9F3B36"/>
    <w:rsid w:val="5EB80C68"/>
    <w:rsid w:val="5EBF3633"/>
    <w:rsid w:val="5F5C11C0"/>
    <w:rsid w:val="5FBF30CA"/>
    <w:rsid w:val="5FCD01EE"/>
    <w:rsid w:val="601B7A0C"/>
    <w:rsid w:val="605F5BE5"/>
    <w:rsid w:val="60BA613F"/>
    <w:rsid w:val="61306E77"/>
    <w:rsid w:val="64CF4718"/>
    <w:rsid w:val="660364FC"/>
    <w:rsid w:val="67ED50B4"/>
    <w:rsid w:val="68231748"/>
    <w:rsid w:val="695C617D"/>
    <w:rsid w:val="699F0513"/>
    <w:rsid w:val="69F978B3"/>
    <w:rsid w:val="6A4315BC"/>
    <w:rsid w:val="6C97474C"/>
    <w:rsid w:val="6D625C1A"/>
    <w:rsid w:val="6F0B6421"/>
    <w:rsid w:val="71495FBA"/>
    <w:rsid w:val="7228684D"/>
    <w:rsid w:val="72997548"/>
    <w:rsid w:val="73837CDD"/>
    <w:rsid w:val="745C561E"/>
    <w:rsid w:val="745D03BD"/>
    <w:rsid w:val="75493809"/>
    <w:rsid w:val="78E3630C"/>
    <w:rsid w:val="7A327A02"/>
    <w:rsid w:val="7B3D5FC0"/>
    <w:rsid w:val="7EC747C8"/>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Char"/>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Char"/>
    <w:link w:val="5"/>
    <w:qFormat/>
    <w:locked/>
    <w:uiPriority w:val="99"/>
    <w:rPr>
      <w:rFonts w:cs="Times New Roman"/>
      <w:kern w:val="2"/>
      <w:sz w:val="18"/>
      <w:szCs w:val="18"/>
    </w:rPr>
  </w:style>
  <w:style w:type="character" w:customStyle="1" w:styleId="21">
    <w:name w:val="页脚 Char"/>
    <w:link w:val="6"/>
    <w:qFormat/>
    <w:locked/>
    <w:uiPriority w:val="99"/>
    <w:rPr>
      <w:rFonts w:eastAsia="宋体" w:cs="Times New Roman"/>
      <w:kern w:val="2"/>
      <w:sz w:val="18"/>
      <w:lang w:val="en-US" w:eastAsia="zh-CN"/>
    </w:rPr>
  </w:style>
  <w:style w:type="character" w:customStyle="1" w:styleId="22">
    <w:name w:val="页眉 Char"/>
    <w:link w:val="7"/>
    <w:qFormat/>
    <w:locked/>
    <w:uiPriority w:val="99"/>
    <w:rPr>
      <w:rFonts w:eastAsia="宋体" w:cs="Times New Roman"/>
      <w:kern w:val="2"/>
      <w:sz w:val="18"/>
      <w:lang w:val="en-US" w:eastAsia="zh-CN"/>
    </w:rPr>
  </w:style>
  <w:style w:type="character" w:customStyle="1" w:styleId="23">
    <w:name w:val="副标题 Char"/>
    <w:link w:val="9"/>
    <w:qFormat/>
    <w:locked/>
    <w:uiPriority w:val="99"/>
    <w:rPr>
      <w:rFonts w:ascii="Calibri" w:hAnsi="Calibri" w:eastAsia="宋体" w:cs="Times New Roman"/>
      <w:b/>
      <w:bCs/>
      <w:kern w:val="28"/>
      <w:sz w:val="32"/>
      <w:szCs w:val="32"/>
    </w:rPr>
  </w:style>
  <w:style w:type="character" w:customStyle="1" w:styleId="24">
    <w:name w:val="标题 Char"/>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Char"/>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 w:type="table" w:customStyle="1" w:styleId="3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F3CB74-A162-44B7-9FF3-7C8CCA3058CE}">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48</Pages>
  <Words>2845</Words>
  <Characters>16222</Characters>
  <Lines>135</Lines>
  <Paragraphs>38</Paragraphs>
  <TotalTime>6</TotalTime>
  <ScaleCrop>false</ScaleCrop>
  <LinksUpToDate>false</LinksUpToDate>
  <CharactersWithSpaces>19029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犯傻的海</cp:lastModifiedBy>
  <cp:lastPrinted>2021-11-29T08:42:00Z</cp:lastPrinted>
  <dcterms:modified xsi:type="dcterms:W3CDTF">2021-12-03T14:13:29Z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4EF4A6A27085490BB7C0D34AAAAFEF09</vt:lpwstr>
  </property>
</Properties>
</file>