
<file path=[Content_Types].xml><?xml version="1.0" encoding="utf-8"?>
<Types xmlns="http://schemas.openxmlformats.org/package/2006/content-types">
  <Default Extension="xml" ContentType="application/xml"/>
  <Default Extension="doc" ContentType="application/msword"/>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rPr>
        <w:t>1</w:t>
      </w:r>
      <w:r>
        <w:rPr>
          <w:rFonts w:hint="eastAsia" w:eastAsia="黑体"/>
          <w:sz w:val="28"/>
          <w:lang w:val="en-US" w:eastAsia="zh-CN"/>
        </w:rPr>
        <w:t>8</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hint="eastAsia" w:eastAsia="方正小标宋简体"/>
          <w:color w:val="000000" w:themeColor="text1"/>
          <w:sz w:val="52"/>
          <w:szCs w:val="52"/>
        </w:rPr>
        <w:t>马踏洞片区中心服务区08-04a地块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sz w:val="44"/>
        </w:rPr>
      </w:pPr>
      <w:r>
        <w:rPr>
          <w:color w:val="000000" w:themeColor="text1"/>
          <w:sz w:val="44"/>
        </w:rPr>
        <w:br w:type="page"/>
      </w:r>
      <w:r>
        <w:rPr>
          <w:rFonts w:eastAsia="黑体"/>
          <w:bCs/>
          <w:color w:val="000000" w:themeColor="text1"/>
          <w:sz w:val="44"/>
        </w:rPr>
        <w:t>目录</w:t>
      </w:r>
    </w:p>
    <w:p>
      <w:pPr>
        <w:tabs>
          <w:tab w:val="left" w:leader="middleDot" w:pos="7980"/>
        </w:tabs>
        <w:rPr>
          <w:color w:val="000000" w:themeColor="text1"/>
          <w:w w:val="66"/>
          <w:sz w:val="32"/>
          <w:szCs w:val="32"/>
        </w:rPr>
      </w:pPr>
    </w:p>
    <w:p>
      <w:pPr>
        <w:numPr>
          <w:ilvl w:val="0"/>
          <w:numId w:val="1"/>
        </w:numPr>
        <w:tabs>
          <w:tab w:val="left" w:leader="middleDot" w:pos="7980"/>
        </w:tabs>
        <w:spacing w:line="578" w:lineRule="exact"/>
        <w:ind w:left="160" w:hanging="160" w:hangingChars="50"/>
        <w:rPr>
          <w:color w:val="000000" w:themeColor="text1"/>
          <w:sz w:val="32"/>
          <w:szCs w:val="32"/>
        </w:rPr>
      </w:pPr>
      <w:r>
        <w:rPr>
          <w:color w:val="000000" w:themeColor="text1"/>
          <w:sz w:val="32"/>
          <w:szCs w:val="32"/>
        </w:rPr>
        <w:fldChar w:fldCharType="begin"/>
      </w:r>
      <w:r>
        <w:rPr>
          <w:color w:val="000000" w:themeColor="text1"/>
          <w:sz w:val="32"/>
          <w:szCs w:val="32"/>
        </w:rPr>
        <w:instrText xml:space="preserve"> TOC \o "1-1" \h \z \u </w:instrText>
      </w:r>
      <w:r>
        <w:rPr>
          <w:color w:val="000000" w:themeColor="text1"/>
          <w:sz w:val="32"/>
          <w:szCs w:val="32"/>
        </w:rPr>
        <w:fldChar w:fldCharType="separate"/>
      </w:r>
      <w:r>
        <w:fldChar w:fldCharType="begin"/>
      </w:r>
      <w:r>
        <w:instrText xml:space="preserve"> HYPERLINK \l "_Toc3391970" </w:instrText>
      </w:r>
      <w:r>
        <w:fldChar w:fldCharType="separate"/>
      </w:r>
      <w:r>
        <w:rPr>
          <w:color w:val="000000" w:themeColor="text1"/>
          <w:sz w:val="32"/>
          <w:szCs w:val="32"/>
        </w:rPr>
        <w:t>拍卖出让公告</w:t>
      </w:r>
      <w:r>
        <w:rPr>
          <w:color w:val="000000" w:themeColor="text1"/>
          <w:sz w:val="32"/>
          <w:szCs w:val="32"/>
        </w:rPr>
        <w:tab/>
      </w:r>
      <w:r>
        <w:rPr>
          <w:color w:val="000000" w:themeColor="text1"/>
          <w:sz w:val="32"/>
          <w:szCs w:val="32"/>
        </w:rPr>
        <w:fldChar w:fldCharType="begin"/>
      </w:r>
      <w:r>
        <w:rPr>
          <w:color w:val="000000" w:themeColor="text1"/>
          <w:sz w:val="32"/>
          <w:szCs w:val="32"/>
        </w:rPr>
        <w:instrText xml:space="preserve"> PAGEREF _Toc3391970 \h </w:instrText>
      </w:r>
      <w:r>
        <w:rPr>
          <w:color w:val="000000" w:themeColor="text1"/>
          <w:sz w:val="32"/>
          <w:szCs w:val="32"/>
        </w:rPr>
        <w:fldChar w:fldCharType="separate"/>
      </w:r>
      <w:r>
        <w:rPr>
          <w:color w:val="000000" w:themeColor="text1"/>
          <w:sz w:val="32"/>
          <w:szCs w:val="32"/>
        </w:rPr>
        <w:t>- 3 -</w:t>
      </w:r>
      <w:r>
        <w:rPr>
          <w:color w:val="000000" w:themeColor="text1"/>
          <w:sz w:val="32"/>
          <w:szCs w:val="32"/>
        </w:rPr>
        <w:fldChar w:fldCharType="end"/>
      </w:r>
      <w:r>
        <w:rPr>
          <w:color w:val="000000" w:themeColor="text1"/>
          <w:sz w:val="32"/>
          <w:szCs w:val="32"/>
        </w:rPr>
        <w:fldChar w:fldCharType="end"/>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"_Toc3391971" </w:instrText>
      </w:r>
      <w:r>
        <w:fldChar w:fldCharType="separate"/>
      </w:r>
      <w:r>
        <w:rPr>
          <w:color w:val="000000" w:themeColor="text1"/>
          <w:sz w:val="32"/>
          <w:szCs w:val="32"/>
        </w:rPr>
        <w:t>国有建设用地使用权拍卖出让须知</w:t>
      </w:r>
      <w:r>
        <w:rPr>
          <w:color w:val="000000" w:themeColor="text1"/>
          <w:sz w:val="32"/>
          <w:szCs w:val="32"/>
        </w:rPr>
        <w:tab/>
      </w:r>
      <w:r>
        <w:rPr>
          <w:color w:val="000000" w:themeColor="text1"/>
          <w:sz w:val="32"/>
          <w:szCs w:val="32"/>
        </w:rPr>
        <w:fldChar w:fldCharType="end"/>
      </w:r>
      <w:r>
        <w:rPr>
          <w:color w:val="000000" w:themeColor="text1"/>
          <w:sz w:val="32"/>
          <w:szCs w:val="32"/>
        </w:rPr>
        <w:t>6-1</w:t>
      </w:r>
      <w:r>
        <w:rPr>
          <w:rFonts w:hint="eastAsia"/>
          <w:color w:val="000000" w:themeColor="text1"/>
          <w:sz w:val="32"/>
          <w:szCs w:val="32"/>
        </w:rPr>
        <w:t>8</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"_Toc3391972" </w:instrText>
      </w:r>
      <w:r>
        <w:fldChar w:fldCharType="separate"/>
      </w:r>
      <w:r>
        <w:rPr>
          <w:color w:val="000000" w:themeColor="text1"/>
          <w:sz w:val="32"/>
          <w:szCs w:val="32"/>
        </w:rPr>
        <w:t>地块规划条件相关资料</w:t>
      </w:r>
      <w:r>
        <w:rPr>
          <w:color w:val="000000" w:themeColor="text1"/>
          <w:sz w:val="32"/>
          <w:szCs w:val="32"/>
        </w:rPr>
        <w:tab/>
      </w:r>
      <w:r>
        <w:rPr>
          <w:color w:val="000000" w:themeColor="text1"/>
          <w:sz w:val="32"/>
          <w:szCs w:val="32"/>
        </w:rPr>
        <w:fldChar w:fldCharType="end"/>
      </w:r>
      <w:r>
        <w:rPr>
          <w:color w:val="000000" w:themeColor="text1"/>
          <w:sz w:val="32"/>
          <w:szCs w:val="32"/>
        </w:rPr>
        <w:t>1</w:t>
      </w:r>
      <w:r>
        <w:rPr>
          <w:rFonts w:hint="eastAsia"/>
          <w:color w:val="000000" w:themeColor="text1"/>
          <w:sz w:val="32"/>
          <w:szCs w:val="32"/>
        </w:rPr>
        <w:t>9</w:t>
      </w:r>
      <w:r>
        <w:rPr>
          <w:color w:val="000000" w:themeColor="text1"/>
          <w:sz w:val="32"/>
          <w:szCs w:val="32"/>
        </w:rPr>
        <w:t>-2</w:t>
      </w:r>
      <w:r>
        <w:rPr>
          <w:rFonts w:hint="eastAsia"/>
          <w:color w:val="000000" w:themeColor="text1"/>
          <w:sz w:val="32"/>
          <w:szCs w:val="32"/>
        </w:rPr>
        <w:t>0</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"_Toc3391973" </w:instrText>
      </w:r>
      <w:r>
        <w:fldChar w:fldCharType="separate"/>
      </w:r>
      <w:r>
        <w:rPr>
          <w:color w:val="000000" w:themeColor="text1"/>
          <w:sz w:val="32"/>
          <w:szCs w:val="32"/>
        </w:rPr>
        <w:t>用地红线图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"_Toc3391974" </w:instrText>
      </w:r>
      <w:r>
        <w:fldChar w:fldCharType="separate"/>
      </w:r>
      <w:r>
        <w:rPr>
          <w:color w:val="000000" w:themeColor="text1"/>
          <w:sz w:val="32"/>
          <w:szCs w:val="32"/>
        </w:rPr>
        <w:t>宗地平面界址图</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2</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"_Toc3391975" </w:instrText>
      </w:r>
      <w:r>
        <w:fldChar w:fldCharType="separate"/>
      </w:r>
      <w:r>
        <w:rPr>
          <w:color w:val="000000" w:themeColor="text1"/>
          <w:sz w:val="32"/>
          <w:szCs w:val="32"/>
        </w:rPr>
        <w:t>竞买申请书（样本）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3</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"_Toc3391976" </w:instrText>
      </w:r>
      <w:r>
        <w:fldChar w:fldCharType="separate"/>
      </w:r>
      <w:r>
        <w:rPr>
          <w:color w:val="000000" w:themeColor="text1"/>
          <w:sz w:val="32"/>
          <w:szCs w:val="32"/>
        </w:rPr>
        <w:t>保证金承诺书（样本）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4</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"_Toc3391977" </w:instrText>
      </w:r>
      <w:r>
        <w:fldChar w:fldCharType="separate"/>
      </w:r>
      <w:r>
        <w:rPr>
          <w:color w:val="000000" w:themeColor="text1"/>
          <w:sz w:val="32"/>
          <w:szCs w:val="32"/>
        </w:rPr>
        <w:t>法定代表人身份证明书（样本）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5</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"_Toc3391978" </w:instrText>
      </w:r>
      <w:r>
        <w:fldChar w:fldCharType="separate"/>
      </w:r>
      <w:r>
        <w:rPr>
          <w:color w:val="000000" w:themeColor="text1"/>
          <w:sz w:val="32"/>
          <w:szCs w:val="32"/>
        </w:rPr>
        <w:t>授权委托书（样本）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6</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"_Toc3391979" </w:instrText>
      </w:r>
      <w:r>
        <w:fldChar w:fldCharType="separate"/>
      </w:r>
      <w:r>
        <w:rPr>
          <w:color w:val="000000" w:themeColor="text1"/>
          <w:sz w:val="32"/>
          <w:szCs w:val="32"/>
        </w:rPr>
        <w:t>成交确认书（样本）</w:t>
      </w:r>
      <w:r>
        <w:rPr>
          <w:color w:val="000000" w:themeColor="text1"/>
          <w:sz w:val="32"/>
          <w:szCs w:val="32"/>
        </w:rPr>
        <w:tab/>
      </w:r>
      <w:r>
        <w:rPr>
          <w:color w:val="000000" w:themeColor="text1"/>
          <w:sz w:val="32"/>
          <w:szCs w:val="32"/>
        </w:rPr>
        <w:t>2</w:t>
      </w:r>
      <w:r>
        <w:rPr>
          <w:color w:val="000000" w:themeColor="text1"/>
          <w:sz w:val="32"/>
          <w:szCs w:val="32"/>
        </w:rPr>
        <w:fldChar w:fldCharType="end"/>
      </w:r>
      <w:r>
        <w:rPr>
          <w:rFonts w:hint="eastAsia"/>
          <w:color w:val="000000" w:themeColor="text1"/>
          <w:sz w:val="32"/>
          <w:szCs w:val="32"/>
        </w:rPr>
        <w:t>7</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"_Toc3391980" </w:instrText>
      </w:r>
      <w:r>
        <w:fldChar w:fldCharType="separate"/>
      </w:r>
      <w:r>
        <w:rPr>
          <w:color w:val="000000" w:themeColor="text1"/>
          <w:sz w:val="32"/>
          <w:szCs w:val="32"/>
        </w:rPr>
        <w:t>国有建设用地使用权出让合同（样本）</w:t>
      </w:r>
      <w:r>
        <w:rPr>
          <w:color w:val="000000" w:themeColor="text1"/>
          <w:sz w:val="32"/>
          <w:szCs w:val="32"/>
        </w:rPr>
        <w:tab/>
      </w:r>
      <w:r>
        <w:rPr>
          <w:color w:val="000000" w:themeColor="text1"/>
          <w:sz w:val="32"/>
          <w:szCs w:val="32"/>
        </w:rPr>
        <w:fldChar w:fldCharType="end"/>
      </w:r>
      <w:r>
        <w:rPr>
          <w:color w:val="000000" w:themeColor="text1"/>
          <w:sz w:val="32"/>
          <w:szCs w:val="32"/>
        </w:rPr>
        <w:t>2</w:t>
      </w:r>
      <w:r>
        <w:rPr>
          <w:rFonts w:hint="eastAsia"/>
          <w:color w:val="000000" w:themeColor="text1"/>
          <w:sz w:val="32"/>
          <w:szCs w:val="32"/>
        </w:rPr>
        <w:t>8</w:t>
      </w:r>
      <w:r>
        <w:rPr>
          <w:color w:val="000000" w:themeColor="text1"/>
          <w:sz w:val="32"/>
          <w:szCs w:val="32"/>
        </w:rPr>
        <w:t>-4</w:t>
      </w:r>
      <w:r>
        <w:rPr>
          <w:rFonts w:hint="eastAsia"/>
          <w:color w:val="000000" w:themeColor="text1"/>
          <w:sz w:val="32"/>
          <w:szCs w:val="32"/>
        </w:rPr>
        <w:t>1</w:t>
      </w:r>
    </w:p>
    <w:p>
      <w:pPr>
        <w:numPr>
          <w:ilvl w:val="0"/>
          <w:numId w:val="1"/>
        </w:numPr>
        <w:tabs>
          <w:tab w:val="left" w:leader="middleDot" w:pos="7980"/>
        </w:tabs>
        <w:spacing w:line="578" w:lineRule="exact"/>
        <w:ind w:left="105" w:hanging="105" w:hangingChars="50"/>
        <w:rPr>
          <w:color w:val="000000" w:themeColor="text1"/>
          <w:sz w:val="32"/>
          <w:szCs w:val="32"/>
        </w:rPr>
      </w:pPr>
      <w:r>
        <w:fldChar w:fldCharType="begin"/>
      </w:r>
      <w:r>
        <w:instrText xml:space="preserve"> HYPERLINK \l "_Toc3391981" </w:instrText>
      </w:r>
      <w:r>
        <w:fldChar w:fldCharType="separate"/>
      </w:r>
      <w:r>
        <w:rPr>
          <w:color w:val="000000" w:themeColor="text1"/>
          <w:sz w:val="32"/>
          <w:szCs w:val="32"/>
        </w:rPr>
        <w:t>其他相关文件</w:t>
      </w:r>
      <w:r>
        <w:rPr>
          <w:color w:val="000000" w:themeColor="text1"/>
          <w:sz w:val="32"/>
          <w:szCs w:val="32"/>
        </w:rPr>
        <w:tab/>
      </w:r>
      <w:r>
        <w:rPr>
          <w:color w:val="000000" w:themeColor="text1"/>
          <w:sz w:val="32"/>
          <w:szCs w:val="32"/>
        </w:rPr>
        <w:fldChar w:fldCharType="end"/>
      </w:r>
      <w:r>
        <w:rPr>
          <w:color w:val="000000" w:themeColor="text1"/>
          <w:sz w:val="32"/>
          <w:szCs w:val="32"/>
        </w:rPr>
        <w:t>4</w:t>
      </w:r>
      <w:r>
        <w:rPr>
          <w:rFonts w:hint="eastAsia"/>
          <w:color w:val="000000" w:themeColor="text1"/>
          <w:sz w:val="32"/>
          <w:szCs w:val="32"/>
        </w:rPr>
        <w:t>2</w:t>
      </w:r>
      <w:r>
        <w:rPr>
          <w:color w:val="000000" w:themeColor="text1"/>
          <w:sz w:val="32"/>
          <w:szCs w:val="32"/>
        </w:rPr>
        <w:t>-4</w:t>
      </w:r>
      <w:r>
        <w:rPr>
          <w:rFonts w:hint="eastAsia"/>
          <w:color w:val="000000" w:themeColor="text1"/>
          <w:sz w:val="32"/>
          <w:szCs w:val="32"/>
        </w:rPr>
        <w:t>5</w:t>
      </w:r>
    </w:p>
    <w:p>
      <w:pPr>
        <w:spacing w:line="578" w:lineRule="exact"/>
        <w:rPr>
          <w:rFonts w:eastAsia="黑体"/>
          <w:color w:val="000000" w:themeColor="text1"/>
          <w:sz w:val="48"/>
          <w:szCs w:val="48"/>
        </w:rPr>
      </w:pPr>
      <w:r>
        <w:rPr>
          <w:color w:val="000000" w:themeColor="text1"/>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971"/>
      <w:bookmarkStart w:id="4" w:name="_Toc3391742"/>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18</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870"/>
        <w:gridCol w:w="808"/>
        <w:gridCol w:w="870"/>
        <w:gridCol w:w="615"/>
        <w:gridCol w:w="714"/>
        <w:gridCol w:w="620"/>
        <w:gridCol w:w="572"/>
        <w:gridCol w:w="687"/>
        <w:gridCol w:w="944"/>
        <w:gridCol w:w="1089"/>
        <w:gridCol w:w="515"/>
        <w:gridCol w:w="343"/>
        <w:gridCol w:w="54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5"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5"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5"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达州市河市东片区（东片）B17-01/01地块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河市东片区（河龙水库南侧）</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37825平方米（折合56.74亩）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5700万元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8"/>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8"/>
          <w:rFonts w:eastAsia="仿宋"/>
          <w:b/>
          <w:color w:val="000000" w:themeColor="text1"/>
          <w:sz w:val="32"/>
          <w:szCs w:val="32"/>
          <w:u w:val="none"/>
        </w:rPr>
      </w:pPr>
      <w:r>
        <w:rPr>
          <w:rStyle w:val="18"/>
          <w:rFonts w:eastAsia="仿宋"/>
          <w:color w:val="000000" w:themeColor="text1"/>
          <w:sz w:val="32"/>
          <w:szCs w:val="32"/>
          <w:u w:val="none"/>
        </w:rPr>
        <w:t>已完成用户注册的竞买申请人须在</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w:t>
      </w:r>
      <w:r>
        <w:rPr>
          <w:rStyle w:val="18"/>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u w:val="none"/>
        </w:rPr>
        <w:t>http://www.dzggzy.cn</w:t>
      </w:r>
      <w:r>
        <w:rPr>
          <w:rStyle w:val="18"/>
          <w:rFonts w:eastAsia="仿宋"/>
          <w:color w:val="000000" w:themeColor="text1"/>
          <w:sz w:val="32"/>
          <w:szCs w:val="32"/>
          <w:u w:val="none"/>
        </w:rPr>
        <w:fldChar w:fldCharType="end"/>
      </w:r>
      <w:r>
        <w:rPr>
          <w:rStyle w:val="18"/>
          <w:rFonts w:eastAsia="仿宋"/>
          <w:color w:val="000000" w:themeColor="text1"/>
          <w:sz w:val="32"/>
          <w:szCs w:val="32"/>
          <w:u w:val="none"/>
        </w:rPr>
        <w:t>）通过系统提交竞买申请。通过指定账户缴纳竞买保证金，到账截止时间为</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日17:00时</w:t>
      </w:r>
      <w:r>
        <w:rPr>
          <w:rStyle w:val="18"/>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8"/>
          <w:rFonts w:eastAsia="仿宋"/>
          <w:color w:val="000000" w:themeColor="text1"/>
          <w:sz w:val="32"/>
          <w:szCs w:val="32"/>
        </w:rPr>
        <w:t>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11</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2"/>
        <w:ind w:left="0" w:leftChars="0" w:firstLine="0" w:firstLineChars="0"/>
        <w:rPr>
          <w:rFonts w:ascii="Times New Roman" w:hAnsi="Times New Roman" w:eastAsia="方正小标宋简体"/>
          <w:b w:val="0"/>
          <w:color w:val="000000" w:themeColor="text1"/>
          <w:sz w:val="44"/>
          <w:szCs w:val="44"/>
        </w:rPr>
      </w:pPr>
    </w:p>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asciiTheme="minorEastAsia" w:hAnsiTheme="minorEastAsia" w:eastAsiaTheme="minorEastAsia"/>
          <w:snapToGrid w:val="0"/>
          <w:color w:val="000000" w:themeColor="text1"/>
          <w:kern w:val="0"/>
          <w:sz w:val="28"/>
          <w:szCs w:val="28"/>
          <w:u w:val="single"/>
        </w:rPr>
        <w:t>马踏洞片区中心服务区08-04a地块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马踏洞片区（龙马大道与鱼泉街交汇处）</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马踏洞片区中心服务区08-04a地块供地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rPr>
        <w:t>39560平方米（折合59.34亩）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rPr>
        <w:t>二类</w:t>
      </w:r>
      <w:r>
        <w:rPr>
          <w:rFonts w:hint="eastAsia"/>
          <w:color w:val="000000" w:themeColor="text1"/>
          <w:sz w:val="28"/>
          <w:szCs w:val="28"/>
          <w:lang w:val="en-US" w:eastAsia="zh-CN"/>
        </w:rPr>
        <w:t>居住</w:t>
      </w:r>
      <w:r>
        <w:rPr>
          <w:rFonts w:hint="eastAsia"/>
          <w:color w:val="000000" w:themeColor="text1"/>
          <w:sz w:val="28"/>
          <w:szCs w:val="28"/>
        </w:rPr>
        <w:t>用地</w:t>
      </w:r>
      <w:r>
        <w:rPr>
          <w:rFonts w:hint="eastAsia"/>
          <w:color w:val="000000" w:themeColor="text1"/>
          <w:sz w:val="28"/>
          <w:szCs w:val="28"/>
          <w:lang w:eastAsia="zh-CN"/>
        </w:rPr>
        <w:t>（</w:t>
      </w:r>
      <w:r>
        <w:rPr>
          <w:rFonts w:hint="eastAsia"/>
          <w:color w:val="000000" w:themeColor="text1"/>
          <w:sz w:val="28"/>
          <w:szCs w:val="28"/>
          <w:lang w:val="en-US" w:eastAsia="zh-CN"/>
        </w:rPr>
        <w:t>配建不大于计容总建筑面积10%的商业服务用房</w:t>
      </w:r>
      <w:r>
        <w:rPr>
          <w:rFonts w:hint="eastAsia"/>
          <w:color w:val="000000" w:themeColor="text1"/>
          <w:sz w:val="28"/>
          <w:szCs w:val="28"/>
          <w:lang w:eastAsia="zh-CN"/>
        </w:rPr>
        <w:t>），</w:t>
      </w:r>
      <w:r>
        <w:rPr>
          <w:rFonts w:hint="eastAsia"/>
          <w:color w:val="000000" w:themeColor="text1"/>
          <w:sz w:val="28"/>
          <w:szCs w:val="28"/>
          <w:lang w:val="en-US" w:eastAsia="zh-CN"/>
        </w:rPr>
        <w:t>用地用海分类为二类城镇住宅用地</w:t>
      </w:r>
      <w:r>
        <w:rPr>
          <w:rFonts w:hint="eastAsia"/>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rPr>
        <w:t>商业40年、住宅70年</w:t>
      </w:r>
      <w:r>
        <w:rPr>
          <w:color w:val="000000" w:themeColor="text1"/>
          <w:sz w:val="28"/>
          <w:szCs w:val="28"/>
        </w:rPr>
        <w:t>；</w:t>
      </w:r>
    </w:p>
    <w:p>
      <w:pPr>
        <w:spacing w:line="62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马踏洞片区中心服务区08-04a地块</w:t>
      </w:r>
      <w:r>
        <w:rPr>
          <w:color w:val="000000" w:themeColor="text1"/>
          <w:sz w:val="28"/>
          <w:szCs w:val="28"/>
        </w:rPr>
        <w:t>规划条件》；</w:t>
      </w:r>
    </w:p>
    <w:p>
      <w:pPr>
        <w:widowControl/>
        <w:spacing w:line="560" w:lineRule="exact"/>
        <w:ind w:firstLine="560" w:firstLineChars="200"/>
        <w:textAlignment w:val="center"/>
        <w:rPr>
          <w:rFonts w:hint="eastAsia"/>
          <w:color w:val="000000" w:themeColor="text1"/>
          <w:sz w:val="28"/>
          <w:szCs w:val="28"/>
        </w:rPr>
      </w:pPr>
      <w:r>
        <w:rPr>
          <w:color w:val="000000" w:themeColor="text1"/>
          <w:sz w:val="28"/>
          <w:szCs w:val="28"/>
        </w:rPr>
        <w:t>（七）</w:t>
      </w:r>
      <w:r>
        <w:rPr>
          <w:rFonts w:hint="eastAsia"/>
          <w:color w:val="000000" w:themeColor="text1"/>
          <w:sz w:val="28"/>
          <w:szCs w:val="28"/>
          <w:lang w:val="en-US" w:eastAsia="zh-CN"/>
        </w:rPr>
        <w:t>其他规划条件：</w:t>
      </w:r>
      <w:r>
        <w:rPr>
          <w:rFonts w:hint="eastAsia"/>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设计方案中商业用房应设置商业专用烟道，且商业、居住须分离布局。临城市重要景观道路及规划宽度30米（含30米）以上道路的住宅建筑临街外立面应进行公建化设计，建筑临街外立面设置阳台时应封闭。地块内建筑间距、退用地界线距离、退规划绿带距离、退规划道路距离、停车泊位等应满足《城市居住区规划设计标准》（GB50180-2018）、《达州市国土空间规划管理技术规定（2021版）》、《达州市马踏洞片区中心服务区控制性详细规划》等相关规定。</w:t>
      </w:r>
    </w:p>
    <w:p>
      <w:pPr>
        <w:spacing w:line="620" w:lineRule="exact"/>
        <w:ind w:firstLine="560" w:firstLineChars="200"/>
        <w:rPr>
          <w:rFonts w:hint="eastAsia"/>
          <w:color w:val="000000" w:themeColor="text1"/>
          <w:sz w:val="28"/>
          <w:szCs w:val="28"/>
        </w:rPr>
      </w:pPr>
      <w:r>
        <w:rPr>
          <w:color w:val="000000" w:themeColor="text1"/>
          <w:sz w:val="28"/>
          <w:szCs w:val="28"/>
        </w:rPr>
        <w:t>（八）</w:t>
      </w:r>
      <w:r>
        <w:rPr>
          <w:rFonts w:hint="eastAsia"/>
          <w:color w:val="000000" w:themeColor="text1"/>
          <w:sz w:val="28"/>
          <w:szCs w:val="28"/>
        </w:rPr>
        <w:t>该地块配套要求</w:t>
      </w:r>
    </w:p>
    <w:p>
      <w:pPr>
        <w:spacing w:line="620" w:lineRule="exact"/>
        <w:ind w:firstLine="560" w:firstLineChars="200"/>
        <w:rPr>
          <w:color w:val="000000" w:themeColor="text1"/>
          <w:sz w:val="28"/>
          <w:szCs w:val="28"/>
        </w:rPr>
      </w:pPr>
      <w:r>
        <w:rPr>
          <w:rFonts w:hint="eastAsia"/>
          <w:color w:val="000000" w:themeColor="text1"/>
          <w:sz w:val="28"/>
          <w:szCs w:val="28"/>
        </w:rPr>
        <w:t>1</w:t>
      </w:r>
      <w:r>
        <w:rPr>
          <w:rFonts w:hint="eastAsia"/>
          <w:color w:val="000000" w:themeColor="text1"/>
          <w:sz w:val="28"/>
          <w:szCs w:val="28"/>
          <w:lang w:val="en-US" w:eastAsia="zh-CN"/>
        </w:rPr>
        <w:t>.</w:t>
      </w:r>
      <w:r>
        <w:rPr>
          <w:rFonts w:hint="eastAsia"/>
          <w:color w:val="000000" w:themeColor="text1"/>
          <w:sz w:val="28"/>
          <w:szCs w:val="28"/>
        </w:rPr>
        <w:t>根据《达州市人民政府办公室关于印发达州市中心城区新建住宅小区配套建设社区综合服务设施实施办法的通知》（达市府办〔2018〕57号）精神，按照计容住宅建筑面积3‰的比例无偿配建一个或多个社区综合服务设施。社区综合服务设施的建筑面积不计入项目容积率，其不动产权和使用权归地方政府。</w:t>
      </w:r>
    </w:p>
    <w:p>
      <w:pPr>
        <w:ind w:firstLine="560" w:firstLineChars="200"/>
        <w:jc w:val="left"/>
        <w:rPr>
          <w:color w:val="000000" w:themeColor="text1"/>
          <w:sz w:val="28"/>
          <w:szCs w:val="28"/>
        </w:rPr>
      </w:pPr>
      <w:r>
        <w:rPr>
          <w:rFonts w:hint="eastAsia"/>
          <w:color w:val="000000" w:themeColor="text1"/>
          <w:sz w:val="28"/>
          <w:szCs w:val="28"/>
        </w:rPr>
        <w:t>2</w:t>
      </w:r>
      <w:r>
        <w:rPr>
          <w:rFonts w:hint="eastAsia"/>
          <w:color w:val="000000" w:themeColor="text1"/>
          <w:sz w:val="28"/>
          <w:szCs w:val="28"/>
          <w:lang w:eastAsia="zh-CN"/>
        </w:rPr>
        <w:t>.</w:t>
      </w:r>
      <w:r>
        <w:rPr>
          <w:rFonts w:hint="eastAsia"/>
          <w:color w:val="000000" w:themeColor="text1"/>
          <w:sz w:val="28"/>
          <w:szCs w:val="28"/>
        </w:rPr>
        <w:t>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spacing w:line="620" w:lineRule="exact"/>
        <w:ind w:firstLine="560" w:firstLineChars="200"/>
        <w:rPr>
          <w:color w:val="000000" w:themeColor="text1"/>
          <w:sz w:val="28"/>
          <w:szCs w:val="28"/>
        </w:rPr>
      </w:pPr>
      <w:r>
        <w:rPr>
          <w:rFonts w:hint="eastAsia"/>
          <w:color w:val="000000" w:themeColor="text1"/>
          <w:sz w:val="28"/>
          <w:szCs w:val="28"/>
        </w:rPr>
        <w:t>（九）土地竞得人须严格按照马踏洞片区中心服务区08-04a地块规划条件及要求进行开发建设；须严格按照地质灾害防治的相关要求，落实地质灾害防治措施；须严格按照生态环境保护的相关要求，开展环境影响评价，落实生态环境保护措施。</w:t>
      </w:r>
    </w:p>
    <w:p>
      <w:pPr>
        <w:spacing w:line="620" w:lineRule="exact"/>
        <w:ind w:firstLine="560" w:firstLineChars="200"/>
        <w:rPr>
          <w:color w:val="000000" w:themeColor="text1"/>
          <w:sz w:val="28"/>
          <w:szCs w:val="28"/>
        </w:rPr>
      </w:pPr>
      <w:r>
        <w:rPr>
          <w:rFonts w:hint="eastAsia"/>
          <w:color w:val="000000" w:themeColor="text1"/>
          <w:sz w:val="28"/>
          <w:szCs w:val="28"/>
        </w:rPr>
        <w:t>（十）在土地竞得人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color w:val="000000" w:themeColor="text1"/>
          <w:sz w:val="28"/>
          <w:szCs w:val="28"/>
        </w:rPr>
      </w:pPr>
      <w:r>
        <w:rPr>
          <w:color w:val="000000" w:themeColor="text1"/>
          <w:sz w:val="28"/>
          <w:szCs w:val="28"/>
        </w:rPr>
        <w:t>（十一）</w:t>
      </w:r>
      <w:r>
        <w:rPr>
          <w:rFonts w:hint="eastAsia"/>
          <w:color w:val="000000" w:themeColor="text1"/>
          <w:sz w:val="28"/>
          <w:szCs w:val="28"/>
        </w:rPr>
        <w:t>竞买人须承诺：土地所在辖区外的竞买人，若竞得土地使用权，须在土地所在辖区注册成立一家新公司对竞得土地进行开发建设。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rPr>
        <w:t>（一）</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1</w:t>
      </w:r>
      <w:r>
        <w:rPr>
          <w:rFonts w:eastAsiaTheme="minorEastAsia"/>
          <w:b/>
          <w:sz w:val="28"/>
          <w:szCs w:val="28"/>
          <w:u w:val="single"/>
        </w:rPr>
        <w:t>月</w:t>
      </w:r>
      <w:r>
        <w:rPr>
          <w:rFonts w:hint="eastAsia" w:eastAsiaTheme="minorEastAsia"/>
          <w:b/>
          <w:sz w:val="28"/>
          <w:szCs w:val="28"/>
          <w:u w:val="single"/>
        </w:rPr>
        <w:t>2</w:t>
      </w:r>
      <w:r>
        <w:rPr>
          <w:rFonts w:hint="eastAsia" w:eastAsiaTheme="minorEastAsia"/>
          <w:b/>
          <w:sz w:val="28"/>
          <w:szCs w:val="28"/>
          <w:u w:val="single"/>
          <w:lang w:val="en-US" w:eastAsia="zh-CN"/>
        </w:rPr>
        <w:t>1</w:t>
      </w:r>
      <w:r>
        <w:rPr>
          <w:rFonts w:eastAsiaTheme="minorEastAsia"/>
          <w:b/>
          <w:sz w:val="28"/>
          <w:szCs w:val="28"/>
          <w:u w:val="single"/>
        </w:rPr>
        <w:t>日至2022年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11</w:t>
      </w:r>
      <w:r>
        <w:rPr>
          <w:rFonts w:eastAsiaTheme="minorEastAsia"/>
          <w:b/>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bookmarkStart w:id="22" w:name="_GoBack"/>
      <w:bookmarkEnd w:id="22"/>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sz w:val="28"/>
          <w:szCs w:val="28"/>
        </w:rPr>
        <w:t>（</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9:00</w:t>
      </w:r>
      <w:r>
        <w:rPr>
          <w:rFonts w:eastAsiaTheme="minorEastAsia"/>
          <w:sz w:val="28"/>
          <w:szCs w:val="28"/>
        </w:rPr>
        <w:t>之前将竞买申请文件原</w:t>
      </w:r>
      <w:r>
        <w:rPr>
          <w:rFonts w:eastAsiaTheme="minorEastAsia"/>
          <w:color w:val="000000" w:themeColor="text1"/>
          <w:sz w:val="28"/>
          <w:szCs w:val="28"/>
        </w:rPr>
        <w:t>件提交至4B-17，未按时提交原件的视为自行放弃竞买资格。</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6"/>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rPr>
        <w:t>1</w:t>
      </w:r>
      <w:r>
        <w:rPr>
          <w:rFonts w:hint="eastAsia" w:eastAsiaTheme="minorEastAsia"/>
          <w:b/>
          <w:sz w:val="28"/>
          <w:szCs w:val="28"/>
          <w:u w:val="single"/>
          <w:lang w:val="en-US" w:eastAsia="zh-CN"/>
        </w:rPr>
        <w:t>2</w:t>
      </w:r>
      <w:r>
        <w:rPr>
          <w:rFonts w:eastAsiaTheme="minorEastAsia"/>
          <w:b/>
          <w:sz w:val="28"/>
          <w:szCs w:val="28"/>
          <w:u w:val="single"/>
        </w:rPr>
        <w:t>月</w:t>
      </w:r>
      <w:r>
        <w:rPr>
          <w:rFonts w:hint="eastAsia" w:eastAsiaTheme="minorEastAsia"/>
          <w:b/>
          <w:sz w:val="28"/>
          <w:szCs w:val="28"/>
          <w:u w:val="single"/>
          <w:lang w:val="en-US" w:eastAsia="zh-CN"/>
        </w:rPr>
        <w:t>12</w:t>
      </w:r>
      <w:r>
        <w:rPr>
          <w:rFonts w:eastAsiaTheme="minorEastAsia"/>
          <w:b/>
          <w:sz w:val="28"/>
          <w:szCs w:val="28"/>
          <w:u w:val="single"/>
        </w:rPr>
        <w:t>日 1</w:t>
      </w:r>
      <w:r>
        <w:rPr>
          <w:rFonts w:hint="eastAsia" w:eastAsiaTheme="minorEastAsia"/>
          <w:b/>
          <w:sz w:val="28"/>
          <w:szCs w:val="28"/>
          <w:u w:val="single"/>
        </w:rPr>
        <w:t>1</w:t>
      </w:r>
      <w:r>
        <w:rPr>
          <w:rFonts w:eastAsiaTheme="minorEastAsia"/>
          <w:b/>
          <w:sz w:val="28"/>
          <w:szCs w:val="28"/>
          <w:u w:val="single"/>
        </w:rPr>
        <w:t>：</w:t>
      </w:r>
      <w:r>
        <w:rPr>
          <w:rFonts w:hint="eastAsia" w:eastAsiaTheme="minorEastAsia"/>
          <w:b/>
          <w:sz w:val="28"/>
          <w:szCs w:val="28"/>
          <w:u w:val="single"/>
        </w:rPr>
        <w:t>0</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rPr>
        <w:t>二</w:t>
      </w:r>
      <w:r>
        <w:rPr>
          <w:rFonts w:eastAsiaTheme="minorEastAsia"/>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Cs/>
          <w:sz w:val="28"/>
          <w:szCs w:val="28"/>
          <w:u w:val="single"/>
        </w:rPr>
        <w:t>2022年</w:t>
      </w:r>
      <w:r>
        <w:rPr>
          <w:rFonts w:hint="eastAsia" w:eastAsiaTheme="minorEastAsia"/>
          <w:bCs/>
          <w:sz w:val="28"/>
          <w:szCs w:val="28"/>
          <w:u w:val="single"/>
        </w:rPr>
        <w:t>1</w:t>
      </w:r>
      <w:r>
        <w:rPr>
          <w:rFonts w:hint="eastAsia" w:eastAsiaTheme="minorEastAsia"/>
          <w:bCs/>
          <w:sz w:val="28"/>
          <w:szCs w:val="28"/>
          <w:u w:val="single"/>
          <w:lang w:val="en-US" w:eastAsia="zh-CN"/>
        </w:rPr>
        <w:t>2</w:t>
      </w:r>
      <w:r>
        <w:rPr>
          <w:rFonts w:eastAsiaTheme="minorEastAsia"/>
          <w:bCs/>
          <w:sz w:val="28"/>
          <w:szCs w:val="28"/>
          <w:u w:val="single"/>
        </w:rPr>
        <w:t>月</w:t>
      </w:r>
      <w:r>
        <w:rPr>
          <w:rFonts w:hint="eastAsia" w:eastAsiaTheme="minorEastAsia"/>
          <w:bCs/>
          <w:sz w:val="28"/>
          <w:szCs w:val="28"/>
          <w:u w:val="single"/>
          <w:lang w:val="en-US" w:eastAsia="zh-CN"/>
        </w:rPr>
        <w:t>12</w:t>
      </w:r>
      <w:r>
        <w:rPr>
          <w:rFonts w:eastAsiaTheme="minorEastAsia"/>
          <w:bCs/>
          <w:sz w:val="28"/>
          <w:szCs w:val="28"/>
          <w:u w:val="single"/>
        </w:rPr>
        <w:t>日上午</w:t>
      </w:r>
      <w:r>
        <w:rPr>
          <w:rFonts w:hint="eastAsia" w:eastAsiaTheme="minorEastAsia"/>
          <w:bCs/>
          <w:sz w:val="28"/>
          <w:szCs w:val="28"/>
          <w:u w:val="single"/>
        </w:rPr>
        <w:t>11：0</w:t>
      </w:r>
      <w:r>
        <w:rPr>
          <w:rFonts w:eastAsiaTheme="minorEastAsia"/>
          <w:bCs/>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rPr>
        <w:t>345</w:t>
      </w:r>
      <w:r>
        <w:rPr>
          <w:rFonts w:eastAsiaTheme="minorEastAsia"/>
          <w:color w:val="000000" w:themeColor="text1"/>
          <w:sz w:val="28"/>
          <w:szCs w:val="28"/>
        </w:rPr>
        <w:t>万元/亩</w:t>
      </w:r>
      <w:r>
        <w:rPr>
          <w:rFonts w:hint="eastAsia" w:eastAsiaTheme="minorEastAsia"/>
          <w:color w:val="000000" w:themeColor="text1"/>
          <w:sz w:val="28"/>
          <w:szCs w:val="28"/>
        </w:rPr>
        <w:t>，</w:t>
      </w:r>
      <w:r>
        <w:rPr>
          <w:rFonts w:eastAsiaTheme="minorEastAsia"/>
          <w:color w:val="000000" w:themeColor="text1"/>
          <w:sz w:val="28"/>
          <w:szCs w:val="28"/>
        </w:rPr>
        <w:t>增价幅度为5万元/亩或5万元/亩的整倍数。成交总地价=拍卖成交最高亩价×出让面积</w:t>
      </w:r>
      <w:r>
        <w:rPr>
          <w:rFonts w:hint="eastAsia" w:eastAsiaTheme="minorEastAsia"/>
          <w:color w:val="000000" w:themeColor="text1"/>
          <w:sz w:val="28"/>
          <w:szCs w:val="28"/>
        </w:rPr>
        <w:t>59.34</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rPr>
        <w:t>（十）</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eastAsia="宋体"/>
          <w:kern w:val="0"/>
          <w:sz w:val="24"/>
        </w:rPr>
      </w:pPr>
      <w:bookmarkStart w:id="5" w:name="_Toc3391743"/>
      <w:bookmarkStart w:id="6" w:name="_Toc3391972"/>
      <w:r>
        <w:rPr>
          <w:rFonts w:ascii="Times New Roman" w:hAnsi="Times New Roman" w:eastAsia="黑体"/>
          <w:color w:val="000000" w:themeColor="text1"/>
          <w:sz w:val="44"/>
          <w:szCs w:val="44"/>
        </w:rPr>
        <w:t>地块规划条件</w:t>
      </w:r>
      <w:bookmarkEnd w:id="5"/>
      <w:bookmarkEnd w:id="6"/>
    </w:p>
    <w:p>
      <w:pPr>
        <w:spacing w:line="480" w:lineRule="exact"/>
        <w:rPr>
          <w:rFonts w:hint="eastAsia" w:ascii="方正小标宋简体" w:hAnsi="方正小标宋简体" w:eastAsia="方正小标宋简体" w:cs="方正小标宋简体"/>
          <w:bCs/>
          <w:sz w:val="44"/>
          <w:szCs w:val="44"/>
        </w:rPr>
      </w:pPr>
      <w:bookmarkStart w:id="7" w:name="_Toc3391744"/>
      <w:bookmarkStart w:id="8" w:name="_Toc3391973"/>
    </w:p>
    <w:p>
      <w:pPr>
        <w:pStyle w:val="2"/>
        <w:rPr>
          <w:rFonts w:hint="eastAsia"/>
        </w:rPr>
      </w:pPr>
      <w:r>
        <w:drawing>
          <wp:inline distT="0" distB="0" distL="114300" distR="114300">
            <wp:extent cx="5271135" cy="6445885"/>
            <wp:effectExtent l="0" t="0" r="5715"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5271135" cy="6445885"/>
                    </a:xfrm>
                    <a:prstGeom prst="rect">
                      <a:avLst/>
                    </a:prstGeom>
                    <a:noFill/>
                    <a:ln>
                      <a:noFill/>
                    </a:ln>
                  </pic:spPr>
                </pic:pic>
              </a:graphicData>
            </a:graphic>
          </wp:inline>
        </w:drawing>
      </w:r>
      <w:r>
        <w:drawing>
          <wp:inline distT="0" distB="0" distL="114300" distR="114300">
            <wp:extent cx="5270500" cy="6832600"/>
            <wp:effectExtent l="0" t="0" r="6350"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5270500" cy="6832600"/>
                    </a:xfrm>
                    <a:prstGeom prst="rect">
                      <a:avLst/>
                    </a:prstGeom>
                    <a:noFill/>
                    <a:ln>
                      <a:noFill/>
                    </a:ln>
                  </pic:spPr>
                </pic:pic>
              </a:graphicData>
            </a:graphic>
          </wp:inline>
        </w:drawing>
      </w: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rPr>
          <w:color w:val="000000" w:themeColor="text1"/>
          <w:sz w:val="28"/>
          <w:szCs w:val="28"/>
        </w:rPr>
        <w:drawing>
          <wp:inline distT="0" distB="0" distL="0" distR="0">
            <wp:extent cx="5274310" cy="3458845"/>
            <wp:effectExtent l="19050" t="0" r="2540" b="0"/>
            <wp:docPr id="39" name="图片 17" descr="D:\2022年出让\马踏洞中心服务区08-04 a\马踏08-04a地块用地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D:\2022年出让\马踏洞中心服务区08-04 a\马踏08-04a地块用地红线图.jpg"/>
                    <pic:cNvPicPr>
                      <a:picLocks noChangeAspect="1" noChangeArrowheads="1"/>
                    </pic:cNvPicPr>
                  </pic:nvPicPr>
                  <pic:blipFill>
                    <a:blip r:embed="rId27" cstate="print"/>
                    <a:srcRect/>
                    <a:stretch>
                      <a:fillRect/>
                    </a:stretch>
                  </pic:blipFill>
                  <pic:spPr>
                    <a:xfrm>
                      <a:off x="0" y="0"/>
                      <a:ext cx="5274310" cy="3459248"/>
                    </a:xfrm>
                    <a:prstGeom prst="rect">
                      <a:avLst/>
                    </a:prstGeom>
                    <a:noFill/>
                    <a:ln w="9525">
                      <a:noFill/>
                      <a:miter lim="800000"/>
                      <a:headEnd/>
                      <a:tailEnd/>
                    </a:ln>
                  </pic:spPr>
                </pic:pic>
              </a:graphicData>
            </a:graphic>
          </wp:inline>
        </w:drawing>
      </w:r>
    </w:p>
    <w:p>
      <w:pPr>
        <w:pStyle w:val="13"/>
        <w:rPr>
          <w:rFonts w:ascii="Times New Roman" w:hAnsi="Times New Roman" w:eastAsia="黑体"/>
          <w:color w:val="000000" w:themeColor="text1"/>
          <w:sz w:val="44"/>
          <w:szCs w:val="44"/>
        </w:rPr>
      </w:pPr>
      <w:bookmarkStart w:id="9" w:name="_Toc3391974"/>
      <w:bookmarkStart w:id="10" w:name="_Toc3391745"/>
      <w:r>
        <w:rPr>
          <w:rFonts w:ascii="Times New Roman" w:hAnsi="Times New Roman" w:eastAsia="黑体"/>
          <w:color w:val="000000" w:themeColor="text1"/>
          <w:sz w:val="44"/>
          <w:szCs w:val="44"/>
        </w:rPr>
        <w:t>用地勘界图</w:t>
      </w:r>
      <w:bookmarkEnd w:id="9"/>
      <w:bookmarkEnd w:id="10"/>
    </w:p>
    <w:p/>
    <w:p>
      <w:pPr>
        <w:widowControl/>
        <w:rPr>
          <w:color w:val="000000" w:themeColor="text1"/>
          <w:sz w:val="28"/>
          <w:szCs w:val="28"/>
        </w:rPr>
      </w:pPr>
    </w:p>
    <w:p>
      <w:pPr>
        <w:jc w:val="cente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8595" cy="5227955"/>
            <wp:effectExtent l="0" t="0" r="8255"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8"/>
                    <a:stretch>
                      <a:fillRect/>
                    </a:stretch>
                  </pic:blipFill>
                  <pic:spPr>
                    <a:xfrm>
                      <a:off x="0" y="0"/>
                      <a:ext cx="5268595" cy="5227955"/>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6"/>
        <w:spacing w:line="420" w:lineRule="exact"/>
        <w:rPr>
          <w:color w:val="000000" w:themeColor="text1"/>
          <w:sz w:val="24"/>
          <w:szCs w:val="24"/>
        </w:rPr>
      </w:pPr>
    </w:p>
    <w:p>
      <w:pPr>
        <w:pStyle w:val="26"/>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6"/>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6"/>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6"/>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6"/>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6"/>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6"/>
        <w:spacing w:line="420" w:lineRule="exact"/>
        <w:ind w:firstLine="470" w:firstLineChars="196"/>
        <w:rPr>
          <w:color w:val="000000" w:themeColor="text1"/>
          <w:sz w:val="24"/>
          <w:szCs w:val="24"/>
        </w:rPr>
      </w:pPr>
    </w:p>
    <w:p>
      <w:pPr>
        <w:pStyle w:val="26"/>
        <w:spacing w:line="420" w:lineRule="exact"/>
        <w:ind w:left="0"/>
        <w:rPr>
          <w:color w:val="000000" w:themeColor="text1"/>
          <w:sz w:val="24"/>
          <w:szCs w:val="24"/>
        </w:rPr>
      </w:pPr>
      <w:r>
        <w:rPr>
          <w:color w:val="000000" w:themeColor="text1"/>
          <w:sz w:val="24"/>
          <w:szCs w:val="24"/>
        </w:rPr>
        <w:t>竞买申请人（盖章）：</w:t>
      </w:r>
    </w:p>
    <w:p>
      <w:pPr>
        <w:pStyle w:val="26"/>
        <w:spacing w:line="420" w:lineRule="exact"/>
        <w:ind w:left="0"/>
        <w:rPr>
          <w:color w:val="000000" w:themeColor="text1"/>
          <w:sz w:val="24"/>
          <w:szCs w:val="24"/>
        </w:rPr>
      </w:pPr>
      <w:r>
        <w:rPr>
          <w:color w:val="000000" w:themeColor="text1"/>
          <w:sz w:val="24"/>
          <w:szCs w:val="24"/>
        </w:rPr>
        <w:t>法定代表人（本人签名）：</w:t>
      </w:r>
    </w:p>
    <w:p>
      <w:pPr>
        <w:pStyle w:val="26"/>
        <w:spacing w:line="420" w:lineRule="exact"/>
        <w:ind w:left="0"/>
        <w:rPr>
          <w:color w:val="000000" w:themeColor="text1"/>
          <w:sz w:val="24"/>
          <w:szCs w:val="24"/>
        </w:rPr>
      </w:pPr>
      <w:r>
        <w:rPr>
          <w:color w:val="000000" w:themeColor="text1"/>
          <w:sz w:val="24"/>
          <w:szCs w:val="24"/>
        </w:rPr>
        <w:t>联系人：</w:t>
      </w:r>
    </w:p>
    <w:p>
      <w:pPr>
        <w:pStyle w:val="26"/>
        <w:spacing w:line="420" w:lineRule="exact"/>
        <w:ind w:left="0"/>
        <w:rPr>
          <w:color w:val="000000" w:themeColor="text1"/>
          <w:sz w:val="24"/>
          <w:szCs w:val="24"/>
        </w:rPr>
      </w:pPr>
      <w:r>
        <w:rPr>
          <w:color w:val="000000" w:themeColor="text1"/>
          <w:sz w:val="24"/>
          <w:szCs w:val="24"/>
        </w:rPr>
        <w:t>地址：</w:t>
      </w:r>
    </w:p>
    <w:p>
      <w:pPr>
        <w:pStyle w:val="26"/>
        <w:spacing w:line="420" w:lineRule="exact"/>
        <w:ind w:left="0"/>
        <w:rPr>
          <w:color w:val="000000" w:themeColor="text1"/>
          <w:sz w:val="24"/>
          <w:szCs w:val="24"/>
        </w:rPr>
      </w:pPr>
      <w:r>
        <w:rPr>
          <w:color w:val="000000" w:themeColor="text1"/>
          <w:sz w:val="24"/>
          <w:szCs w:val="24"/>
        </w:rPr>
        <w:t>电话：</w:t>
      </w:r>
    </w:p>
    <w:p>
      <w:pPr>
        <w:pStyle w:val="26"/>
        <w:spacing w:line="420" w:lineRule="exact"/>
        <w:ind w:left="0"/>
        <w:rPr>
          <w:color w:val="000000" w:themeColor="text1"/>
          <w:sz w:val="24"/>
          <w:szCs w:val="24"/>
        </w:rPr>
      </w:pPr>
      <w:r>
        <w:rPr>
          <w:color w:val="000000" w:themeColor="text1"/>
          <w:sz w:val="24"/>
          <w:szCs w:val="24"/>
        </w:rPr>
        <w:t>申请日期：  年   月   日</w:t>
      </w:r>
    </w:p>
    <w:p>
      <w:pPr>
        <w:pStyle w:val="26"/>
        <w:spacing w:line="420" w:lineRule="exact"/>
        <w:ind w:left="0" w:firstLine="510"/>
        <w:rPr>
          <w:color w:val="000000" w:themeColor="text1"/>
          <w:sz w:val="24"/>
          <w:szCs w:val="24"/>
        </w:rPr>
      </w:pPr>
    </w:p>
    <w:p>
      <w:pPr>
        <w:pStyle w:val="26"/>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977"/>
      <w:bookmarkStart w:id="16" w:name="_Toc3391748"/>
      <w:r>
        <w:rPr>
          <w:rFonts w:ascii="Times New Roman" w:hAnsi="Times New Roman" w:eastAsia="黑体"/>
          <w:color w:val="000000" w:themeColor="text1"/>
          <w:sz w:val="44"/>
          <w:szCs w:val="44"/>
        </w:rPr>
        <w:t>法定代表人身份证明书</w:t>
      </w:r>
      <w:bookmarkEnd w:id="15"/>
      <w:bookmarkEnd w:id="16"/>
    </w:p>
    <w:p>
      <w:pPr>
        <w:pStyle w:val="26"/>
        <w:spacing w:line="627" w:lineRule="atLeast"/>
        <w:ind w:left="0"/>
        <w:jc w:val="left"/>
        <w:rPr>
          <w:rFonts w:eastAsia="黑体"/>
          <w:color w:val="000000" w:themeColor="text1"/>
          <w:sz w:val="36"/>
          <w:szCs w:val="36"/>
        </w:rPr>
      </w:pPr>
    </w:p>
    <w:p>
      <w:pPr>
        <w:pStyle w:val="26"/>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6"/>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6"/>
        <w:spacing w:line="627" w:lineRule="atLeast"/>
        <w:ind w:firstLine="900" w:firstLineChars="300"/>
        <w:jc w:val="left"/>
        <w:rPr>
          <w:rFonts w:eastAsia="仿宋_GB2312"/>
          <w:color w:val="000000" w:themeColor="text1"/>
          <w:sz w:val="30"/>
          <w:szCs w:val="30"/>
        </w:rPr>
      </w:pPr>
    </w:p>
    <w:p>
      <w:pPr>
        <w:pStyle w:val="26"/>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left"/>
        <w:rPr>
          <w:color w:val="000000" w:themeColor="text1"/>
          <w:sz w:val="28"/>
          <w:szCs w:val="28"/>
        </w:rPr>
      </w:pPr>
    </w:p>
    <w:p>
      <w:pPr>
        <w:pStyle w:val="26"/>
        <w:spacing w:line="586" w:lineRule="atLeast"/>
        <w:jc w:val="left"/>
        <w:rPr>
          <w:color w:val="000000" w:themeColor="text1"/>
          <w:sz w:val="28"/>
          <w:szCs w:val="28"/>
        </w:rPr>
      </w:pPr>
      <w:r>
        <w:rPr>
          <w:color w:val="000000" w:themeColor="text1"/>
          <w:sz w:val="28"/>
          <w:szCs w:val="28"/>
        </w:rPr>
        <w:t>附注：</w:t>
      </w:r>
    </w:p>
    <w:p>
      <w:pPr>
        <w:pStyle w:val="26"/>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6"/>
        <w:spacing w:line="586" w:lineRule="atLeast"/>
        <w:ind w:firstLine="570"/>
        <w:jc w:val="left"/>
        <w:rPr>
          <w:color w:val="000000" w:themeColor="text1"/>
          <w:sz w:val="28"/>
          <w:szCs w:val="28"/>
        </w:rPr>
      </w:pPr>
      <w:r>
        <w:rPr>
          <w:color w:val="000000" w:themeColor="text1"/>
          <w:sz w:val="28"/>
          <w:szCs w:val="28"/>
        </w:rPr>
        <w:t>②法定代表人办公地点：；</w:t>
      </w:r>
    </w:p>
    <w:p>
      <w:pPr>
        <w:pStyle w:val="26"/>
        <w:spacing w:line="586" w:lineRule="atLeast"/>
        <w:ind w:firstLine="570"/>
        <w:jc w:val="left"/>
        <w:rPr>
          <w:color w:val="000000" w:themeColor="text1"/>
          <w:sz w:val="28"/>
          <w:szCs w:val="28"/>
        </w:rPr>
      </w:pPr>
      <w:r>
        <w:rPr>
          <w:color w:val="000000" w:themeColor="text1"/>
          <w:sz w:val="28"/>
          <w:szCs w:val="28"/>
        </w:rPr>
        <w:t>③法定代表人身份证号码：；</w:t>
      </w:r>
    </w:p>
    <w:p>
      <w:pPr>
        <w:pStyle w:val="26"/>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749"/>
      <w:bookmarkStart w:id="18" w:name="_Toc3391978"/>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6"/>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6"/>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6"/>
        <w:spacing w:line="600" w:lineRule="exact"/>
        <w:ind w:left="0"/>
        <w:rPr>
          <w:color w:val="000000" w:themeColor="text1"/>
        </w:rPr>
      </w:pPr>
    </w:p>
    <w:p>
      <w:pPr>
        <w:pStyle w:val="26"/>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0"/>
          <w:rFonts w:ascii="Times New Roman" w:hAnsi="Times New Roman"/>
          <w:color w:val="000000" w:themeColor="text1"/>
        </w:rPr>
      </w:pPr>
    </w:p>
    <w:p>
      <w:pPr>
        <w:pStyle w:val="5"/>
        <w:rPr>
          <w:rStyle w:val="20"/>
          <w:rFonts w:ascii="Times New Roman" w:hAnsi="Times New Roman"/>
          <w:color w:val="000000" w:themeColor="text1"/>
        </w:rPr>
      </w:pPr>
    </w:p>
    <w:p>
      <w:pPr>
        <w:pStyle w:val="3"/>
        <w:jc w:val="center"/>
        <w:rPr>
          <w:rFonts w:eastAsia="宋体"/>
          <w:color w:val="000000" w:themeColor="text1"/>
          <w:sz w:val="18"/>
          <w:szCs w:val="18"/>
        </w:rPr>
      </w:pPr>
      <w:bookmarkStart w:id="19" w:name="_Toc3391980"/>
      <w:bookmarkStart w:id="20" w:name="_Toc3391751"/>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3pt;width:418.2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4" o:spid="_x0000_s2054"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- 7 -</w:t>
                </w:r>
                <w:r>
                  <w:rPr>
                    <w:rFonts w:hint="eastAsia" w:ascii="宋体" w:hAnsi="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- 46 -</w:t>
                </w:r>
                <w:r>
                  <w:rPr>
                    <w:rFonts w:hint="eastAsia" w:ascii="宋体" w:hAnsi="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3554"/>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2F4CE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0AAD"/>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47D0"/>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10726A"/>
    <w:rsid w:val="04384486"/>
    <w:rsid w:val="04583A5F"/>
    <w:rsid w:val="04B15398"/>
    <w:rsid w:val="056814C3"/>
    <w:rsid w:val="05E1083F"/>
    <w:rsid w:val="06FA7189"/>
    <w:rsid w:val="07886409"/>
    <w:rsid w:val="07C85206"/>
    <w:rsid w:val="089900B5"/>
    <w:rsid w:val="090D2E85"/>
    <w:rsid w:val="093700E7"/>
    <w:rsid w:val="09657B78"/>
    <w:rsid w:val="0B1A4AB9"/>
    <w:rsid w:val="0B76632E"/>
    <w:rsid w:val="0B8C4961"/>
    <w:rsid w:val="0B9A6884"/>
    <w:rsid w:val="0BB04180"/>
    <w:rsid w:val="0BBF1C32"/>
    <w:rsid w:val="0CF92DA9"/>
    <w:rsid w:val="0CFF7400"/>
    <w:rsid w:val="0D822374"/>
    <w:rsid w:val="0DB37337"/>
    <w:rsid w:val="0DDD6766"/>
    <w:rsid w:val="0E2D6DD1"/>
    <w:rsid w:val="10034D9E"/>
    <w:rsid w:val="103B29D8"/>
    <w:rsid w:val="10C679D7"/>
    <w:rsid w:val="10E01064"/>
    <w:rsid w:val="111725AC"/>
    <w:rsid w:val="11797BE6"/>
    <w:rsid w:val="126976EC"/>
    <w:rsid w:val="132F26C0"/>
    <w:rsid w:val="13351506"/>
    <w:rsid w:val="13BD38DE"/>
    <w:rsid w:val="141D4DDA"/>
    <w:rsid w:val="14E16390"/>
    <w:rsid w:val="15CE1DD3"/>
    <w:rsid w:val="15E91C15"/>
    <w:rsid w:val="163B2879"/>
    <w:rsid w:val="16572F7C"/>
    <w:rsid w:val="16801789"/>
    <w:rsid w:val="16831C06"/>
    <w:rsid w:val="169528F0"/>
    <w:rsid w:val="16AD0964"/>
    <w:rsid w:val="16CF777F"/>
    <w:rsid w:val="16DE7DF3"/>
    <w:rsid w:val="17694C0B"/>
    <w:rsid w:val="18D0495C"/>
    <w:rsid w:val="19A31B88"/>
    <w:rsid w:val="1B9117F5"/>
    <w:rsid w:val="1BC879CD"/>
    <w:rsid w:val="1BEA0FE8"/>
    <w:rsid w:val="1C016273"/>
    <w:rsid w:val="1D345718"/>
    <w:rsid w:val="1D430F6E"/>
    <w:rsid w:val="1DCF1CAD"/>
    <w:rsid w:val="1E8210A1"/>
    <w:rsid w:val="1F107083"/>
    <w:rsid w:val="1FC64311"/>
    <w:rsid w:val="20795D5C"/>
    <w:rsid w:val="20C02E3B"/>
    <w:rsid w:val="20D90E52"/>
    <w:rsid w:val="20E5353A"/>
    <w:rsid w:val="220F79FB"/>
    <w:rsid w:val="22153C27"/>
    <w:rsid w:val="23BE0706"/>
    <w:rsid w:val="23C77921"/>
    <w:rsid w:val="23FF75FB"/>
    <w:rsid w:val="24992D39"/>
    <w:rsid w:val="249F1FCC"/>
    <w:rsid w:val="24A50662"/>
    <w:rsid w:val="24B554F3"/>
    <w:rsid w:val="25AE12D9"/>
    <w:rsid w:val="266F0406"/>
    <w:rsid w:val="26AF0309"/>
    <w:rsid w:val="27856069"/>
    <w:rsid w:val="27AB0974"/>
    <w:rsid w:val="27B73DC6"/>
    <w:rsid w:val="28AF3A48"/>
    <w:rsid w:val="29E3020E"/>
    <w:rsid w:val="2A403FBB"/>
    <w:rsid w:val="2BDC5F1D"/>
    <w:rsid w:val="2C136A03"/>
    <w:rsid w:val="2C1E7E3C"/>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743531"/>
    <w:rsid w:val="379A16BD"/>
    <w:rsid w:val="37C71DB0"/>
    <w:rsid w:val="37DE2A16"/>
    <w:rsid w:val="37DE2AD6"/>
    <w:rsid w:val="37F678AD"/>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9D4288"/>
    <w:rsid w:val="50E16708"/>
    <w:rsid w:val="511F1731"/>
    <w:rsid w:val="51E62B79"/>
    <w:rsid w:val="525A371F"/>
    <w:rsid w:val="536415F1"/>
    <w:rsid w:val="537B62B1"/>
    <w:rsid w:val="53EE4B74"/>
    <w:rsid w:val="54263430"/>
    <w:rsid w:val="547153CD"/>
    <w:rsid w:val="54BA3963"/>
    <w:rsid w:val="55E81647"/>
    <w:rsid w:val="56105421"/>
    <w:rsid w:val="56BD505E"/>
    <w:rsid w:val="586C5802"/>
    <w:rsid w:val="589A3193"/>
    <w:rsid w:val="592C5219"/>
    <w:rsid w:val="5B9F3B36"/>
    <w:rsid w:val="5C405B08"/>
    <w:rsid w:val="5D292956"/>
    <w:rsid w:val="5D796F08"/>
    <w:rsid w:val="5F4A37DC"/>
    <w:rsid w:val="5F5C11C0"/>
    <w:rsid w:val="5F685A79"/>
    <w:rsid w:val="5FBF30CA"/>
    <w:rsid w:val="5FCD01EE"/>
    <w:rsid w:val="601B7A0C"/>
    <w:rsid w:val="605F5BE5"/>
    <w:rsid w:val="60A80089"/>
    <w:rsid w:val="61563D8A"/>
    <w:rsid w:val="61963FB3"/>
    <w:rsid w:val="61AE641F"/>
    <w:rsid w:val="61CB167B"/>
    <w:rsid w:val="61E44F2C"/>
    <w:rsid w:val="6325605A"/>
    <w:rsid w:val="64F01059"/>
    <w:rsid w:val="668F14E4"/>
    <w:rsid w:val="67BB0FE6"/>
    <w:rsid w:val="67ED50B4"/>
    <w:rsid w:val="682B47D1"/>
    <w:rsid w:val="687E4741"/>
    <w:rsid w:val="68C567C2"/>
    <w:rsid w:val="691E189E"/>
    <w:rsid w:val="695E7EED"/>
    <w:rsid w:val="69F978B3"/>
    <w:rsid w:val="6B330383"/>
    <w:rsid w:val="6B7F1EA3"/>
    <w:rsid w:val="6BD12065"/>
    <w:rsid w:val="6CF21078"/>
    <w:rsid w:val="6D625C1A"/>
    <w:rsid w:val="6D9910DD"/>
    <w:rsid w:val="6DB97DE8"/>
    <w:rsid w:val="6E1F5E9D"/>
    <w:rsid w:val="6E4E27FF"/>
    <w:rsid w:val="6E696399"/>
    <w:rsid w:val="6F341910"/>
    <w:rsid w:val="6F535138"/>
    <w:rsid w:val="6FD34855"/>
    <w:rsid w:val="6FFF27F3"/>
    <w:rsid w:val="70A75B7F"/>
    <w:rsid w:val="70AC1420"/>
    <w:rsid w:val="71703F81"/>
    <w:rsid w:val="72997548"/>
    <w:rsid w:val="73837CDD"/>
    <w:rsid w:val="73CF1D2F"/>
    <w:rsid w:val="745C561E"/>
    <w:rsid w:val="745D03BD"/>
    <w:rsid w:val="752C70F1"/>
    <w:rsid w:val="75493809"/>
    <w:rsid w:val="77310B5C"/>
    <w:rsid w:val="78340C7E"/>
    <w:rsid w:val="78762B59"/>
    <w:rsid w:val="79BD11EF"/>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0"/>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Char"/>
    <w:link w:val="3"/>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Char"/>
    <w:link w:val="6"/>
    <w:qFormat/>
    <w:locked/>
    <w:uiPriority w:val="99"/>
    <w:rPr>
      <w:rFonts w:cs="Times New Roman"/>
      <w:kern w:val="2"/>
      <w:sz w:val="18"/>
      <w:szCs w:val="18"/>
    </w:rPr>
  </w:style>
  <w:style w:type="character" w:customStyle="1" w:styleId="22">
    <w:name w:val="页脚 Char"/>
    <w:link w:val="7"/>
    <w:qFormat/>
    <w:locked/>
    <w:uiPriority w:val="99"/>
    <w:rPr>
      <w:rFonts w:eastAsia="宋体" w:cs="Times New Roman"/>
      <w:kern w:val="2"/>
      <w:sz w:val="18"/>
      <w:lang w:val="en-US" w:eastAsia="zh-CN"/>
    </w:rPr>
  </w:style>
  <w:style w:type="character" w:customStyle="1" w:styleId="23">
    <w:name w:val="页眉 Char"/>
    <w:link w:val="8"/>
    <w:qFormat/>
    <w:locked/>
    <w:uiPriority w:val="99"/>
    <w:rPr>
      <w:rFonts w:eastAsia="宋体" w:cs="Times New Roman"/>
      <w:kern w:val="2"/>
      <w:sz w:val="18"/>
      <w:lang w:val="en-US" w:eastAsia="zh-CN"/>
    </w:rPr>
  </w:style>
  <w:style w:type="character" w:customStyle="1" w:styleId="24">
    <w:name w:val="副标题 Char"/>
    <w:link w:val="10"/>
    <w:qFormat/>
    <w:locked/>
    <w:uiPriority w:val="99"/>
    <w:rPr>
      <w:rFonts w:ascii="Calibri" w:hAnsi="Calibri" w:eastAsia="宋体" w:cs="Times New Roman"/>
      <w:b/>
      <w:bCs/>
      <w:kern w:val="28"/>
      <w:sz w:val="32"/>
      <w:szCs w:val="32"/>
    </w:rPr>
  </w:style>
  <w:style w:type="character" w:customStyle="1" w:styleId="25">
    <w:name w:val="标题 Char"/>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Char"/>
    <w:link w:val="5"/>
    <w:qFormat/>
    <w:locked/>
    <w:uiPriority w:val="0"/>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4"/>
    <customShpInfo spid="_x0000_s2051"/>
    <customShpInfo spid="_x0000_s2052"/>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614615-7C5B-40F0-A983-A7EAA6BF3D32}">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46</Pages>
  <Words>16685</Words>
  <Characters>17621</Characters>
  <Lines>137</Lines>
  <Paragraphs>38</Paragraphs>
  <TotalTime>0</TotalTime>
  <ScaleCrop>false</ScaleCrop>
  <LinksUpToDate>false</LinksUpToDate>
  <CharactersWithSpaces>18012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2022-10-10T08:55:00Z</cp:lastPrinted>
  <dcterms:modified xsi:type="dcterms:W3CDTF">2022-11-20T02:56:45Z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