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p>
    <w:p>
      <w:pPr>
        <w:rPr>
          <w:color w:val="000000" w:themeColor="text1"/>
          <w:sz w:val="44"/>
        </w:rPr>
      </w:pPr>
      <w:r>
        <w:rPr>
          <w:color w:val="000000" w:themeColor="text1"/>
        </w:rPr>
        <w:pict>
          <v:shape id="Text Box 4" o:spid="_x0000_s1026" o:spt="202" type="#_x0000_t202" style="position:absolute;left:0pt;margin-left:67.2pt;margin-top:129.65pt;height:38pt;width:495pt;mso-position-horizontal-relative:page;mso-position-vertical-relative:page;z-index:251659264;mso-width-relative:page;mso-height-relative:page;" filled="f" stroked="f" coordsize="21600,21600" o:allowincell="f" o:gfxdata="UEsDBAoAAAAAAIdO4kAAAAAAAAAAAAAAAAAEAAAAZHJzL1BLAwQUAAAACACHTuJAZZZEyNcAAAAM&#10;AQAADwAAAGRycy9kb3ducmV2LnhtbE2PTU+EMBCG7yb+h2ZMvLmlQNYVKRtjogdvsB70VuhIif0g&#10;bZfFf2856fGdefLOM/VxNZos6MPkLAe2y4CgHZyc7Mjh/fRydwASorBSaGeRww8GODbXV7WopLvY&#10;FpcujiSV2FAJDirGuaI0DAqNCDs3o027L+eNiCn6kUovLqncaJpn2Z4aMdl0QYkZnxUO393ZcOhe&#10;n1bZHuY32fX5Qj8/lPb7lvPbG5Y9Aom4xj8YNv2kDk1y6t3ZykB0ykVZJpRDXj4UQDaC5duo51Aw&#10;dg+0qen/J5pf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WWRMjXAAAADAEAAA8AAAAAAAAAAQAgAAAAIgAAAGRycy9kb3ducmV2LnhtbFBLAQIU&#10;ABQAAAAIAIdO4kAiSPBxuwEAAJEDAAAOAAAAAAAAAAEAIAAAACYBAABkcnMvZTJvRG9jLnhtbFBL&#10;BQYAAAAABgAGAFkBAABT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jc w:val="right"/>
                  </w:pPr>
                  <w:r>
                    <w:rPr>
                      <w:rFonts w:ascii="微软雅黑" w:hAnsi="微软雅黑" w:eastAsia="微软雅黑" w:cs="微软雅黑"/>
                      <w:szCs w:val="21"/>
                    </w:rPr>
                    <w:t>DSTT（P）[2021]1号</w:t>
                  </w:r>
                </w:p>
                <w:p>
                  <w:pPr>
                    <w:snapToGrid w:val="0"/>
                    <w:spacing w:line="538" w:lineRule="atLeast"/>
                  </w:pPr>
                </w:p>
                <w:p/>
              </w:txbxContent>
            </v:textbox>
          </v:shape>
        </w:pict>
      </w:r>
    </w:p>
    <w:p>
      <w:pPr>
        <w:jc w:val="left"/>
        <w:rPr>
          <w:color w:val="000000" w:themeColor="text1"/>
          <w:sz w:val="44"/>
        </w:rPr>
      </w:pPr>
    </w:p>
    <w:p>
      <w:pPr>
        <w:rPr>
          <w:color w:val="000000" w:themeColor="text1"/>
          <w:sz w:val="44"/>
        </w:rPr>
      </w:pP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通川区双龙镇A-04-01、A-04-02、A-04-03等三宗国有建设用地使用权拍卖出让文件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达州市通川区自然资源局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w:t>
      </w:r>
      <w:r>
        <w:rPr>
          <w:rFonts w:hint="eastAsia" w:asci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w:t>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30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hAnsi="宋体"/>
          <w:color w:val="000000" w:themeColor="text1"/>
          <w:w w:val="66"/>
          <w:sz w:val="32"/>
          <w:szCs w:val="32"/>
        </w:rPr>
        <w:t>44</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3"/>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970"/>
      <w:bookmarkStart w:id="1" w:name="_Toc3391741"/>
      <w:r>
        <w:rPr>
          <w:rFonts w:hint="eastAsia" w:ascii="方正小标宋简体" w:hAnsi="宋体" w:eastAsia="方正小标宋简体" w:cs="宋体"/>
          <w:color w:val="000000" w:themeColor="text1"/>
          <w:sz w:val="44"/>
          <w:szCs w:val="44"/>
        </w:rPr>
        <w:t>达州市通川区自然资源局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hAnsi="宋体" w:cs="宋体"/>
          <w:color w:val="FF0000"/>
          <w:sz w:val="28"/>
          <w:szCs w:val="28"/>
        </w:rPr>
      </w:pPr>
      <w:r>
        <w:rPr>
          <w:rFonts w:ascii="微软雅黑" w:hAnsi="微软雅黑" w:eastAsia="微软雅黑" w:cs="微软雅黑"/>
          <w:szCs w:val="21"/>
        </w:rPr>
        <w:t>DSTT（P）[2021]1号</w:t>
      </w:r>
    </w:p>
    <w:p>
      <w:pPr>
        <w:widowControl/>
        <w:wordWrap w:val="0"/>
        <w:ind w:firstLine="560" w:firstLineChars="200"/>
        <w:jc w:val="left"/>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rPr>
        <w:t>达州市通川区人民政府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，达州市通川区自然资源局</w:t>
      </w:r>
      <w:r>
        <w:rPr>
          <w:rFonts w:hint="eastAsia" w:ascii="宋体" w:hAnsi="宋体" w:cs="宋体"/>
          <w:color w:val="000000" w:themeColor="text1"/>
          <w:sz w:val="28"/>
          <w:szCs w:val="28"/>
        </w:rPr>
        <w:t>决定以拍卖方式出让</w:t>
      </w:r>
      <w:r>
        <w:rPr>
          <w:rFonts w:hint="eastAsia" w:ascii="宋体" w:hAnsi="宋体" w:cs="宋体"/>
          <w:color w:val="000000" w:themeColor="text1"/>
          <w:sz w:val="28"/>
          <w:szCs w:val="28"/>
          <w:u w:val="single"/>
        </w:rPr>
        <w:t>通川区双龙镇A-04-01、A-04-02、A-04-03等三宗</w:t>
      </w:r>
      <w:r>
        <w:rPr>
          <w:rFonts w:hint="eastAsia" w:ascii="宋体" w:hAnsi="宋体" w:cs="宋体"/>
          <w:color w:val="000000" w:themeColor="text1"/>
          <w:sz w:val="28"/>
          <w:szCs w:val="28"/>
        </w:rPr>
        <w:t>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受出让人委托对三宗</w:t>
      </w:r>
      <w:r>
        <w:rPr>
          <w:rFonts w:hint="eastAsia" w:ascii="宋体" w:hAnsi="宋体" w:cs="宋体"/>
          <w:color w:val="000000" w:themeColor="text1"/>
          <w:kern w:val="0"/>
          <w:sz w:val="28"/>
          <w:szCs w:val="28"/>
        </w:rPr>
        <w:t>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
        <w:gridCol w:w="644"/>
        <w:gridCol w:w="455"/>
        <w:gridCol w:w="567"/>
        <w:gridCol w:w="731"/>
        <w:gridCol w:w="586"/>
        <w:gridCol w:w="453"/>
        <w:gridCol w:w="501"/>
        <w:gridCol w:w="565"/>
        <w:gridCol w:w="2001"/>
        <w:gridCol w:w="806"/>
        <w:gridCol w:w="594"/>
        <w:gridCol w:w="726"/>
        <w:gridCol w:w="766"/>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48" w:type="pct"/>
            <w:vMerge w:val="restart"/>
            <w:tcBorders>
              <w:top w:val="single" w:color="000000" w:sz="4" w:space="0"/>
              <w:lef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序号</w:t>
            </w:r>
          </w:p>
        </w:tc>
        <w:tc>
          <w:tcPr>
            <w:tcW w:w="31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地块</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编号</w:t>
            </w:r>
          </w:p>
        </w:tc>
        <w:tc>
          <w:tcPr>
            <w:tcW w:w="219"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位置</w:t>
            </w:r>
          </w:p>
        </w:tc>
        <w:tc>
          <w:tcPr>
            <w:tcW w:w="273"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土地出让面积</w:t>
            </w:r>
            <w:r>
              <w:rPr>
                <w:rFonts w:ascii="黑体" w:hAnsi="黑体" w:eastAsia="黑体" w:cs="宋体"/>
                <w:color w:val="000000" w:themeColor="text1"/>
                <w:sz w:val="13"/>
                <w:szCs w:val="13"/>
              </w:rPr>
              <w:t>(</w:t>
            </w:r>
            <w:r>
              <w:rPr>
                <w:rFonts w:hint="eastAsia" w:ascii="黑体" w:hAnsi="黑体" w:eastAsia="黑体" w:cs="宋体"/>
                <w:color w:val="000000" w:themeColor="text1"/>
                <w:sz w:val="13"/>
                <w:szCs w:val="13"/>
              </w:rPr>
              <w:t>㎡）</w:t>
            </w:r>
          </w:p>
        </w:tc>
        <w:tc>
          <w:tcPr>
            <w:tcW w:w="352"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土地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用途</w:t>
            </w:r>
          </w:p>
        </w:tc>
        <w:tc>
          <w:tcPr>
            <w:tcW w:w="2364" w:type="pct"/>
            <w:gridSpan w:val="6"/>
            <w:tcBorders>
              <w:top w:val="single" w:color="000000" w:sz="4" w:space="0"/>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规划指标要求</w:t>
            </w:r>
          </w:p>
        </w:tc>
        <w:tc>
          <w:tcPr>
            <w:tcW w:w="286"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出让</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年限</w:t>
            </w:r>
          </w:p>
        </w:tc>
        <w:tc>
          <w:tcPr>
            <w:tcW w:w="350" w:type="pct"/>
            <w:vMerge w:val="restart"/>
            <w:tcBorders>
              <w:top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起拍价</w:t>
            </w:r>
          </w:p>
        </w:tc>
        <w:tc>
          <w:tcPr>
            <w:tcW w:w="369" w:type="pct"/>
            <w:vMerge w:val="restart"/>
            <w:tcBorders>
              <w:top w:val="single" w:color="000000" w:sz="4" w:space="0"/>
              <w:right w:val="single" w:color="000000" w:sz="4" w:space="0"/>
            </w:tcBorders>
            <w:vAlign w:val="center"/>
          </w:tcPr>
          <w:p>
            <w:pPr>
              <w:jc w:val="center"/>
              <w:rPr>
                <w:rFonts w:ascii="黑体" w:hAnsi="黑体" w:eastAsia="黑体"/>
                <w:color w:val="000000" w:themeColor="text1"/>
                <w:spacing w:val="-6"/>
                <w:sz w:val="13"/>
                <w:szCs w:val="13"/>
              </w:rPr>
            </w:pPr>
            <w:r>
              <w:rPr>
                <w:rFonts w:hint="eastAsia" w:ascii="黑体" w:hAnsi="黑体" w:eastAsia="黑体" w:cs="宋体"/>
                <w:color w:val="000000" w:themeColor="text1"/>
                <w:spacing w:val="-6"/>
                <w:sz w:val="13"/>
                <w:szCs w:val="13"/>
              </w:rPr>
              <w:t>增价</w:t>
            </w:r>
          </w:p>
          <w:p>
            <w:pPr>
              <w:jc w:val="center"/>
              <w:rPr>
                <w:rFonts w:ascii="黑体" w:hAnsi="黑体" w:eastAsia="黑体"/>
                <w:color w:val="000000" w:themeColor="text1"/>
                <w:spacing w:val="-32"/>
                <w:sz w:val="13"/>
                <w:szCs w:val="13"/>
              </w:rPr>
            </w:pPr>
            <w:r>
              <w:rPr>
                <w:rFonts w:hint="eastAsia" w:ascii="黑体" w:hAnsi="黑体" w:eastAsia="黑体" w:cs="宋体"/>
                <w:color w:val="000000" w:themeColor="text1"/>
                <w:spacing w:val="-6"/>
                <w:sz w:val="13"/>
                <w:szCs w:val="13"/>
              </w:rPr>
              <w:t>幅度</w:t>
            </w:r>
          </w:p>
        </w:tc>
        <w:tc>
          <w:tcPr>
            <w:tcW w:w="324" w:type="pct"/>
            <w:vMerge w:val="restart"/>
            <w:tcBorders>
              <w:top w:val="single" w:color="000000" w:sz="4" w:space="0"/>
              <w:righ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竞买</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48" w:type="pct"/>
            <w:vMerge w:val="continue"/>
            <w:tcBorders>
              <w:top w:val="single" w:color="000000" w:sz="4" w:space="0"/>
              <w:left w:val="single" w:color="000000" w:sz="4" w:space="0"/>
            </w:tcBorders>
            <w:vAlign w:val="center"/>
          </w:tcPr>
          <w:p>
            <w:pPr>
              <w:widowControl/>
              <w:jc w:val="left"/>
              <w:rPr>
                <w:rFonts w:ascii="黑体" w:hAnsi="黑体" w:eastAsia="黑体"/>
                <w:color w:val="000000" w:themeColor="text1"/>
                <w:sz w:val="13"/>
                <w:szCs w:val="13"/>
              </w:rPr>
            </w:pPr>
          </w:p>
        </w:tc>
        <w:tc>
          <w:tcPr>
            <w:tcW w:w="310"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19"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73"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352" w:type="pct"/>
            <w:vMerge w:val="continue"/>
            <w:tcBorders>
              <w:top w:val="single" w:color="000000" w:sz="4" w:space="0"/>
              <w:right w:val="single" w:color="000000" w:sz="4" w:space="0"/>
            </w:tcBorders>
            <w:vAlign w:val="center"/>
          </w:tcPr>
          <w:p>
            <w:pPr>
              <w:widowControl/>
              <w:jc w:val="left"/>
              <w:rPr>
                <w:rFonts w:ascii="黑体" w:hAnsi="黑体" w:eastAsia="黑体"/>
                <w:color w:val="000000" w:themeColor="text1"/>
                <w:sz w:val="13"/>
                <w:szCs w:val="13"/>
              </w:rPr>
            </w:pPr>
          </w:p>
        </w:tc>
        <w:tc>
          <w:tcPr>
            <w:tcW w:w="282" w:type="pct"/>
            <w:tcBorders>
              <w:bottom w:val="single" w:color="000000" w:sz="4" w:space="0"/>
              <w:right w:val="single" w:color="000000" w:sz="4" w:space="0"/>
            </w:tcBorders>
            <w:vAlign w:val="center"/>
          </w:tcPr>
          <w:p>
            <w:pPr>
              <w:snapToGrid w:val="0"/>
              <w:spacing w:line="289" w:lineRule="atLeast"/>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容积率</w:t>
            </w:r>
          </w:p>
        </w:tc>
        <w:tc>
          <w:tcPr>
            <w:tcW w:w="218"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密度</w:t>
            </w:r>
          </w:p>
        </w:tc>
        <w:tc>
          <w:tcPr>
            <w:tcW w:w="241"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绿地率</w:t>
            </w:r>
          </w:p>
        </w:tc>
        <w:tc>
          <w:tcPr>
            <w:tcW w:w="272"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建筑</w:t>
            </w:r>
          </w:p>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限高</w:t>
            </w:r>
          </w:p>
        </w:tc>
        <w:tc>
          <w:tcPr>
            <w:tcW w:w="963" w:type="pct"/>
            <w:tcBorders>
              <w:bottom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olor w:val="000000" w:themeColor="text1"/>
                <w:sz w:val="13"/>
                <w:szCs w:val="13"/>
              </w:rPr>
              <w:t>配套设施</w:t>
            </w:r>
          </w:p>
        </w:tc>
        <w:tc>
          <w:tcPr>
            <w:tcW w:w="386" w:type="pct"/>
            <w:tcBorders>
              <w:bottom w:val="single" w:color="000000" w:sz="4" w:space="0"/>
              <w:right w:val="single" w:color="000000" w:sz="4" w:space="0"/>
            </w:tcBorders>
            <w:vAlign w:val="center"/>
          </w:tcPr>
          <w:p>
            <w:pPr>
              <w:jc w:val="center"/>
              <w:rPr>
                <w:rFonts w:ascii="黑体" w:hAnsi="黑体" w:eastAsia="黑体"/>
                <w:color w:val="000000" w:themeColor="text1"/>
                <w:sz w:val="13"/>
                <w:szCs w:val="13"/>
              </w:rPr>
            </w:pPr>
            <w:r>
              <w:rPr>
                <w:rFonts w:hint="eastAsia" w:ascii="黑体" w:hAnsi="黑体" w:eastAsia="黑体" w:cs="宋体"/>
                <w:color w:val="000000" w:themeColor="text1"/>
                <w:sz w:val="13"/>
                <w:szCs w:val="13"/>
              </w:rPr>
              <w:t>其他规划指标</w:t>
            </w:r>
          </w:p>
        </w:tc>
        <w:tc>
          <w:tcPr>
            <w:tcW w:w="286"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50"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c>
          <w:tcPr>
            <w:tcW w:w="369" w:type="pct"/>
            <w:vMerge w:val="continue"/>
            <w:tcBorders>
              <w:right w:val="single" w:color="000000" w:sz="4" w:space="0"/>
            </w:tcBorders>
            <w:vAlign w:val="center"/>
          </w:tcPr>
          <w:p>
            <w:pPr>
              <w:widowControl/>
              <w:jc w:val="left"/>
              <w:rPr>
                <w:rFonts w:ascii="黑体" w:hAnsi="黑体" w:eastAsia="黑体"/>
                <w:color w:val="000000" w:themeColor="text1"/>
                <w:spacing w:val="-32"/>
                <w:sz w:val="13"/>
                <w:szCs w:val="13"/>
              </w:rPr>
            </w:pPr>
          </w:p>
        </w:tc>
        <w:tc>
          <w:tcPr>
            <w:tcW w:w="324" w:type="pct"/>
            <w:vMerge w:val="continue"/>
            <w:tcBorders>
              <w:right w:val="single" w:color="000000" w:sz="4" w:space="0"/>
            </w:tcBorders>
            <w:vAlign w:val="center"/>
          </w:tcPr>
          <w:p>
            <w:pPr>
              <w:widowControl/>
              <w:jc w:val="left"/>
              <w:rPr>
                <w:rFonts w:ascii="黑体" w:hAnsi="黑体" w:eastAsia="黑体"/>
                <w:color w:val="000000" w:themeColor="text1"/>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ascii="黑体" w:hAnsi="黑体" w:eastAsia="黑体" w:cs="宋体"/>
                <w:color w:val="000000" w:themeColor="text1"/>
                <w:sz w:val="13"/>
                <w:szCs w:val="13"/>
              </w:rPr>
            </w:pPr>
            <w:r>
              <w:rPr>
                <w:rFonts w:ascii="黑体" w:hAnsi="黑体" w:eastAsia="黑体" w:cs="宋体"/>
                <w:color w:val="000000" w:themeColor="text1"/>
                <w:sz w:val="13"/>
                <w:szCs w:val="13"/>
              </w:rPr>
              <w:t>1</w:t>
            </w: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A-04-01</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20037.73平方米（折合30.06亩）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3" w:type="pct"/>
            <w:vAlign w:val="center"/>
          </w:tcPr>
          <w:p>
            <w:pPr>
              <w:spacing w:line="200" w:lineRule="exac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不低于150平方米的社区综合服务设施，建筑面积不计入项目容积率，其不动产权和使用权归地方政府。</w:t>
            </w:r>
          </w:p>
        </w:tc>
        <w:tc>
          <w:tcPr>
            <w:tcW w:w="386"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详见《达州市通川区双龙镇A-04-01地块规划条件》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1900万元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ascii="黑体" w:hAnsi="黑体" w:eastAsia="黑体" w:cs="宋体"/>
                <w:color w:val="000000" w:themeColor="text1"/>
                <w:sz w:val="13"/>
                <w:szCs w:val="13"/>
              </w:rPr>
            </w:pPr>
            <w:r>
              <w:rPr>
                <w:rFonts w:hint="eastAsia" w:ascii="黑体" w:hAnsi="黑体" w:eastAsia="黑体" w:cs="宋体"/>
                <w:color w:val="000000" w:themeColor="text1"/>
                <w:sz w:val="13"/>
                <w:szCs w:val="13"/>
              </w:rPr>
              <w:t>2</w:t>
            </w:r>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A-04-02</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34026.62平方米（折合51.04亩）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3" w:type="pct"/>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p>
            <w:pPr>
              <w:spacing w:line="200" w:lineRule="exact"/>
              <w:rPr>
                <w:rFonts w:ascii="仿宋_GB2312" w:hAnsi="仿宋_GB2312" w:eastAsia="仿宋_GB2312" w:cs="仿宋_GB2312"/>
                <w:sz w:val="13"/>
                <w:szCs w:val="13"/>
              </w:rPr>
            </w:pPr>
          </w:p>
        </w:tc>
        <w:tc>
          <w:tcPr>
            <w:tcW w:w="386"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详见《达州市通川区双龙镇A-04-02地块规划条件》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3200万元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148" w:type="pct"/>
            <w:tcBorders>
              <w:left w:val="single" w:color="000000" w:sz="4" w:space="0"/>
            </w:tcBorders>
            <w:vAlign w:val="center"/>
          </w:tcPr>
          <w:p>
            <w:pPr>
              <w:jc w:val="center"/>
              <w:rPr>
                <w:rFonts w:hint="eastAsia" w:ascii="黑体" w:hAnsi="黑体" w:eastAsia="黑体" w:cs="宋体"/>
                <w:color w:val="000000" w:themeColor="text1"/>
                <w:sz w:val="13"/>
                <w:szCs w:val="13"/>
                <w:lang w:val="en-US" w:eastAsia="zh-CN"/>
              </w:rPr>
            </w:pPr>
            <w:r>
              <w:rPr>
                <w:rFonts w:hint="eastAsia" w:ascii="黑体" w:hAnsi="黑体" w:eastAsia="黑体" w:cs="宋体"/>
                <w:color w:val="000000" w:themeColor="text1"/>
                <w:sz w:val="13"/>
                <w:szCs w:val="13"/>
                <w:lang w:val="en-US" w:eastAsia="zh-CN"/>
              </w:rPr>
              <w:t>3</w:t>
            </w:r>
            <w:bookmarkStart w:id="21" w:name="_GoBack"/>
            <w:bookmarkEnd w:id="21"/>
          </w:p>
        </w:tc>
        <w:tc>
          <w:tcPr>
            <w:tcW w:w="31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       A-04-03</w:t>
            </w:r>
          </w:p>
        </w:tc>
        <w:tc>
          <w:tcPr>
            <w:tcW w:w="21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通川区双龙镇双丰村</w:t>
            </w:r>
          </w:p>
        </w:tc>
        <w:tc>
          <w:tcPr>
            <w:tcW w:w="273"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24105.18平方米（折合36.16亩）</w:t>
            </w:r>
          </w:p>
        </w:tc>
        <w:tc>
          <w:tcPr>
            <w:tcW w:w="35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商住综合用地（10%≤商业计容建筑面积占总计容建筑面积比例≤30%）</w:t>
            </w:r>
          </w:p>
        </w:tc>
        <w:tc>
          <w:tcPr>
            <w:tcW w:w="282"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F≤3.0</w:t>
            </w:r>
          </w:p>
        </w:tc>
        <w:tc>
          <w:tcPr>
            <w:tcW w:w="218"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B≤35%</w:t>
            </w:r>
          </w:p>
        </w:tc>
        <w:tc>
          <w:tcPr>
            <w:tcW w:w="241"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G≥25%</w:t>
            </w:r>
          </w:p>
        </w:tc>
        <w:tc>
          <w:tcPr>
            <w:tcW w:w="272" w:type="pct"/>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HL≤80米</w:t>
            </w:r>
          </w:p>
        </w:tc>
        <w:tc>
          <w:tcPr>
            <w:tcW w:w="963" w:type="pct"/>
            <w:vAlign w:val="center"/>
          </w:tcPr>
          <w:p>
            <w:pPr>
              <w:spacing w:line="200" w:lineRule="exact"/>
              <w:rPr>
                <w:rFonts w:ascii="仿宋_GB2312" w:hAnsi="仿宋_GB2312" w:eastAsia="仿宋_GB2312" w:cs="仿宋_GB2312"/>
                <w:sz w:val="13"/>
                <w:szCs w:val="13"/>
              </w:rPr>
            </w:pPr>
            <w:r>
              <w:rPr>
                <w:rFonts w:hint="eastAsia" w:ascii="仿宋_GB2312" w:hAnsi="仿宋_GB2312" w:eastAsia="仿宋_GB2312" w:cs="仿宋_GB2312"/>
                <w:sz w:val="13"/>
                <w:szCs w:val="13"/>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tc>
        <w:tc>
          <w:tcPr>
            <w:tcW w:w="386" w:type="pct"/>
            <w:tcBorders>
              <w:right w:val="single" w:color="000000" w:sz="4" w:space="0"/>
            </w:tcBorders>
            <w:vAlign w:val="center"/>
          </w:tcPr>
          <w:p>
            <w:pPr>
              <w:spacing w:line="200" w:lineRule="exact"/>
              <w:jc w:val="left"/>
              <w:rPr>
                <w:rFonts w:ascii="仿宋_GB2312" w:hAnsi="仿宋_GB2312" w:eastAsia="仿宋_GB2312" w:cs="仿宋_GB2312"/>
                <w:sz w:val="13"/>
                <w:szCs w:val="13"/>
              </w:rPr>
            </w:pPr>
            <w:r>
              <w:rPr>
                <w:rFonts w:hint="eastAsia" w:ascii="仿宋_GB2312" w:hAnsi="仿宋_GB2312" w:eastAsia="仿宋_GB2312" w:cs="仿宋_GB2312"/>
                <w:sz w:val="13"/>
                <w:szCs w:val="13"/>
              </w:rPr>
              <w:t>详见《达州市通川区双龙镇A-04-03地块规划条件》</w:t>
            </w:r>
          </w:p>
          <w:p>
            <w:pPr>
              <w:spacing w:line="200" w:lineRule="exact"/>
              <w:rPr>
                <w:rFonts w:ascii="仿宋_GB2312" w:hAnsi="仿宋_GB2312" w:eastAsia="仿宋_GB2312" w:cs="仿宋_GB2312"/>
                <w:sz w:val="13"/>
                <w:szCs w:val="13"/>
              </w:rPr>
            </w:pPr>
          </w:p>
        </w:tc>
        <w:tc>
          <w:tcPr>
            <w:tcW w:w="286"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商业40年、住宅70年</w:t>
            </w:r>
          </w:p>
        </w:tc>
        <w:tc>
          <w:tcPr>
            <w:tcW w:w="350"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205万元/亩</w:t>
            </w:r>
          </w:p>
          <w:p>
            <w:pPr>
              <w:spacing w:line="200" w:lineRule="exact"/>
              <w:jc w:val="center"/>
              <w:rPr>
                <w:rFonts w:ascii="仿宋_GB2312" w:hAnsi="仿宋_GB2312" w:eastAsia="仿宋_GB2312" w:cs="仿宋_GB2312"/>
                <w:sz w:val="13"/>
                <w:szCs w:val="13"/>
              </w:rPr>
            </w:pPr>
          </w:p>
        </w:tc>
        <w:tc>
          <w:tcPr>
            <w:tcW w:w="369"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5 万元/亩或 5 万元/亩</w:t>
            </w:r>
          </w:p>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的整数倍</w:t>
            </w:r>
          </w:p>
          <w:p>
            <w:pPr>
              <w:spacing w:line="200" w:lineRule="exact"/>
              <w:jc w:val="center"/>
              <w:rPr>
                <w:rFonts w:ascii="仿宋_GB2312" w:hAnsi="仿宋_GB2312" w:eastAsia="仿宋_GB2312" w:cs="仿宋_GB2312"/>
                <w:sz w:val="13"/>
                <w:szCs w:val="13"/>
              </w:rPr>
            </w:pPr>
          </w:p>
        </w:tc>
        <w:tc>
          <w:tcPr>
            <w:tcW w:w="324" w:type="pct"/>
            <w:tcBorders>
              <w:right w:val="single" w:color="000000" w:sz="4" w:space="0"/>
            </w:tcBorders>
            <w:vAlign w:val="center"/>
          </w:tcPr>
          <w:p>
            <w:pPr>
              <w:spacing w:line="200" w:lineRule="exact"/>
              <w:jc w:val="center"/>
              <w:rPr>
                <w:rFonts w:ascii="仿宋_GB2312" w:hAnsi="仿宋_GB2312" w:eastAsia="仿宋_GB2312" w:cs="仿宋_GB2312"/>
                <w:sz w:val="13"/>
                <w:szCs w:val="13"/>
              </w:rPr>
            </w:pPr>
            <w:r>
              <w:rPr>
                <w:rFonts w:hint="eastAsia" w:ascii="仿宋_GB2312" w:hAnsi="仿宋_GB2312" w:eastAsia="仿宋_GB2312" w:cs="仿宋_GB2312"/>
                <w:sz w:val="13"/>
                <w:szCs w:val="13"/>
              </w:rPr>
              <w:t>2300万元</w:t>
            </w:r>
          </w:p>
        </w:tc>
      </w:tr>
    </w:tbl>
    <w:p>
      <w:pPr>
        <w:snapToGrid w:val="0"/>
        <w:spacing w:line="578"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hAns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21"/>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21"/>
          <w:rFonts w:asciiTheme="minorEastAsia" w:hAnsiTheme="minorEastAsia" w:eastAsiaTheme="minorEastAsia"/>
          <w:b/>
          <w:color w:val="FF0000"/>
          <w:sz w:val="28"/>
          <w:szCs w:val="28"/>
        </w:rPr>
      </w:pPr>
      <w:r>
        <w:rPr>
          <w:rStyle w:val="21"/>
          <w:rFonts w:hint="eastAsia" w:cs="宋体" w:asciiTheme="minorEastAsia" w:hAnsiTheme="minorEastAsia" w:eastAsiaTheme="minorEastAsia"/>
          <w:color w:val="000000" w:themeColor="text1"/>
          <w:sz w:val="28"/>
          <w:szCs w:val="28"/>
          <w:u w:val="none"/>
        </w:rPr>
        <w:t>已完成用户注册的竞买申请人须在</w:t>
      </w:r>
      <w:r>
        <w:rPr>
          <w:rStyle w:val="21"/>
          <w:rFonts w:ascii="仿宋" w:hAnsi="仿宋" w:eastAsia="仿宋" w:cs="宋体"/>
          <w:color w:val="FF0000"/>
          <w:sz w:val="28"/>
          <w:szCs w:val="28"/>
        </w:rPr>
        <w:t>202</w:t>
      </w:r>
      <w:r>
        <w:rPr>
          <w:rStyle w:val="21"/>
          <w:rFonts w:hint="eastAsia" w:ascii="仿宋" w:hAnsi="仿宋" w:eastAsia="仿宋" w:cs="宋体"/>
          <w:color w:val="FF0000"/>
          <w:sz w:val="28"/>
          <w:szCs w:val="28"/>
        </w:rPr>
        <w:t>1年10月7日</w:t>
      </w:r>
      <w:r>
        <w:rPr>
          <w:rStyle w:val="21"/>
          <w:rFonts w:ascii="仿宋" w:hAnsi="仿宋" w:eastAsia="仿宋" w:cs="宋体"/>
          <w:color w:val="FF0000"/>
          <w:sz w:val="28"/>
          <w:szCs w:val="28"/>
        </w:rPr>
        <w:t>17:00</w:t>
      </w:r>
      <w:r>
        <w:rPr>
          <w:rStyle w:val="21"/>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21"/>
          <w:rFonts w:ascii="仿宋" w:hAnsi="仿宋" w:eastAsia="仿宋" w:cs="宋体"/>
          <w:color w:val="FF0000"/>
          <w:sz w:val="28"/>
          <w:szCs w:val="28"/>
        </w:rPr>
        <w:t>202</w:t>
      </w:r>
      <w:r>
        <w:rPr>
          <w:rStyle w:val="21"/>
          <w:rFonts w:hint="eastAsia" w:ascii="仿宋" w:hAnsi="仿宋" w:eastAsia="仿宋" w:cs="宋体"/>
          <w:color w:val="FF0000"/>
          <w:sz w:val="28"/>
          <w:szCs w:val="28"/>
        </w:rPr>
        <w:t>1年10月7日</w:t>
      </w:r>
      <w:r>
        <w:rPr>
          <w:rStyle w:val="21"/>
          <w:rFonts w:ascii="仿宋" w:hAnsi="仿宋" w:eastAsia="仿宋" w:cs="宋体"/>
          <w:color w:val="FF0000"/>
          <w:sz w:val="28"/>
          <w:szCs w:val="28"/>
        </w:rPr>
        <w:t>17:00</w:t>
      </w:r>
      <w:r>
        <w:rPr>
          <w:rStyle w:val="21"/>
          <w:rFonts w:hint="eastAsia" w:cs="宋体" w:asciiTheme="minorEastAsia" w:hAnsiTheme="minorEastAsia" w:eastAsiaTheme="minorEastAsia"/>
          <w:b/>
          <w:color w:val="FF0000"/>
          <w:sz w:val="28"/>
          <w:szCs w:val="28"/>
        </w:rPr>
        <w:t>时</w:t>
      </w:r>
      <w:r>
        <w:rPr>
          <w:rStyle w:val="21"/>
          <w:rFonts w:hint="eastAsia" w:cs="宋体" w:asciiTheme="minorEastAsia" w:hAnsiTheme="minorEastAsia" w:eastAsiaTheme="minorEastAsia"/>
          <w:color w:val="FF0000"/>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w:t>
      </w:r>
      <w:r>
        <w:rPr>
          <w:rFonts w:hint="eastAsia" w:ascii="楷体" w:hAnsi="楷体" w:eastAsia="楷体" w:cs="宋体"/>
          <w:b/>
          <w:color w:val="FF0000"/>
          <w:sz w:val="28"/>
          <w:szCs w:val="28"/>
        </w:rPr>
        <w:t xml:space="preserve"> 2021</w:t>
      </w:r>
      <w:r>
        <w:rPr>
          <w:rFonts w:hint="eastAsia" w:ascii="楷体" w:hAnsi="楷体" w:eastAsia="楷体" w:cs="宋体"/>
          <w:b/>
          <w:color w:val="FF0000"/>
          <w:sz w:val="28"/>
          <w:szCs w:val="28"/>
          <w:u w:val="single"/>
        </w:rPr>
        <w:t>年10月8日</w:t>
      </w:r>
      <w:r>
        <w:rPr>
          <w:rFonts w:hint="eastAsia" w:ascii="楷体" w:hAnsi="楷体" w:eastAsia="楷体" w:cs="宋体"/>
          <w:b/>
          <w:color w:val="FF0000"/>
          <w:sz w:val="28"/>
          <w:szCs w:val="28"/>
        </w:rPr>
        <w:t>）</w:t>
      </w:r>
      <w:r>
        <w:rPr>
          <w:rFonts w:ascii="仿宋" w:hAnsi="仿宋" w:eastAsia="仿宋" w:cs="宋体"/>
          <w:b/>
          <w:color w:val="FF0000"/>
          <w:sz w:val="28"/>
          <w:szCs w:val="28"/>
          <w:u w:val="single"/>
        </w:rPr>
        <w:t>8:30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21"/>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Style w:val="21"/>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FF0000"/>
          <w:sz w:val="28"/>
          <w:szCs w:val="28"/>
          <w:u w:val="single"/>
        </w:rPr>
        <w:t>202</w:t>
      </w:r>
      <w:r>
        <w:rPr>
          <w:rFonts w:hint="eastAsia" w:cs="宋体" w:asciiTheme="minorEastAsia" w:hAnsiTheme="minorEastAsia" w:eastAsiaTheme="minorEastAsia"/>
          <w:b/>
          <w:color w:val="FF0000"/>
          <w:sz w:val="28"/>
          <w:szCs w:val="28"/>
          <w:u w:val="single"/>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w:t>
      </w:r>
      <w:r>
        <w:rPr>
          <w:rFonts w:ascii="仿宋" w:hAnsi="仿宋" w:eastAsia="仿宋" w:cs="宋体"/>
          <w:b/>
          <w:color w:val="FF0000"/>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开标二厅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21"/>
          <w:rFonts w:cs="宋体" w:asciiTheme="minorEastAsia" w:hAnsiTheme="minorEastAsia" w:eastAsiaTheme="minorEastAsia"/>
          <w:color w:val="000000" w:themeColor="text1"/>
          <w:sz w:val="28"/>
          <w:szCs w:val="28"/>
          <w:u w:val="none"/>
        </w:rPr>
        <w:t>http://www.dzggzy.cn</w:t>
      </w:r>
      <w:r>
        <w:rPr>
          <w:rStyle w:val="21"/>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w:t>
      </w:r>
      <w:r>
        <w:rPr>
          <w:rFonts w:hint="eastAsia" w:ascii="仿宋" w:hAnsi="仿宋" w:eastAsia="仿宋"/>
          <w:color w:val="000000" w:themeColor="text1"/>
          <w:sz w:val="28"/>
          <w:szCs w:val="28"/>
        </w:rPr>
        <w:t>达州市通川区自然资源局</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四川省达州市通川区北外张家坝社区青杠垭路</w:t>
      </w:r>
      <w:r>
        <w:rPr>
          <w:rFonts w:ascii="仿宋" w:hAnsi="仿宋" w:eastAsia="仿宋" w:cs="宋体"/>
          <w:b/>
          <w:color w:val="000000" w:themeColor="text1"/>
          <w:sz w:val="28"/>
          <w:szCs w:val="28"/>
          <w:u w:val="single"/>
        </w:rPr>
        <w:t>38</w:t>
      </w:r>
      <w:r>
        <w:rPr>
          <w:rFonts w:hint="eastAsia" w:ascii="仿宋" w:hAnsi="仿宋" w:eastAsia="仿宋" w:cs="宋体"/>
          <w:b/>
          <w:color w:val="000000" w:themeColor="text1"/>
          <w:sz w:val="28"/>
          <w:szCs w:val="28"/>
          <w:u w:val="single"/>
        </w:rPr>
        <w:t>号路</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0818-2379014 </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rPr>
        <w:t>0177</w:t>
      </w:r>
    </w:p>
    <w:p>
      <w:pPr>
        <w:snapToGrid w:val="0"/>
        <w:spacing w:line="578" w:lineRule="exact"/>
        <w:ind w:firstLine="555"/>
        <w:rPr>
          <w:rFonts w:ascii="仿宋" w:hAnsi="仿宋" w:eastAsia="仿宋"/>
          <w:color w:val="000000" w:themeColor="text1"/>
          <w:sz w:val="28"/>
          <w:szCs w:val="28"/>
        </w:rPr>
      </w:pP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达州市通川区自然资源局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center"/>
        <w:rPr>
          <w:rFonts w:ascii="仿宋" w:hAnsi="仿宋" w:eastAsia="仿宋" w:cs="宋体"/>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hint="eastAsia" w:ascii="仿宋" w:hAnsi="仿宋" w:eastAsia="仿宋" w:cs="宋体"/>
          <w:color w:val="000000" w:themeColor="text1"/>
          <w:sz w:val="28"/>
          <w:szCs w:val="28"/>
        </w:rPr>
        <w:t xml:space="preserve">                                   2021年9月17日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达州市通川区人民政府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达州市通川区自然资源局</w:t>
      </w:r>
      <w:r>
        <w:rPr>
          <w:rFonts w:hint="eastAsia" w:ascii="宋体" w:hAnsi="宋体"/>
          <w:color w:val="000000" w:themeColor="text1"/>
          <w:sz w:val="28"/>
          <w:szCs w:val="28"/>
        </w:rPr>
        <w:t>决定拍卖出让</w:t>
      </w:r>
      <w:r>
        <w:rPr>
          <w:rFonts w:hint="eastAsia" w:ascii="宋体" w:hAnsi="宋体" w:cs="宋体"/>
          <w:color w:val="000000" w:themeColor="text1"/>
          <w:sz w:val="28"/>
          <w:szCs w:val="28"/>
          <w:u w:val="single"/>
        </w:rPr>
        <w:t>通川区双龙镇A-04-03</w:t>
      </w:r>
      <w:r>
        <w:rPr>
          <w:rFonts w:hint="eastAsia"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达州市通川区自然资源局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（一）地块位置：通川区双龙镇双丰村。</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（二）地块范围： 详见《达州市通川区双龙镇A-04-03地块用地红线图》。</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（三）出让面积：24105.18平方米（折合36.16亩）。</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（四）土地用途：商住综合用地（10%≤商业计容建筑面积占总计容建筑面积比例≤30%）。</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（五）出让年限：商业40年、住宅70年。</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（六）规划条件：详见《达州市通川区双龙镇A-04-03地块规划条件》。</w:t>
      </w:r>
    </w:p>
    <w:p>
      <w:pPr>
        <w:spacing w:line="600" w:lineRule="exact"/>
        <w:ind w:firstLine="560" w:firstLineChars="200"/>
        <w:jc w:val="left"/>
        <w:rPr>
          <w:rFonts w:ascii="宋体" w:hAnsi="宋体"/>
          <w:color w:val="000000" w:themeColor="text1"/>
          <w:sz w:val="28"/>
          <w:szCs w:val="28"/>
        </w:rPr>
      </w:pPr>
      <w:r>
        <w:rPr>
          <w:rFonts w:hint="eastAsia" w:ascii="宋体" w:hAnsi="宋体"/>
          <w:color w:val="000000" w:themeColor="text1"/>
          <w:sz w:val="28"/>
          <w:szCs w:val="28"/>
        </w:rPr>
        <w:t>（七）设计方案中商业、居住须分离布局（且商业用房须设置商业专用烟道），其临规划道路的建筑外立面须作公建化设计。</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（八）配套服务设施：</w:t>
      </w:r>
    </w:p>
    <w:p>
      <w:pPr>
        <w:spacing w:line="560" w:lineRule="exact"/>
        <w:ind w:firstLine="560" w:firstLineChars="200"/>
        <w:rPr>
          <w:rFonts w:ascii="仿宋_GB2312" w:hAnsi="仿宋_GB2312" w:eastAsia="仿宋_GB2312" w:cs="仿宋_GB2312"/>
          <w:sz w:val="32"/>
          <w:szCs w:val="32"/>
        </w:rPr>
      </w:pPr>
      <w:r>
        <w:rPr>
          <w:rFonts w:hint="eastAsia" w:ascii="宋体" w:hAnsi="宋体"/>
          <w:color w:val="000000" w:themeColor="text1"/>
          <w:sz w:val="28"/>
          <w:szCs w:val="28"/>
        </w:rPr>
        <w:t>根据《达州市人民政府办公室关于印发达州市中心城区新建住宅小区配套建设社区综合服务设施实施办法的通知》（达市府办〔2018〕57号）精神，开发建设单位按照计容住宅建筑面积3‰的比例无偿配建一个社区综合服务设施，建筑面积不计入项目容积率，其不动产权和使用权归地方政府。</w:t>
      </w:r>
    </w:p>
    <w:p>
      <w:pPr>
        <w:spacing w:line="56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（九）其他规划要求：</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活污水接入市政管网排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地块内建筑间距、停车泊位等应满足《城市居住区规划设计标准》（GB50180-2018）、《达州市城市规划管理技术规定》（2019版及其修改补充规定）、《达州市通川区双龙镇控制性详细规划》等规范及文件的相关规定。</w:t>
      </w:r>
    </w:p>
    <w:p>
      <w:pPr>
        <w:spacing w:line="600" w:lineRule="exact"/>
        <w:ind w:firstLine="560" w:firstLineChars="200"/>
        <w:rPr>
          <w:rFonts w:ascii="宋体"/>
          <w:b/>
          <w:color w:val="FF0000"/>
          <w:sz w:val="28"/>
          <w:szCs w:val="28"/>
          <w:u w:val="single"/>
        </w:rPr>
      </w:pPr>
      <w:r>
        <w:rPr>
          <w:rFonts w:hint="eastAsia" w:ascii="宋体" w:hAnsi="宋体"/>
          <w:sz w:val="28"/>
          <w:szCs w:val="28"/>
        </w:rPr>
        <w:t>（十）本宗地实行现状出让：</w:t>
      </w:r>
      <w:r>
        <w:rPr>
          <w:rFonts w:hint="eastAsia" w:ascii="楷体_GB2312" w:hAnsi="黑体" w:eastAsia="楷体_GB2312" w:cs="宋体"/>
          <w:b/>
          <w:color w:val="FF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宋体" w:hAnsi="宋体"/>
          <w:sz w:val="28"/>
          <w:szCs w:val="28"/>
        </w:rPr>
      </w:pPr>
      <w:r>
        <w:rPr>
          <w:rFonts w:hint="eastAsia" w:ascii="宋体" w:hAnsi="宋体"/>
          <w:sz w:val="28"/>
          <w:szCs w:val="28"/>
        </w:rPr>
        <w:t>（十一）动工及竣工期限：受让人须自交地之日起 1 年内开工，自开工之日起 3 年内建成；受让人不能按</w:t>
      </w:r>
      <w:r>
        <w:rPr>
          <w:rFonts w:ascii="宋体" w:hAnsi="宋体"/>
          <w:sz w:val="28"/>
          <w:szCs w:val="28"/>
        </w:rPr>
        <w:t>期开工，应提前30 日向出让人提出延建申请，经出让人同意延建的，其项目竣工时间相应顺延，但延建期限不得超过一年</w:t>
      </w:r>
      <w:r>
        <w:rPr>
          <w:rFonts w:hint="eastAsia" w:ascii="宋体" w:hAnsi="宋体"/>
          <w:sz w:val="28"/>
          <w:szCs w:val="28"/>
        </w:rPr>
        <w:t>。</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w:t>
      </w:r>
      <w:r>
        <w:rPr>
          <w:rFonts w:hint="eastAsia" w:ascii="宋体" w:hAnsi="宋体"/>
          <w:sz w:val="28"/>
          <w:szCs w:val="28"/>
        </w:rPr>
        <w:t>土地竞得人须严格按照达州市通川区双龙镇A-04-03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四、竞买资格及要求</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 xml:space="preserve"> (一)竞买资格</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2.在达州市内有下列情形之一的，不得申请参与本次拍卖活动。</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①逾期不签成交确认书、土地出让合同的；</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②欠缴土地出让价款的；</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③因企业原因闲置土地一年以上，且尚未完成查处整改的单位和个</w:t>
      </w:r>
      <w:r>
        <w:rPr>
          <w:rFonts w:hint="eastAsia" w:ascii="仿宋" w:hAnsi="仿宋" w:eastAsia="仿宋" w:cs="宋体"/>
          <w:color w:val="000000" w:themeColor="text1"/>
          <w:sz w:val="28"/>
          <w:szCs w:val="28"/>
        </w:rPr>
        <w:t>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④违反土地及城乡规划法律法规受到处罚，且尚未结案的单位和个人。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（二）要求</w:t>
      </w:r>
    </w:p>
    <w:p>
      <w:pPr>
        <w:spacing w:line="600" w:lineRule="exact"/>
        <w:ind w:firstLine="640" w:firstLineChars="200"/>
        <w:rPr>
          <w:rFonts w:ascii="仿宋" w:hAnsi="仿宋" w:eastAsia="仿宋" w:cs="宋体"/>
          <w:color w:val="000000" w:themeColor="text1"/>
          <w:sz w:val="28"/>
          <w:szCs w:val="28"/>
        </w:rPr>
      </w:pPr>
      <w:r>
        <w:rPr>
          <w:rFonts w:hint="eastAsia" w:eastAsia="仿宋_GB2312"/>
          <w:color w:val="000000" w:themeColor="text1"/>
          <w:sz w:val="32"/>
          <w:szCs w:val="32"/>
        </w:rPr>
        <w:t>1.竞买申请人按照地块拍卖出让公告的日期及方式索取拍卖文件。申请人应认真审阅、全面准确地理解拍卖文件内容，对本次拍卖出让地块的文件有疑问的，可向出让人、拍卖人咨询（咨询电话：出让人电话0818-</w:t>
      </w:r>
      <w:r>
        <w:rPr>
          <w:rFonts w:eastAsia="仿宋_GB2312"/>
          <w:color w:val="000000" w:themeColor="text1"/>
          <w:sz w:val="32"/>
          <w:szCs w:val="32"/>
        </w:rPr>
        <w:t>2379014</w:t>
      </w:r>
      <w:r>
        <w:rPr>
          <w:rFonts w:hint="eastAsia" w:eastAsia="仿宋_GB2312"/>
          <w:color w:val="000000" w:themeColor="text1"/>
          <w:sz w:val="32"/>
          <w:szCs w:val="32"/>
        </w:rPr>
        <w:t>，拍卖人电话0818-3330177）。</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604" w:firstLineChars="189"/>
        <w:jc w:val="both"/>
        <w:rPr>
          <w:rFonts w:ascii="Times New Roman" w:hAnsi="Times New Roman" w:eastAsia="仿宋_GB2312" w:cs="Times New Roman"/>
          <w:color w:val="000000" w:themeColor="text1"/>
          <w:kern w:val="2"/>
          <w:sz w:val="32"/>
          <w:szCs w:val="32"/>
        </w:rPr>
      </w:pPr>
      <w:r>
        <w:rPr>
          <w:rFonts w:hint="eastAsia" w:ascii="Times New Roman" w:hAnsi="Times New Roman" w:eastAsia="仿宋_GB2312" w:cs="Times New Roman"/>
          <w:color w:val="000000" w:themeColor="text1"/>
          <w:kern w:val="2"/>
          <w:sz w:val="32"/>
          <w:szCs w:val="32"/>
        </w:rPr>
        <w:t>3.竞买人须承诺：通川区外的竞买人，若竞得土地使用权，必须在通川成立一家公司对竞得土地进行开发建设。</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五、申请和资格审查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（一）拍卖文件取得</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竞买申请人可于</w:t>
      </w:r>
      <w:r>
        <w:rPr>
          <w:rFonts w:hint="eastAsia" w:ascii="仿宋" w:hAnsi="仿宋" w:eastAsia="仿宋" w:cs="宋体"/>
          <w:b/>
          <w:color w:val="FF0000"/>
          <w:sz w:val="28"/>
          <w:szCs w:val="28"/>
          <w:u w:val="single"/>
        </w:rPr>
        <w:t>20</w:t>
      </w:r>
      <w:r>
        <w:rPr>
          <w:rFonts w:ascii="仿宋" w:hAnsi="仿宋" w:eastAsia="仿宋" w:cs="宋体"/>
          <w:b/>
          <w:color w:val="FF0000"/>
          <w:sz w:val="28"/>
          <w:szCs w:val="28"/>
          <w:u w:val="single"/>
        </w:rPr>
        <w:t>2</w:t>
      </w:r>
      <w:r>
        <w:rPr>
          <w:rFonts w:hint="eastAsia" w:ascii="仿宋" w:hAnsi="仿宋" w:eastAsia="仿宋" w:cs="宋体"/>
          <w:b/>
          <w:color w:val="FF0000"/>
          <w:sz w:val="28"/>
          <w:szCs w:val="28"/>
          <w:u w:val="single"/>
        </w:rPr>
        <w:t>1年9月18日至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1年10月7日</w:t>
      </w:r>
      <w:r>
        <w:rPr>
          <w:rFonts w:ascii="仿宋" w:hAnsi="仿宋" w:eastAsia="仿宋" w:cs="宋体"/>
          <w:b/>
          <w:color w:val="FF0000"/>
          <w:sz w:val="28"/>
          <w:szCs w:val="28"/>
          <w:u w:val="single"/>
        </w:rPr>
        <w:t xml:space="preserve"> 17:00</w:t>
      </w:r>
      <w:r>
        <w:rPr>
          <w:rFonts w:hint="eastAsia" w:ascii="仿宋" w:hAnsi="仿宋" w:eastAsia="仿宋" w:cs="仿宋_GB2312"/>
          <w:color w:val="000000" w:themeColor="text1"/>
          <w:sz w:val="28"/>
          <w:szCs w:val="28"/>
        </w:rPr>
        <w:t>，</w:t>
      </w:r>
      <w:r>
        <w:rPr>
          <w:rFonts w:hint="eastAsia" w:eastAsia="仿宋_GB2312"/>
          <w:color w:val="000000" w:themeColor="text1"/>
          <w:kern w:val="2"/>
          <w:sz w:val="32"/>
          <w:szCs w:val="32"/>
        </w:rPr>
        <w:t>通过达州市公共资源交易服务网（</w:t>
      </w:r>
      <w:r>
        <w:fldChar w:fldCharType="begin"/>
      </w:r>
      <w:r>
        <w:instrText xml:space="preserve"> HYPERLINK "http://www.dzggzy.cn/" </w:instrText>
      </w:r>
      <w:r>
        <w:fldChar w:fldCharType="separate"/>
      </w:r>
      <w:r>
        <w:rPr>
          <w:rFonts w:hint="eastAsia" w:eastAsia="仿宋_GB2312"/>
          <w:color w:val="000000" w:themeColor="text1"/>
          <w:kern w:val="2"/>
          <w:sz w:val="32"/>
          <w:szCs w:val="32"/>
        </w:rPr>
        <w:t>http://www.dzggzy.cn</w:t>
      </w:r>
      <w:r>
        <w:rPr>
          <w:rFonts w:hint="eastAsia" w:eastAsia="仿宋_GB2312"/>
          <w:color w:val="000000" w:themeColor="text1"/>
          <w:kern w:val="2"/>
          <w:sz w:val="32"/>
          <w:szCs w:val="32"/>
        </w:rPr>
        <w:fldChar w:fldCharType="end"/>
      </w:r>
      <w:r>
        <w:rPr>
          <w:rFonts w:hint="eastAsia" w:eastAsia="仿宋_GB2312"/>
          <w:color w:val="000000" w:themeColor="text1"/>
          <w:kern w:val="2"/>
          <w:sz w:val="32"/>
          <w:szCs w:val="32"/>
        </w:rPr>
        <w:t>）获取拍卖出让文件。</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（二）提交申请文件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竞买申请人应于</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1年9月18日至</w:t>
      </w:r>
      <w:r>
        <w:rPr>
          <w:rFonts w:ascii="仿宋" w:hAnsi="仿宋" w:eastAsia="仿宋" w:cs="宋体"/>
          <w:b/>
          <w:color w:val="FF0000"/>
          <w:sz w:val="28"/>
          <w:szCs w:val="28"/>
          <w:u w:val="single"/>
        </w:rPr>
        <w:t xml:space="preserve"> 202</w:t>
      </w:r>
      <w:r>
        <w:rPr>
          <w:rFonts w:hint="eastAsia" w:ascii="仿宋" w:hAnsi="仿宋" w:eastAsia="仿宋" w:cs="宋体"/>
          <w:b/>
          <w:color w:val="FF0000"/>
          <w:sz w:val="28"/>
          <w:szCs w:val="28"/>
          <w:u w:val="single"/>
        </w:rPr>
        <w:t>1年10月7日</w:t>
      </w:r>
      <w:r>
        <w:rPr>
          <w:rFonts w:ascii="仿宋" w:hAnsi="仿宋" w:eastAsia="仿宋" w:cs="宋体"/>
          <w:b/>
          <w:color w:val="FF0000"/>
          <w:sz w:val="28"/>
          <w:szCs w:val="28"/>
          <w:u w:val="single"/>
        </w:rPr>
        <w:t xml:space="preserve"> 17:00</w:t>
      </w:r>
      <w:r>
        <w:rPr>
          <w:rFonts w:hint="eastAsia" w:ascii="仿宋" w:hAnsi="仿宋" w:eastAsia="仿宋" w:cs="宋体"/>
          <w:color w:val="000000" w:themeColor="text1"/>
          <w:sz w:val="28"/>
          <w:szCs w:val="28"/>
        </w:rPr>
        <w:t>止</w:t>
      </w:r>
      <w:r>
        <w:rPr>
          <w:rFonts w:hint="eastAsia" w:ascii="仿宋" w:hAnsi="仿宋" w:eastAsia="仿宋" w:cs="仿宋_GB2312"/>
          <w:color w:val="000000" w:themeColor="text1"/>
          <w:sz w:val="28"/>
          <w:szCs w:val="28"/>
        </w:rPr>
        <w:t>，</w:t>
      </w:r>
      <w:r>
        <w:rPr>
          <w:rFonts w:hint="eastAsia" w:eastAsia="仿宋_GB2312"/>
          <w:color w:val="000000" w:themeColor="text1"/>
          <w:sz w:val="32"/>
          <w:szCs w:val="32"/>
        </w:rPr>
        <w:t>达州市公共资源交易服务网（</w:t>
      </w:r>
      <w:r>
        <w:fldChar w:fldCharType="begin"/>
      </w:r>
      <w:r>
        <w:instrText xml:space="preserve"> HYPERLINK "http://www.dzggzy.cn/" </w:instrText>
      </w:r>
      <w:r>
        <w:fldChar w:fldCharType="separate"/>
      </w:r>
      <w:r>
        <w:rPr>
          <w:rFonts w:hint="eastAsia" w:eastAsia="仿宋_GB2312"/>
          <w:color w:val="000000" w:themeColor="text1"/>
          <w:sz w:val="32"/>
          <w:szCs w:val="32"/>
        </w:rPr>
        <w:t>http://www.dzggzy.cn</w:t>
      </w:r>
      <w:r>
        <w:rPr>
          <w:rFonts w:hint="eastAsia" w:eastAsia="仿宋_GB2312"/>
          <w:color w:val="000000" w:themeColor="text1"/>
          <w:sz w:val="32"/>
          <w:szCs w:val="32"/>
        </w:rPr>
        <w:fldChar w:fldCharType="end"/>
      </w:r>
      <w:r>
        <w:rPr>
          <w:rFonts w:hint="eastAsia" w:eastAsia="仿宋_GB2312"/>
          <w:color w:val="000000" w:themeColor="text1"/>
          <w:sz w:val="32"/>
          <w:szCs w:val="32"/>
        </w:rPr>
        <w:t>）通过系统上传申请文件扫描件并提交申请。申请文件包括：</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1.法人申请的，应提交下列文件：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（4）法人单位有效证明文件；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（5）法定代表人的有效身份证明文件；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（6）申请人委托他人代为办理的，应提交授权委托书及委托代理人的有效身份证明文件；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2.自然人申请的，应提交下列文件：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（4）申请人有效身份证明文件；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（5）申请人委托他人代为办理的，应提交授权委托书及委托代理人的身份证明文件；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3.其他组织申请的，应提交下列文件：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（4）表明该组织合法存在的文件或有效证明；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（5）表明该组织负责人身份的有效证明文件；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4.境外申请人申请的，应提交下列文件：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（1）竞买申请书；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（4）境外法人、自然人、其他组织的有效身份证明文件；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5.联合申请的，应提交下列文件：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（1）联合申请各方共同签署的申请书；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（2）联合申请各方共同签署的保证金承诺书</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（3）联合体各方商业金融机构的资信证明；</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（4）联合各方的有效身份证明文件；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（6）申请人委托他人办理的，应提交授权委托书及委托代理人的有效身份证明文件；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（7）开户许可证或基本存款账户信息；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（8）竞买保证金交纳凭证；</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（9）拍卖文件规定需要提交的其它文件。</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（三）资格审查</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已提交申请的竞买申请人须在</w:t>
      </w:r>
      <w:r>
        <w:rPr>
          <w:rFonts w:hint="eastAsia" w:ascii="仿宋" w:hAnsi="仿宋" w:eastAsia="仿宋" w:cs="宋体"/>
          <w:b/>
          <w:color w:val="FF0000"/>
          <w:sz w:val="28"/>
          <w:szCs w:val="28"/>
        </w:rPr>
        <w:t>资格审查当日（</w:t>
      </w:r>
      <w:r>
        <w:rPr>
          <w:rFonts w:ascii="仿宋" w:hAnsi="仿宋" w:eastAsia="仿宋" w:cs="宋体"/>
          <w:b/>
          <w:color w:val="FF0000"/>
          <w:sz w:val="28"/>
          <w:szCs w:val="28"/>
          <w:u w:val="single"/>
        </w:rPr>
        <w:t>202</w:t>
      </w:r>
      <w:r>
        <w:rPr>
          <w:rFonts w:hint="eastAsia" w:ascii="仿宋" w:hAnsi="仿宋" w:eastAsia="仿宋" w:cs="宋体"/>
          <w:b/>
          <w:color w:val="FF0000"/>
          <w:sz w:val="28"/>
          <w:szCs w:val="28"/>
          <w:u w:val="single"/>
        </w:rPr>
        <w:t>1年10月8日）</w:t>
      </w:r>
      <w:r>
        <w:rPr>
          <w:rFonts w:ascii="仿宋" w:hAnsi="仿宋" w:eastAsia="仿宋" w:cs="宋体"/>
          <w:b/>
          <w:color w:val="000000" w:themeColor="text1"/>
          <w:sz w:val="28"/>
          <w:szCs w:val="28"/>
          <w:u w:val="single"/>
        </w:rPr>
        <w:t>8:30</w:t>
      </w:r>
      <w:r>
        <w:rPr>
          <w:rFonts w:hint="eastAsia" w:eastAsia="仿宋_GB2312"/>
          <w:color w:val="000000" w:themeColor="text1"/>
          <w:sz w:val="32"/>
          <w:szCs w:val="32"/>
        </w:rPr>
        <w:t>之前将竞买申请文件原件提交至4B-17，未按时提交原件的视为自行放弃竞买资格。</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1.申请人不具备竞买资格的；</w:t>
      </w:r>
    </w:p>
    <w:p>
      <w:pPr>
        <w:pStyle w:val="33"/>
        <w:widowControl w:val="0"/>
        <w:spacing w:line="600" w:lineRule="exact"/>
        <w:ind w:left="0"/>
        <w:rPr>
          <w:rFonts w:eastAsia="仿宋_GB2312"/>
          <w:color w:val="000000" w:themeColor="text1"/>
          <w:kern w:val="2"/>
          <w:sz w:val="32"/>
          <w:szCs w:val="32"/>
        </w:rPr>
      </w:pPr>
      <w:r>
        <w:rPr>
          <w:rFonts w:hint="eastAsia" w:eastAsia="仿宋_GB2312"/>
          <w:color w:val="000000" w:themeColor="text1"/>
          <w:kern w:val="2"/>
          <w:sz w:val="32"/>
          <w:szCs w:val="32"/>
        </w:rPr>
        <w:t xml:space="preserve">    2.未按规定交纳竞买保证金的；</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3.申请文件不齐全或不符合法律法规和出让文件规定的；</w:t>
      </w:r>
    </w:p>
    <w:p>
      <w:pPr>
        <w:pStyle w:val="33"/>
        <w:widowControl w:val="0"/>
        <w:spacing w:line="600" w:lineRule="exact"/>
        <w:ind w:left="0" w:firstLine="570"/>
        <w:rPr>
          <w:rFonts w:eastAsia="仿宋_GB2312"/>
          <w:color w:val="000000" w:themeColor="text1"/>
          <w:kern w:val="2"/>
          <w:sz w:val="32"/>
          <w:szCs w:val="32"/>
        </w:rPr>
      </w:pPr>
      <w:r>
        <w:rPr>
          <w:rFonts w:hint="eastAsia" w:eastAsia="仿宋_GB2312"/>
          <w:color w:val="000000" w:themeColor="text1"/>
          <w:kern w:val="2"/>
          <w:sz w:val="32"/>
          <w:szCs w:val="32"/>
        </w:rPr>
        <w:t>4.委托他人代理，委托文件不齐全或不符合规定的；</w:t>
      </w:r>
    </w:p>
    <w:p>
      <w:pPr>
        <w:pStyle w:val="33"/>
        <w:widowControl w:val="0"/>
        <w:spacing w:line="600" w:lineRule="exact"/>
        <w:ind w:left="0" w:firstLine="585"/>
        <w:rPr>
          <w:rFonts w:eastAsia="仿宋_GB2312"/>
          <w:color w:val="000000" w:themeColor="text1"/>
          <w:kern w:val="2"/>
          <w:sz w:val="32"/>
          <w:szCs w:val="32"/>
        </w:rPr>
      </w:pPr>
      <w:r>
        <w:rPr>
          <w:rFonts w:hint="eastAsia" w:eastAsia="仿宋_GB2312"/>
          <w:color w:val="000000" w:themeColor="text1"/>
          <w:kern w:val="2"/>
          <w:sz w:val="32"/>
          <w:szCs w:val="32"/>
        </w:rPr>
        <w:t>5.法律法规规定的其他情形。</w:t>
      </w:r>
    </w:p>
    <w:p>
      <w:pPr>
        <w:pStyle w:val="33"/>
        <w:widowControl w:val="0"/>
        <w:spacing w:line="600" w:lineRule="exact"/>
        <w:ind w:left="0" w:firstLine="640" w:firstLineChars="200"/>
        <w:rPr>
          <w:rFonts w:eastAsia="仿宋_GB2312"/>
          <w:color w:val="000000" w:themeColor="text1"/>
          <w:kern w:val="2"/>
          <w:sz w:val="32"/>
          <w:szCs w:val="32"/>
        </w:rPr>
      </w:pPr>
      <w:r>
        <w:rPr>
          <w:rFonts w:hint="eastAsia" w:eastAsia="仿宋_GB2312"/>
          <w:color w:val="000000" w:themeColor="text1"/>
          <w:kern w:val="2"/>
          <w:sz w:val="32"/>
          <w:szCs w:val="32"/>
        </w:rPr>
        <w:t>（四）确认竞买人资格</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取得竞买资格的竞买申请人，请在</w:t>
      </w:r>
      <w:r>
        <w:rPr>
          <w:rFonts w:ascii="仿宋" w:hAnsi="仿宋" w:eastAsia="仿宋" w:cs="宋体"/>
          <w:b/>
          <w:color w:val="FF0000"/>
          <w:sz w:val="28"/>
          <w:szCs w:val="28"/>
        </w:rPr>
        <w:t>202</w:t>
      </w:r>
      <w:r>
        <w:rPr>
          <w:rFonts w:hint="eastAsia" w:ascii="仿宋" w:hAnsi="仿宋" w:eastAsia="仿宋" w:cs="宋体"/>
          <w:b/>
          <w:color w:val="FF0000"/>
          <w:sz w:val="28"/>
          <w:szCs w:val="28"/>
        </w:rPr>
        <w:t>1年10月8日</w:t>
      </w:r>
      <w:r>
        <w:rPr>
          <w:rFonts w:ascii="仿宋" w:hAnsi="仿宋" w:eastAsia="仿宋" w:cs="宋体"/>
          <w:b/>
          <w:color w:val="FF0000"/>
          <w:sz w:val="28"/>
          <w:szCs w:val="28"/>
          <w:u w:val="single"/>
        </w:rPr>
        <w:t>10</w:t>
      </w:r>
      <w:r>
        <w:rPr>
          <w:rFonts w:hint="eastAsia" w:ascii="仿宋" w:hAnsi="仿宋" w:eastAsia="仿宋" w:cs="宋体"/>
          <w:b/>
          <w:color w:val="FF0000"/>
          <w:sz w:val="28"/>
          <w:szCs w:val="28"/>
          <w:u w:val="single"/>
        </w:rPr>
        <w:t>：30</w:t>
      </w:r>
      <w:r>
        <w:rPr>
          <w:rFonts w:hint="eastAsia" w:ascii="仿宋" w:hAnsi="仿宋" w:eastAsia="仿宋" w:cs="宋体"/>
          <w:b/>
          <w:color w:val="000000" w:themeColor="text1"/>
          <w:sz w:val="28"/>
          <w:szCs w:val="28"/>
          <w:u w:val="single"/>
        </w:rPr>
        <w:t>前</w:t>
      </w:r>
      <w:r>
        <w:rPr>
          <w:rFonts w:hint="eastAsia" w:eastAsia="仿宋_GB2312"/>
          <w:color w:val="000000" w:themeColor="text1"/>
          <w:sz w:val="32"/>
          <w:szCs w:val="32"/>
        </w:rPr>
        <w:t>自行登录达州市公共资源交易服务平台打印竞买资格确认书并带到拍卖现场（打印时间可能因资格审查而延迟）。</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（五）答疑及现场踏勘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竞买申请人取得拍卖出让文件后，应全面仔细阅读其内容并现场踏勘所需竞买的宗地。</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六、本次出让宗地拍卖会时间、地点及拍卖的起叫价、增价幅度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本次拍卖会地点为：达州市公共资源交易中心开标二厅举行。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本次拍卖会时间为</w:t>
      </w:r>
      <w:r>
        <w:rPr>
          <w:rFonts w:hint="eastAsia" w:eastAsia="仿宋_GB2312"/>
          <w:color w:val="FF0000"/>
          <w:sz w:val="32"/>
          <w:szCs w:val="32"/>
        </w:rPr>
        <w:t>：</w:t>
      </w:r>
      <w:r>
        <w:rPr>
          <w:rFonts w:ascii="仿宋" w:hAnsi="仿宋" w:eastAsia="仿宋"/>
          <w:b/>
          <w:color w:val="FF0000"/>
          <w:sz w:val="28"/>
          <w:szCs w:val="28"/>
          <w:u w:val="single"/>
        </w:rPr>
        <w:t>202</w:t>
      </w:r>
      <w:r>
        <w:rPr>
          <w:rFonts w:hint="eastAsia" w:ascii="仿宋" w:hAnsi="仿宋" w:eastAsia="仿宋"/>
          <w:b/>
          <w:color w:val="FF0000"/>
          <w:sz w:val="28"/>
          <w:szCs w:val="28"/>
          <w:u w:val="single"/>
        </w:rPr>
        <w:t>1年10月8日上午</w:t>
      </w:r>
      <w:r>
        <w:rPr>
          <w:rFonts w:ascii="仿宋" w:hAnsi="仿宋" w:eastAsia="仿宋"/>
          <w:b/>
          <w:color w:val="FF0000"/>
          <w:sz w:val="28"/>
          <w:szCs w:val="28"/>
          <w:u w:val="single"/>
        </w:rPr>
        <w:t>1</w:t>
      </w:r>
      <w:r>
        <w:rPr>
          <w:rFonts w:hint="eastAsia" w:ascii="仿宋" w:hAnsi="仿宋" w:eastAsia="仿宋"/>
          <w:b/>
          <w:color w:val="FF0000"/>
          <w:sz w:val="28"/>
          <w:szCs w:val="28"/>
          <w:u w:val="single"/>
        </w:rPr>
        <w:t>0：30</w:t>
      </w:r>
      <w:r>
        <w:rPr>
          <w:rFonts w:hint="eastAsia" w:eastAsia="仿宋_GB2312"/>
          <w:color w:val="000000" w:themeColor="text1"/>
          <w:sz w:val="32"/>
          <w:szCs w:val="32"/>
        </w:rPr>
        <w:t>（拍卖会时间可能因资格审查而延迟）。</w:t>
      </w:r>
    </w:p>
    <w:p>
      <w:pPr>
        <w:snapToGrid w:val="0"/>
        <w:spacing w:line="600" w:lineRule="exact"/>
        <w:ind w:firstLine="555"/>
        <w:rPr>
          <w:rFonts w:eastAsia="仿宋_GB2312"/>
          <w:color w:val="FF0000"/>
          <w:sz w:val="32"/>
          <w:szCs w:val="32"/>
        </w:rPr>
      </w:pPr>
      <w:r>
        <w:rPr>
          <w:rFonts w:hint="eastAsia" w:eastAsia="仿宋_GB2312"/>
          <w:color w:val="000000" w:themeColor="text1"/>
          <w:sz w:val="32"/>
          <w:szCs w:val="32"/>
        </w:rPr>
        <w:t>本次拍卖</w:t>
      </w:r>
      <w:r>
        <w:rPr>
          <w:rFonts w:hint="eastAsia" w:eastAsia="仿宋_GB2312"/>
          <w:color w:val="FF0000"/>
          <w:sz w:val="32"/>
          <w:szCs w:val="32"/>
        </w:rPr>
        <w:t>起叫价205万元/亩,增价幅度为5万元/亩或5万元/亩的整倍数。成交总地价=拍卖成交最高亩价×出让面积36.16亩。</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七、拍卖程序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9.拍卖主持人报出起叫价，宣布竞价开始；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10.竞买人举牌应价或者报价，首轮竞价完毕后须宣布首轮竞价结束并转为自由竞价；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11.拍卖主持人确认该竞买人应价或者报价后继续竞价；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14.公证员现场致公证词；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15.拍卖主持人主持拍卖人与竞得人在现场签订《成交确认书》。</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（三）出让人与竞得人依据《成交确认书》的约定签订《国有建设用地使用权出让合同》。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（四）出让结果公布：</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八、竞价规则</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（一）本次拍卖采用增价拍卖方式，按价高者得的原则确定竞得人（高于或等于政府底价的基础上）。</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（二）凡参加拍卖的竞买人必须承认起叫价，</w:t>
      </w:r>
      <w:r>
        <w:rPr>
          <w:rFonts w:hint="eastAsia" w:eastAsia="仿宋_GB2312"/>
          <w:color w:val="FF0000"/>
          <w:sz w:val="32"/>
          <w:szCs w:val="32"/>
        </w:rPr>
        <w:t>即从起叫价(205万元/亩）+最低增价幅度（5万元/亩）=210万元/亩的价格确认，</w:t>
      </w:r>
      <w:r>
        <w:rPr>
          <w:rFonts w:hint="eastAsia" w:eastAsia="仿宋_GB2312"/>
          <w:color w:val="000000" w:themeColor="text1"/>
          <w:sz w:val="32"/>
          <w:szCs w:val="32"/>
        </w:rPr>
        <w:t>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（四）若设有政府底价，最后应价未达到底价时，拍卖主持人终止本次拍卖活动，拍卖不成交。</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九、注意事项</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（一）特别提醒：资格审查当日，资格审查结束后即进行拍卖活动，通过资格审查的竞买申请人须做好相关准备。</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（六）有下列情形之一的，拍卖人应当在拍卖会前终止拍卖活动，并通知竞买人：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 ．竞买人串通损害国家利益、社会利益或他人合法权益的；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 ．拍卖工作人员私下接触竞买人，足以影响拍卖公正性的；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 ．应当依法终止拍卖活动的其他情形。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（七）竞得人有下列行为之一的，视为违约，出让人可取消其竞得人资格，竞买保证金、定金不予退还：</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1.竞得人逾期或拒绝在现场签订《成交确认书》的；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2.竞得人逾期或拒绝签订《国有建设用地使用权出让合同》的；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3.竞得人逾期支付交易服务费的；</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adjustRightInd w:val="0"/>
        <w:snapToGrid w:val="0"/>
        <w:spacing w:line="578" w:lineRule="exact"/>
        <w:ind w:firstLine="640" w:firstLineChars="200"/>
        <w:rPr>
          <w:rFonts w:ascii="仿宋_GB2312"/>
          <w:color w:val="000000"/>
          <w:szCs w:val="32"/>
        </w:rPr>
      </w:pPr>
      <w:r>
        <w:rPr>
          <w:rFonts w:hint="eastAsia" w:eastAsia="仿宋_GB2312"/>
          <w:color w:val="000000" w:themeColor="text1"/>
          <w:sz w:val="32"/>
          <w:szCs w:val="32"/>
        </w:rPr>
        <w:t>（九）出让合同签订时间及价款支付：土地拍卖出让成交后须当场签订《成交确认书》，自成交之日起10个工作日内签订《国有建设用地使用权出让合同》，在出让合同签订之日起1个月内缴纳拍卖成交价总额50%的首付款，余款在出让合同签订之日起7个月内缴清（不计息）。</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（十）土地交付条件及时间：在受让人缴清全部土地价款（含违约金）后30日内，</w:t>
      </w:r>
      <w:r>
        <w:rPr>
          <w:rFonts w:hint="eastAsia" w:ascii="仿宋" w:hAnsi="仿宋" w:eastAsia="仿宋" w:cs="宋体"/>
          <w:b/>
          <w:color w:val="000000" w:themeColor="text1"/>
          <w:sz w:val="28"/>
          <w:szCs w:val="28"/>
          <w:u w:val="single"/>
        </w:rPr>
        <w:t>达州市通川区自然资源局</w:t>
      </w:r>
      <w:r>
        <w:rPr>
          <w:rFonts w:hint="eastAsia" w:eastAsia="仿宋_GB2312"/>
          <w:color w:val="000000" w:themeColor="text1"/>
          <w:sz w:val="32"/>
          <w:szCs w:val="32"/>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（十一）对出让地块如涉及电力、通讯、光缆、输气管道等设施的，竞得人应按其管理部门避让等规定和要求办理。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（十二）拍卖不成交的或成交不签订《成交确认书》的，由</w:t>
      </w:r>
      <w:r>
        <w:rPr>
          <w:rFonts w:hint="eastAsia" w:ascii="仿宋" w:hAnsi="仿宋" w:eastAsia="仿宋"/>
          <w:color w:val="000000" w:themeColor="text1"/>
          <w:sz w:val="28"/>
          <w:szCs w:val="28"/>
          <w:u w:val="single"/>
        </w:rPr>
        <w:t>达州市公共资源交易服务中心</w:t>
      </w:r>
      <w:r>
        <w:rPr>
          <w:rFonts w:hint="eastAsia" w:eastAsia="仿宋_GB2312"/>
          <w:color w:val="000000" w:themeColor="text1"/>
          <w:sz w:val="32"/>
          <w:szCs w:val="32"/>
        </w:rPr>
        <w:t>在2个工作日内书面函告出让人。</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（十三）参加拍卖活动的人员，应遵守现场的纪律，服从管理人员的管理。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（十四）其他未尽事宜依照《招标拍卖挂牌出让国有土地使用权规范》办理。</w:t>
      </w:r>
    </w:p>
    <w:p>
      <w:pPr>
        <w:spacing w:line="600" w:lineRule="exact"/>
        <w:ind w:firstLine="640" w:firstLineChars="200"/>
        <w:rPr>
          <w:rFonts w:eastAsia="仿宋_GB2312"/>
          <w:color w:val="000000" w:themeColor="text1"/>
          <w:sz w:val="32"/>
          <w:szCs w:val="32"/>
        </w:rPr>
      </w:pPr>
      <w:r>
        <w:rPr>
          <w:rFonts w:hint="eastAsia" w:eastAsia="仿宋_GB2312"/>
          <w:color w:val="000000" w:themeColor="text1"/>
          <w:sz w:val="32"/>
          <w:szCs w:val="32"/>
        </w:rPr>
        <w:t>（十五）达州市通川区自然资源局、达州市公共资源交易服务中心对本《须知》有解释权。</w:t>
      </w:r>
    </w:p>
    <w:p>
      <w:pPr>
        <w:spacing w:line="600" w:lineRule="exact"/>
        <w:ind w:firstLine="1920" w:firstLineChars="6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黑体" w:eastAsia="黑体"/>
          <w:color w:val="000000" w:themeColor="text1"/>
          <w:sz w:val="44"/>
          <w:szCs w:val="44"/>
        </w:rPr>
      </w:pPr>
      <w:bookmarkStart w:id="4" w:name="_Toc3391743"/>
      <w:bookmarkStart w:id="5" w:name="_Toc3391972"/>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p>
    <w:p>
      <w:pPr>
        <w:rPr>
          <w:rFonts w:eastAsia="黑体"/>
        </w:rPr>
      </w:pPr>
      <w:r>
        <w:rPr>
          <w:rFonts w:hint="eastAsia" w:eastAsia="黑体"/>
        </w:rPr>
        <w:drawing>
          <wp:inline distT="0" distB="0" distL="114300" distR="114300">
            <wp:extent cx="5267960" cy="7444105"/>
            <wp:effectExtent l="0" t="0" r="8890" b="4445"/>
            <wp:docPr id="2" name="图片 2" descr="双龙镇A-04-03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双龙镇A-04-03规划条件_00"/>
                    <pic:cNvPicPr>
                      <a:picLocks noChangeAspect="1"/>
                    </pic:cNvPicPr>
                  </pic:nvPicPr>
                  <pic:blipFill>
                    <a:blip r:embed="rId25"/>
                    <a:stretch>
                      <a:fillRect/>
                    </a:stretch>
                  </pic:blipFill>
                  <pic:spPr>
                    <a:xfrm>
                      <a:off x="0" y="0"/>
                      <a:ext cx="5267960" cy="7444105"/>
                    </a:xfrm>
                    <a:prstGeom prst="rect">
                      <a:avLst/>
                    </a:prstGeom>
                  </pic:spPr>
                </pic:pic>
              </a:graphicData>
            </a:graphic>
          </wp:inline>
        </w:drawing>
      </w:r>
      <w:r>
        <w:rPr>
          <w:rFonts w:hint="eastAsia" w:eastAsia="黑体"/>
        </w:rPr>
        <w:drawing>
          <wp:inline distT="0" distB="0" distL="114300" distR="114300">
            <wp:extent cx="5267960" cy="7444105"/>
            <wp:effectExtent l="0" t="0" r="8890" b="4445"/>
            <wp:docPr id="1" name="图片 1" descr="双龙镇A-04-03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双龙镇A-04-03规划条件_01"/>
                    <pic:cNvPicPr>
                      <a:picLocks noChangeAspect="1"/>
                    </pic:cNvPicPr>
                  </pic:nvPicPr>
                  <pic:blipFill>
                    <a:blip r:embed="rId26"/>
                    <a:stretch>
                      <a:fillRect/>
                    </a:stretch>
                  </pic:blipFill>
                  <pic:spPr>
                    <a:xfrm>
                      <a:off x="0" y="0"/>
                      <a:ext cx="5267960" cy="7444105"/>
                    </a:xfrm>
                    <a:prstGeom prst="rect">
                      <a:avLst/>
                    </a:prstGeom>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6" w:name="_Toc3391973"/>
      <w:bookmarkStart w:id="7" w:name="_Toc3391744"/>
      <w:r>
        <w:rPr>
          <w:rFonts w:hint="eastAsia" w:ascii="黑体" w:eastAsia="黑体"/>
          <w:color w:val="000000" w:themeColor="text1"/>
          <w:sz w:val="44"/>
          <w:szCs w:val="44"/>
        </w:rPr>
        <w:t>用地红线图</w:t>
      </w:r>
      <w:bookmarkEnd w:id="6"/>
      <w:bookmarkEnd w:id="7"/>
    </w:p>
    <w:p>
      <w:pPr>
        <w:pStyle w:val="12"/>
        <w:rPr>
          <w:rFonts w:ascii="宋体" w:eastAsia="宋体" w:cs="宋体"/>
          <w:color w:val="000000" w:themeColor="text1"/>
          <w:sz w:val="28"/>
          <w:szCs w:val="28"/>
        </w:rPr>
      </w:pPr>
      <w:r>
        <w:rPr>
          <w:rFonts w:hint="eastAsia" w:ascii="宋体" w:eastAsia="宋体" w:cs="宋体"/>
          <w:color w:val="000000" w:themeColor="text1"/>
          <w:sz w:val="28"/>
          <w:szCs w:val="28"/>
        </w:rPr>
        <w:drawing>
          <wp:inline distT="0" distB="0" distL="114300" distR="114300">
            <wp:extent cx="5273040" cy="3725545"/>
            <wp:effectExtent l="0" t="0" r="3810" b="8255"/>
            <wp:docPr id="3" name="图片 3" descr="A-04-03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4-03红线图_00"/>
                    <pic:cNvPicPr>
                      <a:picLocks noChangeAspect="1"/>
                    </pic:cNvPicPr>
                  </pic:nvPicPr>
                  <pic:blipFill>
                    <a:blip r:embed="rId27"/>
                    <a:stretch>
                      <a:fillRect/>
                    </a:stretch>
                  </pic:blipFill>
                  <pic:spPr>
                    <a:xfrm>
                      <a:off x="0" y="0"/>
                      <a:ext cx="5273040" cy="3725545"/>
                    </a:xfrm>
                    <a:prstGeom prst="rect">
                      <a:avLst/>
                    </a:prstGeom>
                  </pic:spPr>
                </pic:pic>
              </a:graphicData>
            </a:graphic>
          </wp:inline>
        </w:drawing>
      </w:r>
    </w:p>
    <w:p>
      <w:pPr>
        <w:pStyle w:val="12"/>
        <w:jc w:val="both"/>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8" w:name="_Toc3391974"/>
      <w:bookmarkStart w:id="9" w:name="_Toc3391745"/>
      <w:r>
        <w:rPr>
          <w:rFonts w:hint="eastAsia" w:ascii="黑体" w:eastAsia="黑体"/>
          <w:color w:val="000000" w:themeColor="text1"/>
          <w:sz w:val="44"/>
          <w:szCs w:val="44"/>
        </w:rPr>
        <w:t>地块勘界图</w:t>
      </w:r>
      <w:bookmarkEnd w:id="8"/>
      <w:bookmarkEnd w:id="9"/>
    </w:p>
    <w:p>
      <w:pPr>
        <w:pStyle w:val="12"/>
        <w:rPr>
          <w:rFonts w:ascii="宋体" w:eastAsia="宋体" w:cs="宋体"/>
          <w:color w:val="000000" w:themeColor="text1"/>
          <w:sz w:val="28"/>
          <w:szCs w:val="28"/>
        </w:rPr>
      </w:pPr>
      <w:r>
        <w:rPr>
          <w:rFonts w:hint="eastAsia" w:ascii="宋体" w:eastAsia="宋体" w:cs="宋体"/>
          <w:color w:val="000000" w:themeColor="text1"/>
          <w:sz w:val="28"/>
          <w:szCs w:val="28"/>
        </w:rPr>
        <w:drawing>
          <wp:inline distT="0" distB="0" distL="114300" distR="114300">
            <wp:extent cx="5273040" cy="3725545"/>
            <wp:effectExtent l="0" t="0" r="3810" b="8255"/>
            <wp:docPr id="4" name="图片 4" descr="A-04-03勘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4-03勘界图_00"/>
                    <pic:cNvPicPr>
                      <a:picLocks noChangeAspect="1"/>
                    </pic:cNvPicPr>
                  </pic:nvPicPr>
                  <pic:blipFill>
                    <a:blip r:embed="rId28"/>
                    <a:stretch>
                      <a:fillRect/>
                    </a:stretch>
                  </pic:blipFill>
                  <pic:spPr>
                    <a:xfrm>
                      <a:off x="0" y="0"/>
                      <a:ext cx="5273040" cy="3725545"/>
                    </a:xfrm>
                    <a:prstGeom prst="rect">
                      <a:avLst/>
                    </a:prstGeom>
                  </pic:spPr>
                </pic:pic>
              </a:graphicData>
            </a:graphic>
          </wp:inline>
        </w:drawing>
      </w:r>
    </w:p>
    <w:p/>
    <w:p>
      <w:pPr>
        <w:pStyle w:val="12"/>
        <w:rPr>
          <w:rFonts w:ascii="宋体" w:eastAsia="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themeColor="text1"/>
          <w:sz w:val="44"/>
          <w:szCs w:val="44"/>
        </w:rPr>
      </w:pPr>
      <w:bookmarkStart w:id="10" w:name="_Toc3391746"/>
      <w:bookmarkStart w:id="11" w:name="_Toc3391975"/>
      <w:r>
        <w:rPr>
          <w:rFonts w:hint="eastAsia" w:ascii="黑体" w:eastAsia="黑体"/>
          <w:color w:val="000000" w:themeColor="text1"/>
          <w:sz w:val="44"/>
          <w:szCs w:val="44"/>
        </w:rPr>
        <w:t>竞买申请书</w:t>
      </w:r>
      <w:bookmarkEnd w:id="10"/>
      <w:bookmarkEnd w:id="11"/>
    </w:p>
    <w:p>
      <w:pPr>
        <w:pStyle w:val="33"/>
        <w:spacing w:line="420" w:lineRule="exact"/>
        <w:rPr>
          <w:rFonts w:ascii="宋体"/>
          <w:color w:val="000000" w:themeColor="text1"/>
          <w:sz w:val="24"/>
          <w:szCs w:val="24"/>
        </w:rPr>
      </w:pPr>
    </w:p>
    <w:p>
      <w:pPr>
        <w:pStyle w:val="33"/>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33"/>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33"/>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ascii="宋体" w:hAnsi="宋体"/>
          <w:b/>
          <w:color w:val="00B0F0"/>
          <w:sz w:val="24"/>
          <w:szCs w:val="24"/>
          <w:u w:val="single"/>
        </w:rPr>
        <w:t>XXX</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rPr>
        <w:t>万元）。</w:t>
      </w:r>
    </w:p>
    <w:p>
      <w:pPr>
        <w:pStyle w:val="33"/>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33"/>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土地所在辖区</w:t>
      </w:r>
      <w:r>
        <w:rPr>
          <w:rFonts w:hint="eastAsia" w:ascii="宋体" w:hAnsi="宋体"/>
          <w:b/>
          <w:color w:val="000000" w:themeColor="text1"/>
          <w:sz w:val="24"/>
          <w:szCs w:val="24"/>
        </w:rPr>
        <w:t>注册成立</w:t>
      </w:r>
      <w:r>
        <w:rPr>
          <w:rFonts w:hint="eastAsia" w:ascii="宋体" w:hAnsi="宋体"/>
          <w:b/>
          <w:color w:val="00B0F0"/>
          <w:sz w:val="24"/>
          <w:szCs w:val="24"/>
        </w:rPr>
        <w:t>一家公司</w:t>
      </w:r>
      <w:r>
        <w:rPr>
          <w:rFonts w:hint="eastAsia" w:ascii="宋体" w:hAnsi="宋体"/>
          <w:b/>
          <w:color w:val="000000" w:themeColor="text1"/>
          <w:sz w:val="24"/>
          <w:szCs w:val="24"/>
        </w:rPr>
        <w:t>对竞得土地进行开发建设，新公司出资构成为</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3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3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33"/>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33"/>
        <w:spacing w:line="420" w:lineRule="exact"/>
        <w:ind w:firstLine="470" w:firstLineChars="196"/>
        <w:rPr>
          <w:rFonts w:ascii="宋体"/>
          <w:color w:val="000000" w:themeColor="text1"/>
          <w:sz w:val="24"/>
          <w:szCs w:val="24"/>
        </w:rPr>
      </w:pP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33"/>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33"/>
        <w:spacing w:line="420" w:lineRule="exact"/>
        <w:ind w:left="0" w:firstLine="510"/>
        <w:rPr>
          <w:rFonts w:ascii="宋体"/>
          <w:color w:val="000000" w:themeColor="text1"/>
          <w:sz w:val="24"/>
          <w:szCs w:val="24"/>
        </w:rPr>
      </w:pPr>
    </w:p>
    <w:p>
      <w:pPr>
        <w:pStyle w:val="33"/>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976"/>
      <w:bookmarkStart w:id="13" w:name="_Toc3391747"/>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977"/>
      <w:bookmarkStart w:id="15" w:name="_Toc3391748"/>
      <w:r>
        <w:rPr>
          <w:rFonts w:hint="eastAsia" w:ascii="黑体" w:eastAsia="黑体"/>
          <w:color w:val="000000" w:themeColor="text1"/>
          <w:sz w:val="44"/>
          <w:szCs w:val="44"/>
        </w:rPr>
        <w:t>法定代表人身份证明书</w:t>
      </w:r>
      <w:bookmarkEnd w:id="14"/>
      <w:bookmarkEnd w:id="15"/>
    </w:p>
    <w:p>
      <w:pPr>
        <w:pStyle w:val="33"/>
        <w:spacing w:line="627" w:lineRule="atLeast"/>
        <w:ind w:left="0"/>
        <w:jc w:val="left"/>
        <w:rPr>
          <w:rFonts w:ascii="黑体" w:eastAsia="黑体"/>
          <w:color w:val="000000" w:themeColor="text1"/>
          <w:sz w:val="36"/>
          <w:szCs w:val="36"/>
        </w:rPr>
      </w:pPr>
    </w:p>
    <w:p>
      <w:pPr>
        <w:pStyle w:val="33"/>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33"/>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33"/>
        <w:spacing w:line="627" w:lineRule="atLeast"/>
        <w:ind w:firstLine="900" w:firstLineChars="300"/>
        <w:jc w:val="left"/>
        <w:rPr>
          <w:rFonts w:ascii="仿宋_GB2312" w:hAnsi="仿宋_GB2312" w:eastAsia="仿宋_GB2312" w:cs="仿宋_GB2312"/>
          <w:color w:val="000000" w:themeColor="text1"/>
          <w:sz w:val="30"/>
          <w:szCs w:val="30"/>
        </w:rPr>
      </w:pPr>
    </w:p>
    <w:p>
      <w:pPr>
        <w:pStyle w:val="33"/>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rPr>
          <w:rFonts w:ascii="宋体"/>
          <w:color w:val="000000" w:themeColor="text1"/>
          <w:sz w:val="28"/>
          <w:szCs w:val="28"/>
        </w:rPr>
      </w:pPr>
    </w:p>
    <w:p>
      <w:pPr>
        <w:pStyle w:val="33"/>
        <w:spacing w:line="586" w:lineRule="atLeast"/>
        <w:jc w:val="center"/>
        <w:rPr>
          <w:rFonts w:ascii="宋体"/>
          <w:color w:val="000000" w:themeColor="text1"/>
          <w:sz w:val="28"/>
          <w:szCs w:val="28"/>
        </w:rPr>
      </w:pPr>
    </w:p>
    <w:p>
      <w:pPr>
        <w:pStyle w:val="33"/>
        <w:spacing w:line="586" w:lineRule="atLeast"/>
        <w:jc w:val="left"/>
        <w:rPr>
          <w:rFonts w:ascii="宋体"/>
          <w:color w:val="000000" w:themeColor="text1"/>
          <w:sz w:val="28"/>
          <w:szCs w:val="28"/>
        </w:rPr>
      </w:pPr>
    </w:p>
    <w:p>
      <w:pPr>
        <w:pStyle w:val="33"/>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33"/>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3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3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33"/>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749"/>
      <w:bookmarkStart w:id="17" w:name="_Toc3391978"/>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仿宋_GB2312" w:eastAsia="仿宋_GB2312"/>
                <w:b/>
                <w:color w:val="00B0F0"/>
                <w:kern w:val="0"/>
                <w:sz w:val="24"/>
                <w:u w:val="single"/>
              </w:rPr>
              <w:t>X</w:t>
            </w:r>
            <w:r>
              <w:rPr>
                <w:rFonts w:ascii="仿宋_GB2312" w:eastAsia="仿宋_GB2312"/>
                <w:b/>
                <w:color w:val="00B0F0"/>
                <w:kern w:val="0"/>
                <w:sz w:val="24"/>
                <w:u w:val="single"/>
              </w:rPr>
              <w:t>XX</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33"/>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ascii="仿宋_GB2312" w:hAnsi="宋体" w:eastAsia="仿宋_GB2312"/>
          <w:b/>
          <w:color w:val="00B0F0"/>
          <w:sz w:val="30"/>
          <w:szCs w:val="30"/>
          <w:u w:val="single"/>
        </w:rPr>
        <w:t>XXX</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33"/>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33"/>
        <w:spacing w:line="600" w:lineRule="exact"/>
        <w:ind w:left="0"/>
        <w:rPr>
          <w:color w:val="000000" w:themeColor="text1"/>
        </w:rPr>
      </w:pPr>
    </w:p>
    <w:p>
      <w:pPr>
        <w:pStyle w:val="33"/>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adj=",,"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27"/>
          <w:rFonts w:hAnsi="宋体" w:cs="宋体"/>
          <w:color w:val="000000" w:themeColor="text1"/>
        </w:rPr>
      </w:pPr>
    </w:p>
    <w:p>
      <w:pPr>
        <w:pStyle w:val="4"/>
        <w:rPr>
          <w:rStyle w:val="27"/>
          <w:rFonts w:hAnsi="宋体" w:cs="宋体"/>
          <w:color w:val="000000" w:themeColor="text1"/>
        </w:rPr>
      </w:pPr>
    </w:p>
    <w:p>
      <w:pPr>
        <w:pStyle w:val="2"/>
        <w:jc w:val="center"/>
        <w:rPr>
          <w:rFonts w:ascii="宋体" w:hAnsi="宋体" w:eastAsia="宋体"/>
          <w:color w:val="000000" w:themeColor="text1"/>
          <w:sz w:val="18"/>
          <w:szCs w:val="18"/>
        </w:rPr>
      </w:pPr>
      <w:bookmarkStart w:id="18" w:name="_Toc3391751"/>
      <w:bookmarkStart w:id="19" w:name="_Toc3391980"/>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5180" w:firstLineChars="1850"/>
        <w:rPr>
          <w:rFonts w:hAnsi="宋体"/>
          <w:color w:val="000000" w:themeColor="text1"/>
        </w:rPr>
      </w:pPr>
      <w:r>
        <w:rPr>
          <w:rFonts w:hint="eastAsia" w:hAnsi="宋体" w:cs="仿宋_GB2312"/>
          <w:color w:val="000000" w:themeColor="text1"/>
          <w:sz w:val="28"/>
          <w:szCs w:val="28"/>
        </w:rPr>
        <w:t>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达市通自然资交字〔〕号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交地方：            （印章）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你局向我方核发的国有建设用地划拨决定书，划拨决定书电子监管号为），宗地四至为，面积为平方米，约定动工日期为年月日，土地权利证号。</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我方在上述宗地按号《建设工程规划许可证》要求建设了项目，已于年月日竣工，完成出让合同（划拨决定书）规定的规划建设内容。请予校验核实。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2"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30</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446D"/>
    <w:rsid w:val="0001456E"/>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77F59"/>
    <w:rsid w:val="00182313"/>
    <w:rsid w:val="00182674"/>
    <w:rsid w:val="001849B2"/>
    <w:rsid w:val="0018613A"/>
    <w:rsid w:val="0019277E"/>
    <w:rsid w:val="001927B6"/>
    <w:rsid w:val="00192F08"/>
    <w:rsid w:val="001972E9"/>
    <w:rsid w:val="00197CCD"/>
    <w:rsid w:val="001A20D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002"/>
    <w:rsid w:val="00224E71"/>
    <w:rsid w:val="002266E2"/>
    <w:rsid w:val="00227861"/>
    <w:rsid w:val="00231981"/>
    <w:rsid w:val="00232C54"/>
    <w:rsid w:val="002336B5"/>
    <w:rsid w:val="00234759"/>
    <w:rsid w:val="00234842"/>
    <w:rsid w:val="002372B3"/>
    <w:rsid w:val="00243717"/>
    <w:rsid w:val="002505B2"/>
    <w:rsid w:val="00253807"/>
    <w:rsid w:val="0025569D"/>
    <w:rsid w:val="00256765"/>
    <w:rsid w:val="00260DEB"/>
    <w:rsid w:val="00265FCB"/>
    <w:rsid w:val="00270033"/>
    <w:rsid w:val="00271597"/>
    <w:rsid w:val="00273103"/>
    <w:rsid w:val="00280F72"/>
    <w:rsid w:val="00291512"/>
    <w:rsid w:val="00292C2B"/>
    <w:rsid w:val="002A09DD"/>
    <w:rsid w:val="002A1020"/>
    <w:rsid w:val="002A2A5A"/>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3026FD"/>
    <w:rsid w:val="003055EA"/>
    <w:rsid w:val="00310264"/>
    <w:rsid w:val="00311336"/>
    <w:rsid w:val="00312AD6"/>
    <w:rsid w:val="003235F6"/>
    <w:rsid w:val="00324175"/>
    <w:rsid w:val="00327996"/>
    <w:rsid w:val="00330403"/>
    <w:rsid w:val="0033062A"/>
    <w:rsid w:val="003349CC"/>
    <w:rsid w:val="0034122B"/>
    <w:rsid w:val="0034334B"/>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3CC"/>
    <w:rsid w:val="00411519"/>
    <w:rsid w:val="00413AE8"/>
    <w:rsid w:val="00415951"/>
    <w:rsid w:val="004173EA"/>
    <w:rsid w:val="00417927"/>
    <w:rsid w:val="00420668"/>
    <w:rsid w:val="004243A2"/>
    <w:rsid w:val="004252F2"/>
    <w:rsid w:val="00426100"/>
    <w:rsid w:val="00434234"/>
    <w:rsid w:val="00437E6F"/>
    <w:rsid w:val="00445175"/>
    <w:rsid w:val="00447C97"/>
    <w:rsid w:val="00447DE7"/>
    <w:rsid w:val="00453F39"/>
    <w:rsid w:val="00454B2E"/>
    <w:rsid w:val="00457421"/>
    <w:rsid w:val="0046082D"/>
    <w:rsid w:val="0046186E"/>
    <w:rsid w:val="00461FAB"/>
    <w:rsid w:val="00465846"/>
    <w:rsid w:val="0046770E"/>
    <w:rsid w:val="00467912"/>
    <w:rsid w:val="00473DBF"/>
    <w:rsid w:val="004742E7"/>
    <w:rsid w:val="00476150"/>
    <w:rsid w:val="00476358"/>
    <w:rsid w:val="00483A0F"/>
    <w:rsid w:val="004851CE"/>
    <w:rsid w:val="004935C4"/>
    <w:rsid w:val="004A0672"/>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C54F4"/>
    <w:rsid w:val="004D2E4C"/>
    <w:rsid w:val="004D3B04"/>
    <w:rsid w:val="004D3EED"/>
    <w:rsid w:val="004D42D4"/>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2113C"/>
    <w:rsid w:val="00523EAD"/>
    <w:rsid w:val="00524E38"/>
    <w:rsid w:val="005308EF"/>
    <w:rsid w:val="00530B1F"/>
    <w:rsid w:val="00533D25"/>
    <w:rsid w:val="005348A9"/>
    <w:rsid w:val="00536417"/>
    <w:rsid w:val="00554A0F"/>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400"/>
    <w:rsid w:val="006B76F7"/>
    <w:rsid w:val="006C0987"/>
    <w:rsid w:val="006C336D"/>
    <w:rsid w:val="006C5540"/>
    <w:rsid w:val="006C58F0"/>
    <w:rsid w:val="006D58D2"/>
    <w:rsid w:val="006E3F71"/>
    <w:rsid w:val="006E4100"/>
    <w:rsid w:val="006E462A"/>
    <w:rsid w:val="006E4D01"/>
    <w:rsid w:val="006E6F1A"/>
    <w:rsid w:val="006F0FC4"/>
    <w:rsid w:val="006F4909"/>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B0ECF"/>
    <w:rsid w:val="007B4CD9"/>
    <w:rsid w:val="007C083D"/>
    <w:rsid w:val="007C0910"/>
    <w:rsid w:val="007C1CC7"/>
    <w:rsid w:val="007C2D9D"/>
    <w:rsid w:val="007C545F"/>
    <w:rsid w:val="007C7D14"/>
    <w:rsid w:val="007D2A4D"/>
    <w:rsid w:val="007D3752"/>
    <w:rsid w:val="007D5974"/>
    <w:rsid w:val="007F2305"/>
    <w:rsid w:val="007F2568"/>
    <w:rsid w:val="007F6A63"/>
    <w:rsid w:val="00804172"/>
    <w:rsid w:val="0080624C"/>
    <w:rsid w:val="00811EF7"/>
    <w:rsid w:val="0081446E"/>
    <w:rsid w:val="00821046"/>
    <w:rsid w:val="00823100"/>
    <w:rsid w:val="008239EA"/>
    <w:rsid w:val="008272CD"/>
    <w:rsid w:val="00833446"/>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261E"/>
    <w:rsid w:val="008B4CA0"/>
    <w:rsid w:val="008C1D25"/>
    <w:rsid w:val="008C3B9B"/>
    <w:rsid w:val="008C4B3C"/>
    <w:rsid w:val="008C7754"/>
    <w:rsid w:val="008D0522"/>
    <w:rsid w:val="008D0E33"/>
    <w:rsid w:val="008D109B"/>
    <w:rsid w:val="008D1470"/>
    <w:rsid w:val="008D331A"/>
    <w:rsid w:val="008D3B54"/>
    <w:rsid w:val="008D79C1"/>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53C1"/>
    <w:rsid w:val="00946FE0"/>
    <w:rsid w:val="00947BCF"/>
    <w:rsid w:val="00950D95"/>
    <w:rsid w:val="0095603D"/>
    <w:rsid w:val="0095642C"/>
    <w:rsid w:val="009605ED"/>
    <w:rsid w:val="00962E09"/>
    <w:rsid w:val="00963318"/>
    <w:rsid w:val="00964C8A"/>
    <w:rsid w:val="00965A46"/>
    <w:rsid w:val="00970555"/>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7829"/>
    <w:rsid w:val="009E21FF"/>
    <w:rsid w:val="009E2EDB"/>
    <w:rsid w:val="009E502E"/>
    <w:rsid w:val="009E78C7"/>
    <w:rsid w:val="009F0745"/>
    <w:rsid w:val="009F249F"/>
    <w:rsid w:val="009F32EE"/>
    <w:rsid w:val="009F35C6"/>
    <w:rsid w:val="009F3F08"/>
    <w:rsid w:val="009F5BFB"/>
    <w:rsid w:val="009F740F"/>
    <w:rsid w:val="00A00BCC"/>
    <w:rsid w:val="00A012DE"/>
    <w:rsid w:val="00A04FDF"/>
    <w:rsid w:val="00A0561C"/>
    <w:rsid w:val="00A104B8"/>
    <w:rsid w:val="00A12205"/>
    <w:rsid w:val="00A127E5"/>
    <w:rsid w:val="00A169A8"/>
    <w:rsid w:val="00A21B04"/>
    <w:rsid w:val="00A23C18"/>
    <w:rsid w:val="00A33953"/>
    <w:rsid w:val="00A34857"/>
    <w:rsid w:val="00A41050"/>
    <w:rsid w:val="00A459F9"/>
    <w:rsid w:val="00A45ACA"/>
    <w:rsid w:val="00A469BB"/>
    <w:rsid w:val="00A56A0A"/>
    <w:rsid w:val="00A56CFB"/>
    <w:rsid w:val="00A575CA"/>
    <w:rsid w:val="00A57825"/>
    <w:rsid w:val="00A71758"/>
    <w:rsid w:val="00A722AF"/>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E66FD"/>
    <w:rsid w:val="00AE75F5"/>
    <w:rsid w:val="00AF30CA"/>
    <w:rsid w:val="00AF40D0"/>
    <w:rsid w:val="00AF49F2"/>
    <w:rsid w:val="00AF7ADC"/>
    <w:rsid w:val="00B019E0"/>
    <w:rsid w:val="00B01A31"/>
    <w:rsid w:val="00B0610E"/>
    <w:rsid w:val="00B06BAC"/>
    <w:rsid w:val="00B077AD"/>
    <w:rsid w:val="00B10AAE"/>
    <w:rsid w:val="00B11E05"/>
    <w:rsid w:val="00B1211A"/>
    <w:rsid w:val="00B131E7"/>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B0038"/>
    <w:rsid w:val="00BB371C"/>
    <w:rsid w:val="00BB54F9"/>
    <w:rsid w:val="00BB55DA"/>
    <w:rsid w:val="00BC0563"/>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A6D1D"/>
    <w:rsid w:val="00CB1156"/>
    <w:rsid w:val="00CC1A44"/>
    <w:rsid w:val="00CC28C8"/>
    <w:rsid w:val="00CC4CC1"/>
    <w:rsid w:val="00CC62FF"/>
    <w:rsid w:val="00CC6EB2"/>
    <w:rsid w:val="00CD3DB7"/>
    <w:rsid w:val="00CE00D6"/>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37EFE"/>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6BDE"/>
    <w:rsid w:val="00ED7FA5"/>
    <w:rsid w:val="00EE1AF2"/>
    <w:rsid w:val="00EE445A"/>
    <w:rsid w:val="00EE503F"/>
    <w:rsid w:val="00EE5414"/>
    <w:rsid w:val="00EF0BF7"/>
    <w:rsid w:val="00EF778C"/>
    <w:rsid w:val="00F00A4C"/>
    <w:rsid w:val="00F02FD2"/>
    <w:rsid w:val="00F03066"/>
    <w:rsid w:val="00F069E9"/>
    <w:rsid w:val="00F10224"/>
    <w:rsid w:val="00F10ADD"/>
    <w:rsid w:val="00F11623"/>
    <w:rsid w:val="00F1162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7BA9"/>
    <w:rsid w:val="00F831BD"/>
    <w:rsid w:val="00F86296"/>
    <w:rsid w:val="00F871B6"/>
    <w:rsid w:val="00F92F5F"/>
    <w:rsid w:val="00F93AAF"/>
    <w:rsid w:val="00F94E1E"/>
    <w:rsid w:val="00F97C26"/>
    <w:rsid w:val="00FA15CE"/>
    <w:rsid w:val="00FA4D29"/>
    <w:rsid w:val="00FB0064"/>
    <w:rsid w:val="00FB0B96"/>
    <w:rsid w:val="00FB1E85"/>
    <w:rsid w:val="00FB6B3E"/>
    <w:rsid w:val="00FC5906"/>
    <w:rsid w:val="00FD0152"/>
    <w:rsid w:val="00FD17E6"/>
    <w:rsid w:val="00FD19A5"/>
    <w:rsid w:val="00FD268D"/>
    <w:rsid w:val="00FD3163"/>
    <w:rsid w:val="00FD3832"/>
    <w:rsid w:val="00FD68AF"/>
    <w:rsid w:val="00FE0D35"/>
    <w:rsid w:val="00FE153F"/>
    <w:rsid w:val="00FE5D43"/>
    <w:rsid w:val="00FE7476"/>
    <w:rsid w:val="00FF0451"/>
    <w:rsid w:val="00FF17A3"/>
    <w:rsid w:val="00FF3B64"/>
    <w:rsid w:val="01BB709B"/>
    <w:rsid w:val="01EB1421"/>
    <w:rsid w:val="0237350A"/>
    <w:rsid w:val="02683395"/>
    <w:rsid w:val="029972DE"/>
    <w:rsid w:val="038B3F8D"/>
    <w:rsid w:val="038F57CD"/>
    <w:rsid w:val="03AA19C7"/>
    <w:rsid w:val="03B74AF0"/>
    <w:rsid w:val="03DE645D"/>
    <w:rsid w:val="04430AA5"/>
    <w:rsid w:val="04C05D0D"/>
    <w:rsid w:val="055F5F8F"/>
    <w:rsid w:val="05E1083F"/>
    <w:rsid w:val="05EB6930"/>
    <w:rsid w:val="06D24CA6"/>
    <w:rsid w:val="06FA7189"/>
    <w:rsid w:val="070078AF"/>
    <w:rsid w:val="07C85206"/>
    <w:rsid w:val="07CE7F6A"/>
    <w:rsid w:val="08831E6D"/>
    <w:rsid w:val="08B20E87"/>
    <w:rsid w:val="08F8506B"/>
    <w:rsid w:val="09563133"/>
    <w:rsid w:val="09716552"/>
    <w:rsid w:val="09930DCF"/>
    <w:rsid w:val="0A0A4443"/>
    <w:rsid w:val="0A555DC8"/>
    <w:rsid w:val="0A617182"/>
    <w:rsid w:val="0B1166D4"/>
    <w:rsid w:val="0B1A4AB9"/>
    <w:rsid w:val="0B230F97"/>
    <w:rsid w:val="0C497608"/>
    <w:rsid w:val="0CD833D2"/>
    <w:rsid w:val="0DE1762A"/>
    <w:rsid w:val="0E2D6DD1"/>
    <w:rsid w:val="0E5731F5"/>
    <w:rsid w:val="0EC02526"/>
    <w:rsid w:val="0F8E6491"/>
    <w:rsid w:val="10C679D7"/>
    <w:rsid w:val="10EA6A3A"/>
    <w:rsid w:val="115B5999"/>
    <w:rsid w:val="11623ABF"/>
    <w:rsid w:val="11797BE6"/>
    <w:rsid w:val="12223B9B"/>
    <w:rsid w:val="128C0E51"/>
    <w:rsid w:val="13245BF3"/>
    <w:rsid w:val="132F26C0"/>
    <w:rsid w:val="13557F4C"/>
    <w:rsid w:val="13ED13EF"/>
    <w:rsid w:val="142B4A67"/>
    <w:rsid w:val="146D5FF7"/>
    <w:rsid w:val="147F467C"/>
    <w:rsid w:val="14E16390"/>
    <w:rsid w:val="15994615"/>
    <w:rsid w:val="15CA3584"/>
    <w:rsid w:val="165501C7"/>
    <w:rsid w:val="16801789"/>
    <w:rsid w:val="175B5274"/>
    <w:rsid w:val="1D0A00A1"/>
    <w:rsid w:val="1D286A77"/>
    <w:rsid w:val="1DCF1CAD"/>
    <w:rsid w:val="1DEB2E15"/>
    <w:rsid w:val="1EAE1A51"/>
    <w:rsid w:val="1FF6360A"/>
    <w:rsid w:val="202662CF"/>
    <w:rsid w:val="20C02E3B"/>
    <w:rsid w:val="20E5353A"/>
    <w:rsid w:val="21300BE1"/>
    <w:rsid w:val="215C6E1C"/>
    <w:rsid w:val="21916B72"/>
    <w:rsid w:val="21AD621F"/>
    <w:rsid w:val="22B4258F"/>
    <w:rsid w:val="22FB3716"/>
    <w:rsid w:val="23AD634E"/>
    <w:rsid w:val="23E54776"/>
    <w:rsid w:val="23F01B5E"/>
    <w:rsid w:val="249F1FCC"/>
    <w:rsid w:val="250840B1"/>
    <w:rsid w:val="268175C0"/>
    <w:rsid w:val="269F7E2E"/>
    <w:rsid w:val="26AF0309"/>
    <w:rsid w:val="282D288D"/>
    <w:rsid w:val="283D005B"/>
    <w:rsid w:val="28AF3A48"/>
    <w:rsid w:val="2959300C"/>
    <w:rsid w:val="29C36319"/>
    <w:rsid w:val="2A524AC0"/>
    <w:rsid w:val="2C2C4570"/>
    <w:rsid w:val="2CB451D8"/>
    <w:rsid w:val="2D2B72D6"/>
    <w:rsid w:val="2DAB3E8A"/>
    <w:rsid w:val="2DFB7CF8"/>
    <w:rsid w:val="2E1100C3"/>
    <w:rsid w:val="2F246B5F"/>
    <w:rsid w:val="2F3436B1"/>
    <w:rsid w:val="2F52394D"/>
    <w:rsid w:val="2FE843C0"/>
    <w:rsid w:val="306F1C58"/>
    <w:rsid w:val="308C2EED"/>
    <w:rsid w:val="31070868"/>
    <w:rsid w:val="31621A3C"/>
    <w:rsid w:val="32125574"/>
    <w:rsid w:val="327B74C9"/>
    <w:rsid w:val="33147AFF"/>
    <w:rsid w:val="33853158"/>
    <w:rsid w:val="33DC02C1"/>
    <w:rsid w:val="35777C11"/>
    <w:rsid w:val="35CA5CF9"/>
    <w:rsid w:val="35D85810"/>
    <w:rsid w:val="365111B7"/>
    <w:rsid w:val="368532F2"/>
    <w:rsid w:val="37A26727"/>
    <w:rsid w:val="37A84496"/>
    <w:rsid w:val="37DA4387"/>
    <w:rsid w:val="39525AEE"/>
    <w:rsid w:val="39C15E10"/>
    <w:rsid w:val="3B373BF0"/>
    <w:rsid w:val="3B3E5006"/>
    <w:rsid w:val="3B970C5E"/>
    <w:rsid w:val="3BF5424D"/>
    <w:rsid w:val="3CAC0CBC"/>
    <w:rsid w:val="3CE50140"/>
    <w:rsid w:val="3CED456F"/>
    <w:rsid w:val="3D1179C2"/>
    <w:rsid w:val="3DBC6E76"/>
    <w:rsid w:val="3DCE3DD0"/>
    <w:rsid w:val="3DF86F11"/>
    <w:rsid w:val="3E4C593B"/>
    <w:rsid w:val="3E637C3C"/>
    <w:rsid w:val="3EB30628"/>
    <w:rsid w:val="3F4236B9"/>
    <w:rsid w:val="40C32B14"/>
    <w:rsid w:val="41452A05"/>
    <w:rsid w:val="414B7BD9"/>
    <w:rsid w:val="421B1352"/>
    <w:rsid w:val="425126BB"/>
    <w:rsid w:val="42CB665B"/>
    <w:rsid w:val="42F24DC1"/>
    <w:rsid w:val="44036F51"/>
    <w:rsid w:val="44336E6F"/>
    <w:rsid w:val="449B3B70"/>
    <w:rsid w:val="449C1698"/>
    <w:rsid w:val="452C62DB"/>
    <w:rsid w:val="455A4CDB"/>
    <w:rsid w:val="45826DE9"/>
    <w:rsid w:val="45FB587F"/>
    <w:rsid w:val="462F681E"/>
    <w:rsid w:val="46BA1FB6"/>
    <w:rsid w:val="46C66632"/>
    <w:rsid w:val="47EF2633"/>
    <w:rsid w:val="48000CA4"/>
    <w:rsid w:val="481171B5"/>
    <w:rsid w:val="482863DE"/>
    <w:rsid w:val="482A565B"/>
    <w:rsid w:val="48C65B68"/>
    <w:rsid w:val="49862F88"/>
    <w:rsid w:val="49E179D3"/>
    <w:rsid w:val="4A012ACA"/>
    <w:rsid w:val="4A3D01D8"/>
    <w:rsid w:val="4A8F60B9"/>
    <w:rsid w:val="4A985E05"/>
    <w:rsid w:val="4B942F9B"/>
    <w:rsid w:val="4BFC1744"/>
    <w:rsid w:val="4C05223E"/>
    <w:rsid w:val="4CBB71D4"/>
    <w:rsid w:val="4CC20504"/>
    <w:rsid w:val="4D335D46"/>
    <w:rsid w:val="4D692582"/>
    <w:rsid w:val="4E066114"/>
    <w:rsid w:val="4E477264"/>
    <w:rsid w:val="4E4F7257"/>
    <w:rsid w:val="4F82784F"/>
    <w:rsid w:val="503B5814"/>
    <w:rsid w:val="507D52C1"/>
    <w:rsid w:val="50E7373C"/>
    <w:rsid w:val="51025ACF"/>
    <w:rsid w:val="51C06615"/>
    <w:rsid w:val="52E12CD1"/>
    <w:rsid w:val="536415F1"/>
    <w:rsid w:val="53746902"/>
    <w:rsid w:val="544A2F78"/>
    <w:rsid w:val="54944520"/>
    <w:rsid w:val="55085C3D"/>
    <w:rsid w:val="55253541"/>
    <w:rsid w:val="55381293"/>
    <w:rsid w:val="558F06D4"/>
    <w:rsid w:val="55AB6EFA"/>
    <w:rsid w:val="55BA7C2C"/>
    <w:rsid w:val="55E81647"/>
    <w:rsid w:val="56364920"/>
    <w:rsid w:val="56D174FF"/>
    <w:rsid w:val="57164958"/>
    <w:rsid w:val="57F47C20"/>
    <w:rsid w:val="584F1732"/>
    <w:rsid w:val="59893690"/>
    <w:rsid w:val="59F4713C"/>
    <w:rsid w:val="5BDE3891"/>
    <w:rsid w:val="5CF9463A"/>
    <w:rsid w:val="5E9D5C3F"/>
    <w:rsid w:val="5F5C11C0"/>
    <w:rsid w:val="5FBF30CA"/>
    <w:rsid w:val="5FCD01EE"/>
    <w:rsid w:val="601B7A0C"/>
    <w:rsid w:val="603132DE"/>
    <w:rsid w:val="60D878CF"/>
    <w:rsid w:val="616C1701"/>
    <w:rsid w:val="61D76440"/>
    <w:rsid w:val="626A37A7"/>
    <w:rsid w:val="62734F95"/>
    <w:rsid w:val="62F8125D"/>
    <w:rsid w:val="640E1A5D"/>
    <w:rsid w:val="64A518E4"/>
    <w:rsid w:val="65BA7EE1"/>
    <w:rsid w:val="66380011"/>
    <w:rsid w:val="67392E82"/>
    <w:rsid w:val="67B25079"/>
    <w:rsid w:val="67D75C3C"/>
    <w:rsid w:val="67ED50B4"/>
    <w:rsid w:val="687E1002"/>
    <w:rsid w:val="692D7E27"/>
    <w:rsid w:val="693550E1"/>
    <w:rsid w:val="69784A22"/>
    <w:rsid w:val="697945C1"/>
    <w:rsid w:val="69977CE2"/>
    <w:rsid w:val="6A7D0C97"/>
    <w:rsid w:val="6ADE1D94"/>
    <w:rsid w:val="6BCF0CA1"/>
    <w:rsid w:val="6BFF4848"/>
    <w:rsid w:val="6C2072E6"/>
    <w:rsid w:val="6CD52D3E"/>
    <w:rsid w:val="6D105FA2"/>
    <w:rsid w:val="6D57262D"/>
    <w:rsid w:val="6DA03CFA"/>
    <w:rsid w:val="6E7532FC"/>
    <w:rsid w:val="6F2C2D85"/>
    <w:rsid w:val="6FC11C94"/>
    <w:rsid w:val="70197FD7"/>
    <w:rsid w:val="70E058EA"/>
    <w:rsid w:val="71234976"/>
    <w:rsid w:val="71954671"/>
    <w:rsid w:val="71E70E5B"/>
    <w:rsid w:val="725A352D"/>
    <w:rsid w:val="72997548"/>
    <w:rsid w:val="73352EAF"/>
    <w:rsid w:val="74507187"/>
    <w:rsid w:val="745C561E"/>
    <w:rsid w:val="745D03BD"/>
    <w:rsid w:val="74AC6385"/>
    <w:rsid w:val="75473782"/>
    <w:rsid w:val="75493809"/>
    <w:rsid w:val="772C4780"/>
    <w:rsid w:val="77476B2A"/>
    <w:rsid w:val="776124F3"/>
    <w:rsid w:val="77F55219"/>
    <w:rsid w:val="78B54D8B"/>
    <w:rsid w:val="79023D50"/>
    <w:rsid w:val="7B0074E6"/>
    <w:rsid w:val="7B256E54"/>
    <w:rsid w:val="7B3D5FC0"/>
    <w:rsid w:val="7B5363E1"/>
    <w:rsid w:val="7BE65DC2"/>
    <w:rsid w:val="7C0F455C"/>
    <w:rsid w:val="7CA601FE"/>
    <w:rsid w:val="7F907565"/>
    <w:rsid w:val="7FD75EEF"/>
    <w:rsid w:val="7FF245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34"/>
    <w:qFormat/>
    <w:uiPriority w:val="99"/>
    <w:rPr>
      <w:rFonts w:ascii="宋体" w:hAnsi="Courier New"/>
      <w:sz w:val="32"/>
      <w:szCs w:val="20"/>
    </w:rPr>
  </w:style>
  <w:style w:type="paragraph" w:styleId="5">
    <w:name w:val="Balloon Text"/>
    <w:basedOn w:val="1"/>
    <w:link w:val="28"/>
    <w:qFormat/>
    <w:uiPriority w:val="99"/>
    <w:rPr>
      <w:sz w:val="18"/>
      <w:szCs w:val="18"/>
    </w:rPr>
  </w:style>
  <w:style w:type="paragraph" w:styleId="6">
    <w:name w:val="footer"/>
    <w:basedOn w:val="1"/>
    <w:link w:val="29"/>
    <w:qFormat/>
    <w:uiPriority w:val="99"/>
    <w:pPr>
      <w:tabs>
        <w:tab w:val="center" w:pos="4153"/>
        <w:tab w:val="right" w:pos="8306"/>
      </w:tabs>
      <w:snapToGrid w:val="0"/>
      <w:jc w:val="left"/>
    </w:pPr>
    <w:rPr>
      <w:sz w:val="18"/>
      <w:szCs w:val="18"/>
    </w:rPr>
  </w:style>
  <w:style w:type="paragraph" w:styleId="7">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31"/>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2"/>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TML Definition"/>
    <w:basedOn w:val="14"/>
    <w:semiHidden/>
    <w:unhideWhenUsed/>
    <w:qFormat/>
    <w:locked/>
    <w:uiPriority w:val="99"/>
  </w:style>
  <w:style w:type="character" w:styleId="18">
    <w:name w:val="HTML Typewriter"/>
    <w:basedOn w:val="14"/>
    <w:semiHidden/>
    <w:unhideWhenUsed/>
    <w:qFormat/>
    <w:locked/>
    <w:uiPriority w:val="99"/>
    <w:rPr>
      <w:rFonts w:hint="default" w:ascii="monospace" w:hAnsi="monospace" w:eastAsia="monospace" w:cs="monospace"/>
      <w:sz w:val="20"/>
    </w:rPr>
  </w:style>
  <w:style w:type="character" w:styleId="19">
    <w:name w:val="HTML Acronym"/>
    <w:basedOn w:val="14"/>
    <w:semiHidden/>
    <w:unhideWhenUsed/>
    <w:qFormat/>
    <w:locked/>
    <w:uiPriority w:val="99"/>
  </w:style>
  <w:style w:type="character" w:styleId="20">
    <w:name w:val="HTML Variable"/>
    <w:basedOn w:val="14"/>
    <w:semiHidden/>
    <w:unhideWhenUsed/>
    <w:qFormat/>
    <w:locked/>
    <w:uiPriority w:val="99"/>
  </w:style>
  <w:style w:type="character" w:styleId="21">
    <w:name w:val="Hyperlink"/>
    <w:qFormat/>
    <w:uiPriority w:val="99"/>
    <w:rPr>
      <w:rFonts w:cs="Times New Roman"/>
      <w:color w:val="0000FF"/>
      <w:u w:val="single"/>
    </w:rPr>
  </w:style>
  <w:style w:type="character" w:styleId="22">
    <w:name w:val="HTML Code"/>
    <w:basedOn w:val="14"/>
    <w:semiHidden/>
    <w:unhideWhenUsed/>
    <w:qFormat/>
    <w:locked/>
    <w:uiPriority w:val="99"/>
    <w:rPr>
      <w:rFonts w:ascii="monospace" w:hAnsi="monospace" w:eastAsia="monospace" w:cs="monospace"/>
      <w:sz w:val="20"/>
    </w:rPr>
  </w:style>
  <w:style w:type="character" w:styleId="23">
    <w:name w:val="HTML Cite"/>
    <w:basedOn w:val="14"/>
    <w:semiHidden/>
    <w:unhideWhenUsed/>
    <w:qFormat/>
    <w:locked/>
    <w:uiPriority w:val="99"/>
  </w:style>
  <w:style w:type="character" w:styleId="24">
    <w:name w:val="HTML Keyboard"/>
    <w:basedOn w:val="14"/>
    <w:semiHidden/>
    <w:unhideWhenUsed/>
    <w:qFormat/>
    <w:locked/>
    <w:uiPriority w:val="99"/>
    <w:rPr>
      <w:rFonts w:hint="default" w:ascii="monospace" w:hAnsi="monospace" w:eastAsia="monospace" w:cs="monospace"/>
      <w:sz w:val="20"/>
    </w:rPr>
  </w:style>
  <w:style w:type="character" w:styleId="25">
    <w:name w:val="HTML Sample"/>
    <w:basedOn w:val="14"/>
    <w:semiHidden/>
    <w:unhideWhenUsed/>
    <w:qFormat/>
    <w:locked/>
    <w:uiPriority w:val="99"/>
    <w:rPr>
      <w:rFonts w:hint="default" w:ascii="monospace" w:hAnsi="monospace" w:eastAsia="monospace" w:cs="monospace"/>
    </w:rPr>
  </w:style>
  <w:style w:type="character" w:customStyle="1" w:styleId="26">
    <w:name w:val="标题 1 Char"/>
    <w:link w:val="2"/>
    <w:qFormat/>
    <w:locked/>
    <w:uiPriority w:val="99"/>
    <w:rPr>
      <w:rFonts w:eastAsia="华文中宋" w:cs="Times New Roman"/>
      <w:b/>
      <w:bCs/>
      <w:kern w:val="44"/>
      <w:sz w:val="44"/>
      <w:szCs w:val="44"/>
    </w:rPr>
  </w:style>
  <w:style w:type="character" w:customStyle="1" w:styleId="27">
    <w:name w:val="Plain Text Char"/>
    <w:qFormat/>
    <w:locked/>
    <w:uiPriority w:val="99"/>
    <w:rPr>
      <w:rFonts w:ascii="宋体" w:hAnsi="Courier New" w:cs="Times New Roman"/>
      <w:kern w:val="2"/>
      <w:sz w:val="32"/>
    </w:rPr>
  </w:style>
  <w:style w:type="character" w:customStyle="1" w:styleId="28">
    <w:name w:val="批注框文本 Char"/>
    <w:link w:val="5"/>
    <w:qFormat/>
    <w:locked/>
    <w:uiPriority w:val="99"/>
    <w:rPr>
      <w:rFonts w:cs="Times New Roman"/>
      <w:kern w:val="2"/>
      <w:sz w:val="18"/>
      <w:szCs w:val="18"/>
    </w:rPr>
  </w:style>
  <w:style w:type="character" w:customStyle="1" w:styleId="29">
    <w:name w:val="页脚 Char"/>
    <w:link w:val="6"/>
    <w:qFormat/>
    <w:locked/>
    <w:uiPriority w:val="99"/>
    <w:rPr>
      <w:rFonts w:eastAsia="宋体" w:cs="Times New Roman"/>
      <w:kern w:val="2"/>
      <w:sz w:val="18"/>
      <w:lang w:val="en-US" w:eastAsia="zh-CN"/>
    </w:rPr>
  </w:style>
  <w:style w:type="character" w:customStyle="1" w:styleId="30">
    <w:name w:val="页眉 Char"/>
    <w:link w:val="7"/>
    <w:qFormat/>
    <w:locked/>
    <w:uiPriority w:val="99"/>
    <w:rPr>
      <w:rFonts w:eastAsia="宋体" w:cs="Times New Roman"/>
      <w:kern w:val="2"/>
      <w:sz w:val="18"/>
      <w:lang w:val="en-US" w:eastAsia="zh-CN"/>
    </w:rPr>
  </w:style>
  <w:style w:type="character" w:customStyle="1" w:styleId="31">
    <w:name w:val="副标题 Char"/>
    <w:link w:val="9"/>
    <w:qFormat/>
    <w:locked/>
    <w:uiPriority w:val="99"/>
    <w:rPr>
      <w:rFonts w:ascii="Calibri" w:hAnsi="Calibri" w:eastAsia="宋体" w:cs="Times New Roman"/>
      <w:b/>
      <w:bCs/>
      <w:kern w:val="28"/>
      <w:sz w:val="32"/>
      <w:szCs w:val="32"/>
    </w:rPr>
  </w:style>
  <w:style w:type="character" w:customStyle="1" w:styleId="32">
    <w:name w:val="标题 Char"/>
    <w:link w:val="12"/>
    <w:qFormat/>
    <w:locked/>
    <w:uiPriority w:val="99"/>
    <w:rPr>
      <w:rFonts w:ascii="Cambria" w:hAnsi="Cambria" w:eastAsia="华文中宋" w:cs="Times New Roman"/>
      <w:b/>
      <w:bCs/>
      <w:kern w:val="2"/>
      <w:sz w:val="32"/>
      <w:szCs w:val="32"/>
    </w:rPr>
  </w:style>
  <w:style w:type="paragraph" w:customStyle="1" w:styleId="33">
    <w:name w:val="p0"/>
    <w:basedOn w:val="1"/>
    <w:qFormat/>
    <w:uiPriority w:val="99"/>
    <w:pPr>
      <w:widowControl/>
      <w:spacing w:line="365" w:lineRule="atLeast"/>
      <w:ind w:left="1"/>
    </w:pPr>
    <w:rPr>
      <w:kern w:val="0"/>
      <w:sz w:val="20"/>
      <w:szCs w:val="20"/>
    </w:rPr>
  </w:style>
  <w:style w:type="character" w:customStyle="1" w:styleId="34">
    <w:name w:val="纯文本 Char"/>
    <w:link w:val="4"/>
    <w:semiHidden/>
    <w:qFormat/>
    <w:locked/>
    <w:uiPriority w:val="99"/>
    <w:rPr>
      <w:rFonts w:ascii="宋体" w:hAnsi="Courier New" w:cs="Courier New"/>
      <w:sz w:val="21"/>
      <w:szCs w:val="21"/>
    </w:rPr>
  </w:style>
  <w:style w:type="character" w:customStyle="1" w:styleId="35">
    <w:name w:val="纯文本 Char1"/>
    <w:qFormat/>
    <w:uiPriority w:val="99"/>
    <w:rPr>
      <w:rFonts w:ascii="宋体" w:hAnsi="Courier New" w:cs="Courier New"/>
      <w:kern w:val="2"/>
      <w:sz w:val="21"/>
      <w:szCs w:val="21"/>
    </w:rPr>
  </w:style>
  <w:style w:type="paragraph" w:customStyle="1" w:styleId="36">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7">
    <w:name w:val="List Paragraph"/>
    <w:basedOn w:val="1"/>
    <w:qFormat/>
    <w:uiPriority w:val="99"/>
    <w:pPr>
      <w:ind w:firstLine="420" w:firstLineChars="200"/>
    </w:pPr>
  </w:style>
  <w:style w:type="paragraph" w:customStyle="1" w:styleId="38">
    <w:name w:val="Body text|1"/>
    <w:basedOn w:val="1"/>
    <w:qFormat/>
    <w:uiPriority w:val="0"/>
    <w:pPr>
      <w:spacing w:line="410" w:lineRule="auto"/>
      <w:ind w:firstLine="400"/>
    </w:pPr>
    <w:rPr>
      <w:rFonts w:ascii="宋体" w:hAnsi="宋体" w:cs="宋体"/>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1B0889-7ADC-4CC2-A485-417616337658}">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47</Pages>
  <Words>2820</Words>
  <Characters>16076</Characters>
  <Lines>133</Lines>
  <Paragraphs>37</Paragraphs>
  <TotalTime>19</TotalTime>
  <ScaleCrop>false</ScaleCrop>
  <LinksUpToDate>false</LinksUpToDate>
  <CharactersWithSpaces>18859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犯傻的海</cp:lastModifiedBy>
  <cp:lastPrinted>2021-08-05T06:33:00Z</cp:lastPrinted>
  <dcterms:modified xsi:type="dcterms:W3CDTF">2021-09-17T09:03:38Z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7744F646B3004B34980C41EAEB958832</vt:lpwstr>
  </property>
</Properties>
</file>