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rPr>
      </w:pPr>
      <w:bookmarkStart w:id="0" w:name="OLE_LINK6"/>
      <w:bookmarkStart w:id="1" w:name="OLE_LINK9"/>
      <w:bookmarkStart w:id="2" w:name="OLE_LINK7"/>
      <w:bookmarkStart w:id="3" w:name="OLE_LINK3"/>
      <w:bookmarkStart w:id="4" w:name="OLE_LINK10"/>
      <w:bookmarkStart w:id="5" w:name="OLE_LINK2"/>
      <w:bookmarkStart w:id="6" w:name="OLE_LINK4"/>
      <w:bookmarkStart w:id="7" w:name="OLE_LINK8"/>
      <w:bookmarkStart w:id="8" w:name="OLE_LINK1"/>
      <w:bookmarkStart w:id="9" w:name="OLE_LINK5"/>
      <w:r>
        <w:rPr>
          <w:rFonts w:hint="default" w:ascii="Times New Roman" w:hAnsi="Times New Roman" w:eastAsia="方正小标宋简体" w:cs="Times New Roman"/>
          <w:color w:val="333333"/>
          <w:sz w:val="44"/>
          <w:szCs w:val="44"/>
          <w:lang w:val="en-US" w:eastAsia="zh-CN"/>
        </w:rPr>
        <w:t>达州高新区经济合作服务中心</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达州市公共资源交易服务中心</w:t>
      </w:r>
    </w:p>
    <w:p>
      <w:pPr>
        <w:pStyle w:val="8"/>
        <w:keepNext w:val="0"/>
        <w:keepLines w:val="0"/>
        <w:pageBreakBefore w:val="0"/>
        <w:widowControl w:val="0"/>
        <w:kinsoku/>
        <w:overflowPunct/>
        <w:topLinePunct w:val="0"/>
        <w:autoSpaceDE/>
        <w:autoSpaceDN/>
        <w:bidi w:val="0"/>
        <w:spacing w:before="0" w:beforeAutospacing="0" w:after="0" w:afterAutospacing="0" w:line="578" w:lineRule="exact"/>
        <w:jc w:val="center"/>
        <w:textAlignment w:val="auto"/>
        <w:rPr>
          <w:rFonts w:hint="default" w:ascii="Times New Roman" w:hAnsi="Times New Roman" w:eastAsia="方正小标宋简体" w:cs="Times New Roman"/>
          <w:color w:val="333333"/>
          <w:sz w:val="44"/>
          <w:szCs w:val="44"/>
        </w:rPr>
      </w:pPr>
      <w:r>
        <w:rPr>
          <w:rFonts w:hint="default" w:ascii="Times New Roman" w:hAnsi="Times New Roman" w:eastAsia="方正小标宋简体" w:cs="Times New Roman"/>
          <w:color w:val="333333"/>
          <w:sz w:val="44"/>
          <w:szCs w:val="44"/>
        </w:rPr>
        <w:t>关于</w:t>
      </w:r>
      <w:r>
        <w:rPr>
          <w:rFonts w:hint="default" w:ascii="Times New Roman" w:hAnsi="Times New Roman" w:eastAsia="方正小标宋简体" w:cs="Times New Roman"/>
          <w:color w:val="333333"/>
          <w:sz w:val="44"/>
          <w:szCs w:val="44"/>
          <w:lang w:val="en-US" w:eastAsia="zh-CN"/>
        </w:rPr>
        <w:t>达州高新区广告位特许经营权出让</w:t>
      </w:r>
      <w:r>
        <w:rPr>
          <w:rFonts w:hint="default" w:ascii="Times New Roman" w:hAnsi="Times New Roman" w:eastAsia="方正小标宋简体" w:cs="Times New Roman"/>
          <w:color w:val="333333"/>
          <w:sz w:val="44"/>
          <w:szCs w:val="44"/>
        </w:rPr>
        <w:t>的公告</w:t>
      </w:r>
    </w:p>
    <w:p>
      <w:pPr>
        <w:pStyle w:val="8"/>
        <w:keepNext w:val="0"/>
        <w:keepLines w:val="0"/>
        <w:pageBreakBefore w:val="0"/>
        <w:widowControl w:val="0"/>
        <w:kinsoku/>
        <w:wordWrap w:val="0"/>
        <w:overflowPunct/>
        <w:topLinePunct w:val="0"/>
        <w:autoSpaceDE/>
        <w:autoSpaceDN/>
        <w:bidi w:val="0"/>
        <w:spacing w:before="0" w:beforeAutospacing="0" w:after="0" w:afterAutospacing="0" w:line="578" w:lineRule="exact"/>
        <w:textAlignment w:val="auto"/>
        <w:rPr>
          <w:rFonts w:hint="default" w:ascii="Times New Roman" w:hAnsi="Times New Roman" w:eastAsia="仿宋" w:cs="Times New Roman"/>
          <w:color w:val="333333"/>
          <w:sz w:val="30"/>
          <w:szCs w:val="30"/>
        </w:rPr>
      </w:pPr>
    </w:p>
    <w:p>
      <w:pPr>
        <w:keepNext w:val="0"/>
        <w:keepLines w:val="0"/>
        <w:pageBreakBefore w:val="0"/>
        <w:widowControl/>
        <w:suppressLineNumbers w:val="0"/>
        <w:pBdr>
          <w:left w:val="none" w:color="auto" w:sz="0" w:space="0"/>
          <w:bottom w:val="none" w:color="auto" w:sz="0" w:space="0"/>
          <w:right w:val="none" w:color="auto" w:sz="0" w:space="0"/>
        </w:pBdr>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达州高新区经济合作服务中心拟将达州高新区广告位特许经营权委托达州市公共资源交易服务中心组织电子竞价，兹邀请符合本次电子竞价要求的意向竞价人参加竞价，现将有关事项公告如下。</w:t>
      </w:r>
    </w:p>
    <w:p>
      <w:pPr>
        <w:keepNext w:val="0"/>
        <w:keepLines w:val="0"/>
        <w:pageBreakBefore w:val="0"/>
        <w:widowControl w:val="0"/>
        <w:kinsoku/>
        <w:overflowPunct/>
        <w:topLinePunct w:val="0"/>
        <w:autoSpaceDE/>
        <w:autoSpaceDN/>
        <w:bidi w:val="0"/>
        <w:adjustRightInd w:val="0"/>
        <w:snapToGrid w:val="0"/>
        <w:spacing w:line="578" w:lineRule="exact"/>
        <w:ind w:firstLine="640" w:firstLineChars="200"/>
        <w:jc w:val="both"/>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color w:val="333333"/>
          <w:sz w:val="32"/>
          <w:szCs w:val="32"/>
        </w:rPr>
        <w:t>一、竞价方式</w:t>
      </w:r>
    </w:p>
    <w:p>
      <w:pPr>
        <w:keepNext w:val="0"/>
        <w:keepLines w:val="0"/>
        <w:pageBreakBefore w:val="0"/>
        <w:widowControl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网上竞价方式。</w:t>
      </w:r>
    </w:p>
    <w:p>
      <w:pPr>
        <w:keepNext w:val="0"/>
        <w:keepLines w:val="0"/>
        <w:pageBreakBefore w:val="0"/>
        <w:widowControl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特别提示：意向竞价人在网上竞价前，必须先登录达州市公共资源交易服务网（</w:t>
      </w:r>
      <w:r>
        <w:rPr>
          <w:rFonts w:hint="default" w:ascii="Times New Roman" w:hAnsi="Times New Roman" w:eastAsia="方正仿宋简体" w:cs="Times New Roman"/>
          <w:sz w:val="32"/>
          <w:szCs w:val="32"/>
          <w:lang w:val="en-US" w:eastAsia="zh-CN"/>
        </w:rPr>
        <w:fldChar w:fldCharType="begin"/>
      </w:r>
      <w:r>
        <w:rPr>
          <w:rFonts w:hint="default" w:ascii="Times New Roman" w:hAnsi="Times New Roman" w:eastAsia="方正仿宋简体" w:cs="Times New Roman"/>
          <w:sz w:val="32"/>
          <w:szCs w:val="32"/>
          <w:lang w:val="en-US" w:eastAsia="zh-CN"/>
        </w:rPr>
        <w:instrText xml:space="preserve"> HYPERLINK "http://www.dzggzy.cn/" </w:instrText>
      </w:r>
      <w:r>
        <w:rPr>
          <w:rFonts w:hint="default" w:ascii="Times New Roman" w:hAnsi="Times New Roman" w:eastAsia="方正仿宋简体" w:cs="Times New Roman"/>
          <w:sz w:val="32"/>
          <w:szCs w:val="32"/>
          <w:lang w:val="en-US" w:eastAsia="zh-CN"/>
        </w:rPr>
        <w:fldChar w:fldCharType="separate"/>
      </w:r>
      <w:r>
        <w:rPr>
          <w:rFonts w:hint="default" w:ascii="Times New Roman" w:hAnsi="Times New Roman" w:eastAsia="方正仿宋简体" w:cs="Times New Roman"/>
          <w:sz w:val="32"/>
          <w:szCs w:val="32"/>
          <w:lang w:val="en-US" w:eastAsia="zh-CN"/>
        </w:rPr>
        <w:t>http://www.dzggzy.cn</w:t>
      </w:r>
      <w:r>
        <w:rPr>
          <w:rFonts w:hint="default" w:ascii="Times New Roman" w:hAnsi="Times New Roman" w:eastAsia="方正仿宋简体" w:cs="Times New Roman"/>
          <w:sz w:val="32"/>
          <w:szCs w:val="32"/>
          <w:lang w:val="en-US" w:eastAsia="zh-CN"/>
        </w:rPr>
        <w:fldChar w:fldCharType="end"/>
      </w:r>
      <w:r>
        <w:rPr>
          <w:rFonts w:hint="default" w:ascii="Times New Roman" w:hAnsi="Times New Roman" w:eastAsia="方正仿宋简体" w:cs="Times New Roman"/>
          <w:sz w:val="32"/>
          <w:szCs w:val="32"/>
          <w:lang w:val="en-US" w:eastAsia="zh-CN"/>
        </w:rPr>
        <w:t>）下载中心栏目查阅网上操作指南并完成网上注册、网上报名、网上缴纳竞价保证金、网上递交资格申请材料等。</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黑体简体" w:cs="Times New Roman"/>
          <w:b w:val="0"/>
          <w:bCs/>
          <w:color w:val="333333"/>
          <w:sz w:val="32"/>
          <w:szCs w:val="32"/>
        </w:rPr>
      </w:pPr>
      <w:r>
        <w:rPr>
          <w:rFonts w:hint="default" w:ascii="Times New Roman" w:hAnsi="Times New Roman" w:eastAsia="方正黑体简体" w:cs="Times New Roman"/>
          <w:b w:val="0"/>
          <w:bCs/>
          <w:color w:val="333333"/>
          <w:sz w:val="32"/>
          <w:szCs w:val="32"/>
          <w:lang w:val="en-US" w:eastAsia="zh-CN"/>
        </w:rPr>
        <w:t>二、</w:t>
      </w:r>
      <w:r>
        <w:rPr>
          <w:rFonts w:hint="default" w:ascii="Times New Roman" w:hAnsi="Times New Roman" w:eastAsia="方正黑体简体" w:cs="Times New Roman"/>
          <w:b w:val="0"/>
          <w:bCs/>
          <w:color w:val="333333"/>
          <w:sz w:val="32"/>
          <w:szCs w:val="32"/>
        </w:rPr>
        <w:t>资产状况、交付标准</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（一）资产状况：</w:t>
      </w:r>
    </w:p>
    <w:p>
      <w:pPr>
        <w:pStyle w:val="8"/>
        <w:keepNext w:val="0"/>
        <w:keepLines w:val="0"/>
        <w:pageBreakBefore w:val="0"/>
        <w:widowControl w:val="0"/>
        <w:numPr>
          <w:ilvl w:val="0"/>
          <w:numId w:val="0"/>
        </w:numPr>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本项目涉及达州高新区范围内的6964个广告位，其中6947个广告位已建成，可正常使用，17个广告位正在规划中。具体详见《达州高新区广告位特许经营权项目广告位明细表》：</w:t>
      </w:r>
    </w:p>
    <w:p>
      <w:pPr>
        <w:keepNext w:val="0"/>
        <w:keepLines w:val="0"/>
        <w:pageBreakBefore w:val="0"/>
        <w:kinsoku/>
        <w:overflowPunct/>
        <w:topLinePunct w:val="0"/>
        <w:autoSpaceDE/>
        <w:autoSpaceDN/>
        <w:bidi w:val="0"/>
        <w:spacing w:line="578" w:lineRule="exac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br w:type="page"/>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8" w:lineRule="exact"/>
        <w:jc w:val="center"/>
        <w:textAlignment w:val="auto"/>
        <w:rPr>
          <w:rFonts w:hint="default" w:ascii="Times New Roman" w:hAnsi="Times New Roman" w:eastAsia="方正小标宋简体" w:cs="Times New Roman"/>
          <w:b w:val="0"/>
          <w:bCs w:val="0"/>
          <w:kern w:val="2"/>
          <w:sz w:val="44"/>
          <w:szCs w:val="44"/>
          <w:lang w:val="en-US" w:eastAsia="zh-CN" w:bidi="ar-SA"/>
        </w:rPr>
      </w:pPr>
      <w:r>
        <w:rPr>
          <w:rFonts w:hint="default" w:ascii="Times New Roman" w:hAnsi="Times New Roman" w:eastAsia="方正小标宋简体" w:cs="Times New Roman"/>
          <w:b w:val="0"/>
          <w:bCs w:val="0"/>
          <w:kern w:val="2"/>
          <w:sz w:val="44"/>
          <w:szCs w:val="44"/>
          <w:lang w:val="en-US" w:eastAsia="zh-CN" w:bidi="ar-SA"/>
        </w:rPr>
        <w:t>达州高新区广告位特许经营权项目广告明细表</w:t>
      </w:r>
    </w:p>
    <w:tbl>
      <w:tblPr>
        <w:tblStyle w:val="9"/>
        <w:tblW w:w="5019" w:type="pct"/>
        <w:tblInd w:w="-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9"/>
        <w:gridCol w:w="1520"/>
        <w:gridCol w:w="735"/>
        <w:gridCol w:w="677"/>
        <w:gridCol w:w="1440"/>
        <w:gridCol w:w="41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trPr>
        <w:tc>
          <w:tcPr>
            <w:tcW w:w="32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序号</w:t>
            </w:r>
          </w:p>
        </w:tc>
        <w:tc>
          <w:tcPr>
            <w:tcW w:w="835"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名称</w:t>
            </w:r>
          </w:p>
        </w:tc>
        <w:tc>
          <w:tcPr>
            <w:tcW w:w="40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现有数量</w:t>
            </w:r>
          </w:p>
        </w:tc>
        <w:tc>
          <w:tcPr>
            <w:tcW w:w="372"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拟规划</w:t>
            </w:r>
          </w:p>
        </w:tc>
        <w:tc>
          <w:tcPr>
            <w:tcW w:w="79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规格</w:t>
            </w:r>
          </w:p>
        </w:tc>
        <w:tc>
          <w:tcPr>
            <w:tcW w:w="2267"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滚屏式灯箱广告</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79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3.8*3.5m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梨树坪湿地公园入口处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梨树坪湿地公园大草坪处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梨树坪湿地公园二期椅子旁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梨树坪湿地公园二期公厕附近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梨树坪湿地公园梨苑处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3"/>
                <w:rFonts w:hint="default" w:ascii="Times New Roman" w:hAnsi="Times New Roman" w:eastAsia="宋体" w:cs="Times New Roman"/>
                <w:color w:val="auto"/>
                <w:sz w:val="21"/>
                <w:szCs w:val="21"/>
                <w:lang w:val="en-US" w:eastAsia="zh-CN" w:bidi="ar"/>
              </w:rPr>
              <w:t>LED</w:t>
            </w:r>
            <w:r>
              <w:rPr>
                <w:rStyle w:val="62"/>
                <w:rFonts w:hint="default" w:ascii="Times New Roman" w:hAnsi="Times New Roman" w:eastAsia="宋体" w:cs="Times New Roman"/>
                <w:color w:val="auto"/>
                <w:sz w:val="21"/>
                <w:szCs w:val="21"/>
                <w:lang w:val="en-US" w:eastAsia="zh-CN" w:bidi="ar"/>
              </w:rPr>
              <w:t>显示屏</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22.4*1.28m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梨树坪湿地公园二期公厕顶端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广告立牌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0.8*3*0.13m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梨树坪湿地公园游步道沿线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梨树坪湿地公园山脊线景观灯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290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梨树坪湿地公园一期山脊处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梨树坪湿地公园一期山脊处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梨树坪湿地公园一期山脊处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路　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369</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3*1m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长田隧道至达州高速南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玉兰灯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快速通道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金龙互通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双挑灯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eastAsia="宋体" w:cs="Times New Roman"/>
                <w:color w:val="auto"/>
                <w:sz w:val="21"/>
                <w:szCs w:val="21"/>
                <w:lang w:val="en-US" w:eastAsia="zh-CN" w:bidi="ar"/>
              </w:rPr>
              <w:t>南北Ⅰ号干道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玉兰灯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双挑灯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eastAsia="宋体" w:cs="Times New Roman"/>
                <w:color w:val="auto"/>
                <w:sz w:val="21"/>
                <w:szCs w:val="21"/>
                <w:lang w:val="en-US" w:eastAsia="zh-CN" w:bidi="ar"/>
              </w:rPr>
              <w:t>南北Ⅱ号干道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19</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中杆灯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双臂灯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七河路一期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双臂灯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七河路二期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24</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七河路三期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25</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单挑灯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临江路一期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玉兰灯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29</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单挑灯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57</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长田大道一号次干道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长田大道二号次干道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31</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长田大道三号次干道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长田大道四号次干道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33</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长田大道五号次干道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34</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长田大道六号次干道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35</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190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eastAsia="宋体" w:cs="Times New Roman"/>
                <w:color w:val="auto"/>
                <w:sz w:val="21"/>
                <w:szCs w:val="21"/>
                <w:lang w:val="en-US" w:eastAsia="zh-CN" w:bidi="ar"/>
              </w:rPr>
              <w:t>高新大道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36</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新苑中路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37</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新苑西路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38</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新苑东路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39</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轩逸路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40</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新木河路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41</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42</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高新大道二期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43</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45</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69</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玖源南路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双臂灯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玄纤中路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48</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中杆灯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49</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瓮福北路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50</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5"/>
                <w:rFonts w:hint="default" w:ascii="Times New Roman" w:hAnsi="Times New Roman" w:eastAsia="宋体" w:cs="Times New Roman"/>
                <w:color w:val="auto"/>
                <w:sz w:val="21"/>
                <w:szCs w:val="21"/>
                <w:lang w:val="en-US" w:eastAsia="zh-CN" w:bidi="ar"/>
              </w:rPr>
              <w:t>LED</w:t>
            </w:r>
            <w:r>
              <w:rPr>
                <w:rStyle w:val="21"/>
                <w:rFonts w:hint="default" w:ascii="Times New Roman" w:hAnsi="Times New Roman" w:eastAsia="宋体" w:cs="Times New Roman"/>
                <w:color w:val="auto"/>
                <w:sz w:val="21"/>
                <w:szCs w:val="21"/>
                <w:lang w:val="en-US" w:eastAsia="zh-CN" w:bidi="ar"/>
              </w:rPr>
              <w:t>字体</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长田隧道、快速通道、火峰山隧道、达州南、金龙立交、骨科医院</w:t>
            </w:r>
            <w:r>
              <w:rPr>
                <w:rStyle w:val="65"/>
                <w:rFonts w:hint="default" w:ascii="Times New Roman" w:hAnsi="Times New Roman" w:eastAsia="宋体" w:cs="Times New Roman"/>
                <w:color w:val="auto"/>
                <w:sz w:val="21"/>
                <w:szCs w:val="21"/>
                <w:lang w:val="en-US" w:eastAsia="zh-CN" w:bidi="ar"/>
              </w:rPr>
              <w:t>LED</w:t>
            </w:r>
            <w:r>
              <w:rPr>
                <w:rStyle w:val="21"/>
                <w:rFonts w:hint="default" w:ascii="Times New Roman" w:hAnsi="Times New Roman" w:eastAsia="宋体" w:cs="Times New Roman"/>
                <w:color w:val="auto"/>
                <w:sz w:val="21"/>
                <w:szCs w:val="21"/>
                <w:lang w:val="en-US" w:eastAsia="zh-CN" w:bidi="ar"/>
              </w:rPr>
              <w:t>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51</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双臂灯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建筑产业园</w:t>
            </w:r>
            <w:r>
              <w:rPr>
                <w:rStyle w:val="65"/>
                <w:rFonts w:hint="default" w:ascii="Times New Roman" w:hAnsi="Times New Roman" w:eastAsia="宋体" w:cs="Times New Roman"/>
                <w:color w:val="auto"/>
                <w:sz w:val="21"/>
                <w:szCs w:val="21"/>
                <w:lang w:val="en-US" w:eastAsia="zh-CN" w:bidi="ar"/>
              </w:rPr>
              <w:t>A</w:t>
            </w:r>
            <w:r>
              <w:rPr>
                <w:rStyle w:val="21"/>
                <w:rFonts w:hint="default" w:ascii="Times New Roman" w:hAnsi="Times New Roman" w:eastAsia="宋体" w:cs="Times New Roman"/>
                <w:color w:val="auto"/>
                <w:sz w:val="21"/>
                <w:szCs w:val="21"/>
                <w:lang w:val="en-US" w:eastAsia="zh-CN" w:bidi="ar"/>
              </w:rPr>
              <w:t>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建筑产业园</w:t>
            </w:r>
            <w:r>
              <w:rPr>
                <w:rStyle w:val="65"/>
                <w:rFonts w:hint="default" w:ascii="Times New Roman" w:hAnsi="Times New Roman" w:eastAsia="宋体" w:cs="Times New Roman"/>
                <w:color w:val="auto"/>
                <w:sz w:val="21"/>
                <w:szCs w:val="21"/>
                <w:lang w:val="en-US" w:eastAsia="zh-CN" w:bidi="ar"/>
              </w:rPr>
              <w:t>B</w:t>
            </w:r>
            <w:r>
              <w:rPr>
                <w:rStyle w:val="21"/>
                <w:rFonts w:hint="default" w:ascii="Times New Roman" w:hAnsi="Times New Roman" w:eastAsia="宋体" w:cs="Times New Roman"/>
                <w:color w:val="auto"/>
                <w:sz w:val="21"/>
                <w:szCs w:val="21"/>
                <w:lang w:val="en-US" w:eastAsia="zh-CN" w:bidi="ar"/>
              </w:rPr>
              <w:t>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53</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建筑产业园</w:t>
            </w:r>
            <w:r>
              <w:rPr>
                <w:rStyle w:val="65"/>
                <w:rFonts w:hint="default" w:ascii="Times New Roman" w:hAnsi="Times New Roman" w:eastAsia="宋体" w:cs="Times New Roman"/>
                <w:color w:val="auto"/>
                <w:sz w:val="21"/>
                <w:szCs w:val="21"/>
                <w:lang w:val="en-US" w:eastAsia="zh-CN" w:bidi="ar"/>
              </w:rPr>
              <w:t>C</w:t>
            </w:r>
            <w:r>
              <w:rPr>
                <w:rStyle w:val="21"/>
                <w:rFonts w:hint="default" w:ascii="Times New Roman" w:hAnsi="Times New Roman" w:eastAsia="宋体" w:cs="Times New Roman"/>
                <w:color w:val="auto"/>
                <w:sz w:val="21"/>
                <w:szCs w:val="21"/>
                <w:lang w:val="en-US" w:eastAsia="zh-CN" w:bidi="ar"/>
              </w:rPr>
              <w:t>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54</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单挑灯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49</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大尖子隧道连接线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55</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玉兰灯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360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L连接线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56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变压器箱体水晶雕刻字样</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5.4*3m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梨树坪湿地公园游客中心旁变压器箱体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57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cs="Times New Roman"/>
                <w:color w:val="auto"/>
                <w:sz w:val="21"/>
                <w:szCs w:val="21"/>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7*3.5*0.3m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梨树坪湿地公园景观台处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58</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5"/>
                <w:rFonts w:hint="default" w:ascii="Times New Roman" w:hAnsi="Times New Roman" w:eastAsia="宋体" w:cs="Times New Roman"/>
                <w:color w:val="auto"/>
                <w:sz w:val="21"/>
                <w:szCs w:val="21"/>
                <w:lang w:val="en-US" w:eastAsia="zh-CN" w:bidi="ar"/>
              </w:rPr>
              <w:t>LED</w:t>
            </w:r>
            <w:r>
              <w:rPr>
                <w:rStyle w:val="21"/>
                <w:rFonts w:hint="default" w:ascii="Times New Roman" w:hAnsi="Times New Roman" w:eastAsia="宋体" w:cs="Times New Roman"/>
                <w:color w:val="auto"/>
                <w:sz w:val="21"/>
                <w:szCs w:val="21"/>
                <w:lang w:val="en-US" w:eastAsia="zh-CN" w:bidi="ar"/>
              </w:rPr>
              <w:t>显示屏</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22.4*1.28m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梨树坪湿地公园二期公厕顶端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sz w:val="21"/>
                <w:szCs w:val="21"/>
                <w:u w:val="none"/>
                <w:lang w:val="en-US" w:eastAsia="zh-CN"/>
              </w:rPr>
              <w:t>59</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广告立牌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0.8*3*0.13m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梨树坪湿地公园游步道沿线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60</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1.2*2.5*0.13m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长田大道东延线，火烽山隧道出口至梨树坪湿地公园入口路段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61</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cs="Times New Roman"/>
                <w:color w:val="auto"/>
                <w:sz w:val="21"/>
                <w:szCs w:val="21"/>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8*5.5m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环城路达竹加油站路口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62</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32*8m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营达高速铁山出口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63</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单立柱</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5"/>
                <w:rFonts w:hint="default" w:ascii="Times New Roman" w:hAnsi="Times New Roman" w:eastAsia="宋体" w:cs="Times New Roman"/>
                <w:color w:val="auto"/>
                <w:sz w:val="21"/>
                <w:szCs w:val="21"/>
                <w:lang w:val="en-US" w:eastAsia="zh-CN" w:bidi="ar"/>
              </w:rPr>
              <w:t>21*7.2m</w:t>
            </w:r>
            <w:r>
              <w:rPr>
                <w:rStyle w:val="21"/>
                <w:rFonts w:hint="default" w:ascii="Times New Roman" w:hAnsi="Times New Roman" w:eastAsia="宋体" w:cs="Times New Roman"/>
                <w:color w:val="auto"/>
                <w:sz w:val="21"/>
                <w:szCs w:val="21"/>
                <w:lang w:val="en-US" w:eastAsia="zh-CN" w:bidi="ar"/>
              </w:rPr>
              <w:t>，柱子高</w:t>
            </w:r>
            <w:r>
              <w:rPr>
                <w:rStyle w:val="65"/>
                <w:rFonts w:hint="default" w:ascii="Times New Roman" w:hAnsi="Times New Roman" w:eastAsia="宋体" w:cs="Times New Roman"/>
                <w:color w:val="auto"/>
                <w:sz w:val="21"/>
                <w:szCs w:val="21"/>
                <w:lang w:val="en-US" w:eastAsia="zh-CN" w:bidi="ar"/>
              </w:rPr>
              <w:t>8m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营达高速金垭出口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64</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路灯灯杆广告牌（道旗）</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1006</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3m*1m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高新区主干道（不含乡镇）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65</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单立柱</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石板街道办事处办公大楼外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跨路门头</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w:t>
            </w:r>
            <w:r>
              <w:rPr>
                <w:rStyle w:val="66"/>
                <w:rFonts w:hint="default" w:ascii="Times New Roman" w:hAnsi="Times New Roman" w:eastAsia="宋体" w:cs="Times New Roman"/>
                <w:color w:val="auto"/>
                <w:sz w:val="21"/>
                <w:szCs w:val="21"/>
                <w:lang w:val="en-US" w:eastAsia="zh-CN" w:bidi="ar"/>
              </w:rPr>
              <w:t>G210</w:t>
            </w:r>
            <w:r>
              <w:rPr>
                <w:rStyle w:val="16"/>
                <w:rFonts w:hint="default" w:ascii="Times New Roman" w:hAnsi="Times New Roman" w:eastAsia="宋体" w:cs="Times New Roman"/>
                <w:color w:val="auto"/>
                <w:sz w:val="21"/>
                <w:szCs w:val="21"/>
                <w:lang w:val="en-US" w:eastAsia="zh-CN" w:bidi="ar"/>
              </w:rPr>
              <w:t>四凌桥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w:t>
            </w:r>
            <w:r>
              <w:rPr>
                <w:rFonts w:hint="default" w:ascii="Times New Roman" w:hAnsi="Times New Roman" w:cs="Times New Roman"/>
                <w:i w:val="0"/>
                <w:iCs w:val="0"/>
                <w:color w:val="auto"/>
                <w:kern w:val="0"/>
                <w:sz w:val="21"/>
                <w:szCs w:val="21"/>
                <w:u w:val="none"/>
                <w:lang w:val="en-US" w:eastAsia="zh-CN" w:bidi="ar"/>
              </w:rPr>
              <w:t>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灯杆广告（道旗）</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0.5m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68</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cs="Times New Roman"/>
                <w:color w:val="auto"/>
                <w:sz w:val="21"/>
                <w:szCs w:val="21"/>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石板街道三牌社区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kern w:val="0"/>
                <w:sz w:val="21"/>
                <w:szCs w:val="21"/>
                <w:u w:val="none"/>
                <w:lang w:val="en-US" w:eastAsia="zh-CN" w:bidi="ar"/>
              </w:rPr>
              <w:t>69</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石板街道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kern w:val="0"/>
                <w:sz w:val="21"/>
                <w:szCs w:val="21"/>
                <w:u w:val="none"/>
                <w:lang w:val="en-US" w:eastAsia="zh-CN" w:bidi="ar"/>
              </w:rPr>
              <w:t>70</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电杆道旗</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7"/>
                <w:rFonts w:hint="default" w:ascii="Times New Roman" w:hAnsi="Times New Roman" w:eastAsia="宋体" w:cs="Times New Roman"/>
                <w:color w:val="auto"/>
                <w:sz w:val="21"/>
                <w:szCs w:val="21"/>
                <w:lang w:val="en-US" w:eastAsia="zh-CN" w:bidi="ar"/>
              </w:rPr>
              <w:t>2*0.6*4</w:t>
            </w:r>
            <w:r>
              <w:rPr>
                <w:rFonts w:hint="default" w:ascii="Times New Roman" w:hAnsi="Times New Roman" w:eastAsia="宋体" w:cs="Times New Roman"/>
                <w:i w:val="0"/>
                <w:iCs w:val="0"/>
                <w:color w:val="auto"/>
                <w:kern w:val="0"/>
                <w:sz w:val="21"/>
                <w:szCs w:val="21"/>
                <w:u w:val="none"/>
                <w:lang w:val="en-US" w:eastAsia="zh-CN" w:bidi="ar"/>
              </w:rPr>
              <w:t>m</w:t>
            </w:r>
          </w:p>
        </w:tc>
        <w:tc>
          <w:tcPr>
            <w:tcW w:w="2267"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河市场镇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71</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3*2m</w:t>
            </w:r>
          </w:p>
        </w:tc>
        <w:tc>
          <w:tcPr>
            <w:tcW w:w="22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72</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6*3m</w:t>
            </w:r>
          </w:p>
        </w:tc>
        <w:tc>
          <w:tcPr>
            <w:tcW w:w="2267"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73</w:t>
            </w:r>
          </w:p>
        </w:tc>
        <w:tc>
          <w:tcPr>
            <w:tcW w:w="8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双立柱</w:t>
            </w:r>
          </w:p>
        </w:tc>
        <w:tc>
          <w:tcPr>
            <w:tcW w:w="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8*4m</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斌郎街道桥坝社区、斌郎社区、河东社区、龙坪村、郑家村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74</w:t>
            </w:r>
          </w:p>
        </w:tc>
        <w:tc>
          <w:tcPr>
            <w:tcW w:w="8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跨路门头</w:t>
            </w:r>
          </w:p>
        </w:tc>
        <w:tc>
          <w:tcPr>
            <w:tcW w:w="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9"/>
                <w:rFonts w:hint="default" w:ascii="Times New Roman" w:hAnsi="Times New Roman" w:eastAsia="宋体" w:cs="Times New Roman"/>
                <w:color w:val="auto"/>
                <w:sz w:val="21"/>
                <w:szCs w:val="21"/>
                <w:lang w:val="en-US" w:eastAsia="zh-CN" w:bidi="ar"/>
              </w:rPr>
              <w:t>斌郎街道堰坝老</w:t>
            </w:r>
            <w:r>
              <w:rPr>
                <w:rStyle w:val="66"/>
                <w:rFonts w:hint="default" w:ascii="Times New Roman" w:hAnsi="Times New Roman" w:eastAsia="宋体" w:cs="Times New Roman"/>
                <w:color w:val="auto"/>
                <w:sz w:val="21"/>
                <w:szCs w:val="21"/>
                <w:lang w:val="en-US" w:eastAsia="zh-CN" w:bidi="ar"/>
              </w:rPr>
              <w:t>210</w:t>
            </w:r>
            <w:r>
              <w:rPr>
                <w:rStyle w:val="69"/>
                <w:rFonts w:hint="default" w:ascii="Times New Roman" w:hAnsi="Times New Roman" w:eastAsia="宋体" w:cs="Times New Roman"/>
                <w:color w:val="auto"/>
                <w:sz w:val="21"/>
                <w:szCs w:val="21"/>
                <w:lang w:val="en-US" w:eastAsia="zh-CN" w:bidi="ar"/>
              </w:rPr>
              <w:t>国道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75</w:t>
            </w:r>
          </w:p>
        </w:tc>
        <w:tc>
          <w:tcPr>
            <w:tcW w:w="8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灯杆广告（道旗）</w:t>
            </w:r>
          </w:p>
        </w:tc>
        <w:tc>
          <w:tcPr>
            <w:tcW w:w="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1.44*0.96m</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斌郎街道老街场镇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76</w:t>
            </w:r>
          </w:p>
        </w:tc>
        <w:tc>
          <w:tcPr>
            <w:tcW w:w="8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p>
        </w:tc>
        <w:tc>
          <w:tcPr>
            <w:tcW w:w="37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6*3m</w:t>
            </w:r>
          </w:p>
        </w:tc>
        <w:tc>
          <w:tcPr>
            <w:tcW w:w="22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斌郎街道辖区公路沿线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78</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路灯灯杆广告</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180×60㎝</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中心村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79</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金鱼村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80</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81</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青竹村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82</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水口社区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83</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84</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四岩村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85</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磴子河社区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86</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135</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木子社区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87</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塔光村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88</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kern w:val="0"/>
                <w:sz w:val="21"/>
                <w:szCs w:val="21"/>
                <w:u w:val="none"/>
                <w:lang w:val="en-US" w:eastAsia="zh-CN" w:bidi="ar"/>
              </w:rPr>
              <w:t>89</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kern w:val="0"/>
                <w:sz w:val="21"/>
                <w:szCs w:val="21"/>
                <w:u w:val="none"/>
                <w:lang w:val="en-US" w:eastAsia="zh-CN" w:bidi="ar"/>
              </w:rPr>
              <w:t>90</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127</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kern w:val="0"/>
                <w:sz w:val="21"/>
                <w:szCs w:val="21"/>
                <w:u w:val="none"/>
                <w:lang w:val="en-US" w:eastAsia="zh-CN" w:bidi="ar"/>
              </w:rPr>
              <w:t>91</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覃家坝社区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92</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工人村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93</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火炭岩村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94</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95</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高炮广告牌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万阁社区</w:t>
            </w:r>
            <w:r>
              <w:rPr>
                <w:rStyle w:val="67"/>
                <w:rFonts w:hint="default" w:ascii="Times New Roman" w:hAnsi="Times New Roman" w:eastAsia="宋体" w:cs="Times New Roman"/>
                <w:color w:val="auto"/>
                <w:sz w:val="21"/>
                <w:szCs w:val="21"/>
                <w:lang w:val="en-US" w:eastAsia="zh-CN" w:bidi="ar"/>
              </w:rPr>
              <w:t>16</w:t>
            </w:r>
            <w:r>
              <w:rPr>
                <w:rStyle w:val="68"/>
                <w:rFonts w:hint="default" w:ascii="Times New Roman" w:hAnsi="Times New Roman" w:eastAsia="宋体" w:cs="Times New Roman"/>
                <w:color w:val="auto"/>
                <w:sz w:val="21"/>
                <w:szCs w:val="21"/>
                <w:lang w:val="en-US" w:eastAsia="zh-CN" w:bidi="ar"/>
              </w:rPr>
              <w:t>组（岗亭）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96</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路牌广告</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辉山村</w:t>
            </w:r>
            <w:r>
              <w:rPr>
                <w:rStyle w:val="67"/>
                <w:rFonts w:hint="default" w:ascii="Times New Roman" w:hAnsi="Times New Roman" w:eastAsia="宋体" w:cs="Times New Roman"/>
                <w:color w:val="auto"/>
                <w:sz w:val="21"/>
                <w:szCs w:val="21"/>
                <w:lang w:val="en-US" w:eastAsia="zh-CN" w:bidi="ar"/>
              </w:rPr>
              <w:t>3</w:t>
            </w:r>
            <w:r>
              <w:rPr>
                <w:rStyle w:val="68"/>
                <w:rFonts w:hint="default" w:ascii="Times New Roman" w:hAnsi="Times New Roman" w:eastAsia="宋体" w:cs="Times New Roman"/>
                <w:color w:val="auto"/>
                <w:sz w:val="21"/>
                <w:szCs w:val="21"/>
                <w:lang w:val="en-US" w:eastAsia="zh-CN" w:bidi="ar"/>
              </w:rPr>
              <w:t>组（高速出口）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97</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路灯</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258</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3*1m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幺塘街道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98</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7"/>
                <w:rFonts w:hint="default" w:ascii="Times New Roman" w:hAnsi="Times New Roman" w:eastAsia="宋体" w:cs="Times New Roman"/>
                <w:color w:val="auto"/>
                <w:sz w:val="21"/>
                <w:szCs w:val="21"/>
                <w:lang w:val="en-US" w:eastAsia="zh-CN" w:bidi="ar"/>
              </w:rPr>
              <w:t>3+1</w:t>
            </w:r>
            <w:r>
              <w:rPr>
                <w:rStyle w:val="70"/>
                <w:rFonts w:hint="default" w:ascii="Times New Roman" w:hAnsi="Times New Roman" w:eastAsia="宋体" w:cs="Times New Roman"/>
                <w:color w:val="auto"/>
                <w:sz w:val="21"/>
                <w:szCs w:val="21"/>
                <w:lang w:val="en-US" w:eastAsia="zh-CN" w:bidi="ar"/>
              </w:rPr>
              <w:t>公交站台</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2835*1800*280mm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高新区创兴大道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99</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2835*1800*281mm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高新区创业四街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cs="Times New Roman"/>
                <w:i w:val="0"/>
                <w:iCs w:val="0"/>
                <w:color w:val="auto"/>
                <w:sz w:val="21"/>
                <w:szCs w:val="21"/>
                <w:u w:val="none"/>
                <w:lang w:val="en-US" w:eastAsia="zh-CN"/>
              </w:rPr>
              <w:t>100</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2835*1800*282mm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长田大道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01</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2835*1800*283mm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长田大道中段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02</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2835*1800*284mm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金龙大道七河路口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03</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2835*1800*285mm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创业一街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04</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2835*1800*286mm  </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创业四街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05</w:t>
            </w:r>
          </w:p>
        </w:tc>
        <w:tc>
          <w:tcPr>
            <w:tcW w:w="83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高新区长田斌郎街道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06</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高新区长田斌郎街道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1</w:t>
            </w:r>
            <w:r>
              <w:rPr>
                <w:rFonts w:hint="default" w:ascii="Times New Roman" w:hAnsi="Times New Roman" w:cs="Times New Roman"/>
                <w:i w:val="0"/>
                <w:iCs w:val="0"/>
                <w:color w:val="auto"/>
                <w:kern w:val="0"/>
                <w:sz w:val="21"/>
                <w:szCs w:val="21"/>
                <w:u w:val="none"/>
                <w:lang w:val="en-US" w:eastAsia="zh-CN" w:bidi="ar"/>
              </w:rPr>
              <w:t>07</w:t>
            </w:r>
          </w:p>
        </w:tc>
        <w:tc>
          <w:tcPr>
            <w:tcW w:w="83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0.5m</w:t>
            </w:r>
          </w:p>
        </w:tc>
        <w:tc>
          <w:tcPr>
            <w:tcW w:w="226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高新区斌郎街道河东街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835"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1"/>
                <w:szCs w:val="21"/>
                <w:u w:val="none"/>
              </w:rPr>
            </w:pPr>
          </w:p>
        </w:tc>
        <w:tc>
          <w:tcPr>
            <w:tcW w:w="40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6947</w:t>
            </w:r>
          </w:p>
        </w:tc>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17</w:t>
            </w:r>
          </w:p>
        </w:tc>
        <w:tc>
          <w:tcPr>
            <w:tcW w:w="791"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1"/>
                <w:szCs w:val="21"/>
                <w:u w:val="none"/>
              </w:rPr>
            </w:pPr>
          </w:p>
        </w:tc>
        <w:tc>
          <w:tcPr>
            <w:tcW w:w="2267"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1"/>
                <w:szCs w:val="21"/>
                <w:u w:val="none"/>
              </w:rPr>
            </w:pPr>
          </w:p>
        </w:tc>
      </w:tr>
    </w:tbl>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1.电子竞价起始价：2亿元。</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2.电子竞价保证金：500万元。</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（二）交付标准：标的物一切均以实物现状为准，意向竞价人须自行察看和了解所竞价标的物之现状。</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8" w:lineRule="exact"/>
        <w:ind w:left="0" w:leftChars="0" w:firstLine="640" w:firstLineChars="200"/>
        <w:jc w:val="both"/>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color w:val="333333"/>
          <w:sz w:val="32"/>
          <w:szCs w:val="32"/>
          <w:lang w:val="en-US" w:eastAsia="zh-CN"/>
        </w:rPr>
        <w:t>三、</w:t>
      </w:r>
      <w:r>
        <w:rPr>
          <w:rFonts w:hint="default" w:ascii="Times New Roman" w:hAnsi="Times New Roman" w:eastAsia="方正黑体简体" w:cs="Times New Roman"/>
          <w:b w:val="0"/>
          <w:bCs/>
          <w:color w:val="333333"/>
          <w:sz w:val="32"/>
          <w:szCs w:val="32"/>
        </w:rPr>
        <w:t>意向竞价人应具备的条件</w:t>
      </w:r>
    </w:p>
    <w:p>
      <w:pPr>
        <w:pStyle w:val="3"/>
        <w:keepNext w:val="0"/>
        <w:keepLines w:val="0"/>
        <w:pageBreakBefore w:val="0"/>
        <w:widowControl w:val="0"/>
        <w:kinsoku/>
        <w:wordWrap/>
        <w:overflowPunct/>
        <w:topLinePunct w:val="0"/>
        <w:autoSpaceDE/>
        <w:autoSpaceDN/>
        <w:bidi w:val="0"/>
        <w:adjustRightInd/>
        <w:snapToGrid/>
        <w:spacing w:after="0" w:line="578" w:lineRule="exact"/>
        <w:ind w:righ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（一）投资主体必须为在中华人民共和国境内依法注册、具有独立民事行为能力的法人企业；</w:t>
      </w:r>
    </w:p>
    <w:p>
      <w:pPr>
        <w:pStyle w:val="3"/>
        <w:keepNext w:val="0"/>
        <w:keepLines w:val="0"/>
        <w:pageBreakBefore w:val="0"/>
        <w:widowControl w:val="0"/>
        <w:kinsoku/>
        <w:wordWrap/>
        <w:overflowPunct/>
        <w:topLinePunct w:val="0"/>
        <w:autoSpaceDE/>
        <w:autoSpaceDN/>
        <w:bidi w:val="0"/>
        <w:adjustRightInd/>
        <w:snapToGrid/>
        <w:spacing w:after="0" w:line="578" w:lineRule="exact"/>
        <w:ind w:righ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（二）投资主体须具有健全的财务会计制度，财务状况良好，具有与本项目实施匹配的资金实力，没有处于财产被接管、冻结、破产或其他不良状态、无重大不良资产或不良投资项目；</w:t>
      </w:r>
    </w:p>
    <w:p>
      <w:pPr>
        <w:pStyle w:val="3"/>
        <w:keepNext w:val="0"/>
        <w:keepLines w:val="0"/>
        <w:pageBreakBefore w:val="0"/>
        <w:widowControl w:val="0"/>
        <w:kinsoku/>
        <w:wordWrap/>
        <w:overflowPunct/>
        <w:topLinePunct w:val="0"/>
        <w:autoSpaceDE/>
        <w:autoSpaceDN/>
        <w:bidi w:val="0"/>
        <w:adjustRightInd/>
        <w:snapToGrid/>
        <w:spacing w:after="0" w:line="578" w:lineRule="exact"/>
        <w:ind w:righ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商业信誉良好，投资主体及其控股股东、实际控制人近三年内在经济活动中无重大违法违规行为，董事、监事及高级管理人员无刑事犯罪记录，近三年内财务会计资料无虚假记载，银行和税务信用评价系统或企业信用系统中无不良记录，纳入诚信负面清单的法人不得参与竞价；</w:t>
      </w:r>
    </w:p>
    <w:p>
      <w:pPr>
        <w:pStyle w:val="3"/>
        <w:keepNext w:val="0"/>
        <w:keepLines w:val="0"/>
        <w:pageBreakBefore w:val="0"/>
        <w:widowControl w:val="0"/>
        <w:kinsoku/>
        <w:wordWrap/>
        <w:overflowPunct/>
        <w:topLinePunct w:val="0"/>
        <w:autoSpaceDE/>
        <w:autoSpaceDN/>
        <w:bidi w:val="0"/>
        <w:adjustRightInd/>
        <w:snapToGrid/>
        <w:spacing w:after="0" w:line="578" w:lineRule="exact"/>
        <w:ind w:righ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（四）本项目不接受联合体方式竞价；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（五）意向竞价人报名时须交纳竞价保证金（具体金额详见本公告第二条第一项《资产状况》）；</w:t>
      </w:r>
    </w:p>
    <w:p>
      <w:pPr>
        <w:pStyle w:val="3"/>
        <w:keepNext w:val="0"/>
        <w:keepLines w:val="0"/>
        <w:pageBreakBefore w:val="0"/>
        <w:widowControl w:val="0"/>
        <w:kinsoku/>
        <w:wordWrap/>
        <w:overflowPunct/>
        <w:topLinePunct w:val="0"/>
        <w:autoSpaceDE/>
        <w:autoSpaceDN/>
        <w:bidi w:val="0"/>
        <w:adjustRightInd/>
        <w:snapToGrid/>
        <w:spacing w:after="0" w:line="578" w:lineRule="exact"/>
        <w:ind w:right="0" w:firstLine="640" w:firstLineChars="200"/>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（六）法律、行政法规规定的其他条件。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黑体简体" w:cs="Times New Roman"/>
          <w:b w:val="0"/>
          <w:bCs/>
          <w:sz w:val="32"/>
          <w:szCs w:val="32"/>
        </w:rPr>
      </w:pPr>
      <w:r>
        <w:rPr>
          <w:rFonts w:hint="default" w:ascii="Times New Roman" w:hAnsi="Times New Roman" w:eastAsia="方正黑体简体" w:cs="Times New Roman"/>
          <w:b w:val="0"/>
          <w:bCs/>
          <w:color w:val="333333"/>
          <w:sz w:val="32"/>
          <w:szCs w:val="32"/>
        </w:rPr>
        <w:t>四、资格审查</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（一）资格审查资料提交截止时间：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19</w:t>
      </w:r>
      <w:r>
        <w:rPr>
          <w:rFonts w:hint="default" w:ascii="Times New Roman" w:hAnsi="Times New Roman" w:eastAsia="方正仿宋简体" w:cs="Times New Roman"/>
          <w:kern w:val="2"/>
          <w:sz w:val="32"/>
          <w:szCs w:val="32"/>
          <w:lang w:val="en-US" w:eastAsia="zh-CN" w:bidi="ar-SA"/>
        </w:rPr>
        <w:t>日</w:t>
      </w:r>
      <w:r>
        <w:rPr>
          <w:rFonts w:hint="eastAsia" w:ascii="Times New Roman" w:hAnsi="Times New Roman" w:eastAsia="方正仿宋简体" w:cs="Times New Roman"/>
          <w:kern w:val="2"/>
          <w:sz w:val="32"/>
          <w:szCs w:val="32"/>
          <w:u w:val="single"/>
          <w:lang w:val="en-US" w:eastAsia="zh-CN" w:bidi="ar-SA"/>
        </w:rPr>
        <w:t>9</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30</w:t>
      </w:r>
      <w:r>
        <w:rPr>
          <w:rFonts w:hint="default" w:ascii="Times New Roman" w:hAnsi="Times New Roman" w:eastAsia="方正仿宋简体" w:cs="Times New Roman"/>
          <w:kern w:val="2"/>
          <w:sz w:val="32"/>
          <w:szCs w:val="32"/>
          <w:lang w:val="en-US" w:eastAsia="zh-CN" w:bidi="ar-SA"/>
        </w:rPr>
        <w:t>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资料递交要求：意向竞价人登录达州市公共资源交易服务平台，在【资格审查申请】菜单中上传资格审查所需资料（原件原色扫描件）。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（二）需提交资格审查资料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1.法人提交申请的，应提交下列资料：</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（1）竞价申请书（原件原色扫描件）（见附件一）；</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（2）合法存续的企业法人（单位提供营业执照等相关证照原件原色扫描件）；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（3）法定代表人的有效身份证明文件（原件原色扫描件）；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（4）意向竞价人委托他人代为竞价的，应提交授权委托书（见附件二）及委托代理人的有效身份证明文件（原件原色扫描件）；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（5）在达州市公共资源交易服务系统中打印的竞价保证金交纳凭证（原件原色扫描件）；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（6）竞价要求的其他条件相关资料（原件原色扫描件）。</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（三）竞价申请一经提交后，即视为竞价人对竞价规则及竞价资产状况无异议并全面接受，愿意遵照竞价文件内容参与竞价并承担因竞价行为产生的任何法律经济后果。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（四）意向竞价人有下列行为之一的，视为放弃意向竞价：</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（1）未按要求交纳竞价保证金的；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（2）未按要求提交资格审查相关资料的。</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黑体简体" w:cs="Times New Roman"/>
          <w:b w:val="0"/>
          <w:bCs/>
          <w:color w:val="333333"/>
          <w:sz w:val="32"/>
          <w:szCs w:val="32"/>
        </w:rPr>
      </w:pPr>
      <w:r>
        <w:rPr>
          <w:rFonts w:hint="default" w:ascii="Times New Roman" w:hAnsi="Times New Roman" w:eastAsia="方正黑体简体" w:cs="Times New Roman"/>
          <w:b w:val="0"/>
          <w:bCs/>
          <w:color w:val="333333"/>
          <w:sz w:val="32"/>
          <w:szCs w:val="32"/>
        </w:rPr>
        <w:t>五、</w:t>
      </w:r>
      <w:r>
        <w:rPr>
          <w:rFonts w:hint="default" w:ascii="Times New Roman" w:hAnsi="Times New Roman" w:eastAsia="方正黑体简体" w:cs="Times New Roman"/>
          <w:b w:val="0"/>
          <w:bCs/>
          <w:color w:val="333333"/>
          <w:sz w:val="32"/>
          <w:szCs w:val="32"/>
          <w:lang w:val="en-US" w:eastAsia="zh-CN"/>
        </w:rPr>
        <w:t>出让期限和</w:t>
      </w:r>
      <w:r>
        <w:rPr>
          <w:rFonts w:hint="default" w:ascii="Times New Roman" w:hAnsi="Times New Roman" w:eastAsia="方正黑体简体" w:cs="Times New Roman"/>
          <w:b w:val="0"/>
          <w:bCs/>
          <w:color w:val="333333"/>
          <w:sz w:val="32"/>
          <w:szCs w:val="32"/>
        </w:rPr>
        <w:t>成交价款支付方式</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（一）出让期限：</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达州高新区广告位特许经营权出让年限：10年。</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（二）成交价款支付方式</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领取成交确认书后</w:t>
      </w:r>
      <w:r>
        <w:rPr>
          <w:rFonts w:hint="eastAsia" w:ascii="Times New Roman" w:hAnsi="Times New Roman" w:eastAsia="方正仿宋简体" w:cs="Times New Roman"/>
          <w:kern w:val="2"/>
          <w:sz w:val="32"/>
          <w:szCs w:val="32"/>
          <w:lang w:val="en-US" w:eastAsia="zh-CN" w:bidi="ar-SA"/>
        </w:rPr>
        <w:t>5</w:t>
      </w:r>
      <w:r>
        <w:rPr>
          <w:rFonts w:hint="default" w:ascii="Times New Roman" w:hAnsi="Times New Roman" w:eastAsia="方正仿宋简体" w:cs="Times New Roman"/>
          <w:kern w:val="2"/>
          <w:sz w:val="32"/>
          <w:szCs w:val="32"/>
          <w:lang w:val="en-US" w:eastAsia="zh-CN" w:bidi="ar-SA"/>
        </w:rPr>
        <w:t>个工作日签订合同</w:t>
      </w:r>
      <w:r>
        <w:rPr>
          <w:rFonts w:hint="eastAsia" w:ascii="Times New Roman" w:hAnsi="Times New Roman" w:eastAsia="方正仿宋简体" w:cs="Times New Roman"/>
          <w:kern w:val="2"/>
          <w:sz w:val="32"/>
          <w:szCs w:val="32"/>
          <w:lang w:val="en-US" w:eastAsia="zh-CN" w:bidi="ar-SA"/>
        </w:rPr>
        <w:t>，</w:t>
      </w:r>
      <w:r>
        <w:rPr>
          <w:rFonts w:hint="default" w:ascii="Times New Roman" w:hAnsi="Times New Roman" w:eastAsia="方正仿宋简体" w:cs="Times New Roman"/>
          <w:kern w:val="2"/>
          <w:sz w:val="32"/>
          <w:szCs w:val="32"/>
          <w:lang w:val="en-US" w:eastAsia="zh-CN" w:bidi="ar-SA"/>
        </w:rPr>
        <w:t>签订合同之日起30天付成交价款的</w:t>
      </w:r>
      <w:r>
        <w:rPr>
          <w:rFonts w:hint="eastAsia" w:ascii="Times New Roman" w:hAnsi="Times New Roman" w:eastAsia="方正仿宋简体" w:cs="Times New Roman"/>
          <w:kern w:val="2"/>
          <w:sz w:val="32"/>
          <w:szCs w:val="32"/>
          <w:lang w:val="en-US" w:eastAsia="zh-CN" w:bidi="ar-SA"/>
        </w:rPr>
        <w:t>1</w:t>
      </w:r>
      <w:r>
        <w:rPr>
          <w:rFonts w:hint="default" w:ascii="Times New Roman" w:hAnsi="Times New Roman" w:eastAsia="方正仿宋简体" w:cs="Times New Roman"/>
          <w:kern w:val="2"/>
          <w:sz w:val="32"/>
          <w:szCs w:val="32"/>
          <w:lang w:val="en-US" w:eastAsia="zh-CN" w:bidi="ar-SA"/>
        </w:rPr>
        <w:t>0%，180天后付清剩余价款。</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黑体简体" w:cs="Times New Roman"/>
          <w:b w:val="0"/>
          <w:bCs/>
          <w:color w:val="333333"/>
          <w:sz w:val="32"/>
          <w:szCs w:val="32"/>
        </w:rPr>
      </w:pPr>
      <w:r>
        <w:rPr>
          <w:rFonts w:hint="default" w:ascii="Times New Roman" w:hAnsi="Times New Roman" w:eastAsia="方正黑体简体" w:cs="Times New Roman"/>
          <w:b w:val="0"/>
          <w:bCs/>
          <w:color w:val="333333"/>
          <w:sz w:val="32"/>
          <w:szCs w:val="32"/>
        </w:rPr>
        <w:t>六、公告期限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公告期限：</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5</w:t>
      </w:r>
      <w:r>
        <w:rPr>
          <w:rFonts w:hint="default" w:ascii="Times New Roman" w:hAnsi="Times New Roman" w:eastAsia="方正仿宋简体" w:cs="Times New Roman"/>
          <w:kern w:val="2"/>
          <w:sz w:val="32"/>
          <w:szCs w:val="32"/>
          <w:lang w:val="en-US" w:eastAsia="zh-CN" w:bidi="ar-SA"/>
        </w:rPr>
        <w:t>日至</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16</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17</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分止。</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78" w:lineRule="exact"/>
        <w:ind w:left="0" w:firstLine="640" w:firstLineChars="200"/>
        <w:jc w:val="both"/>
        <w:textAlignment w:val="auto"/>
        <w:rPr>
          <w:rFonts w:hint="default" w:ascii="Times New Roman" w:hAnsi="Times New Roman" w:eastAsia="方正黑体简体" w:cs="Times New Roman"/>
          <w:b w:val="0"/>
          <w:bCs/>
          <w:color w:val="333333"/>
          <w:sz w:val="32"/>
          <w:szCs w:val="32"/>
        </w:rPr>
      </w:pPr>
      <w:r>
        <w:rPr>
          <w:rFonts w:hint="default" w:ascii="Times New Roman" w:hAnsi="Times New Roman" w:eastAsia="方正黑体简体" w:cs="Times New Roman"/>
          <w:b w:val="0"/>
          <w:bCs/>
          <w:color w:val="333333"/>
          <w:sz w:val="32"/>
          <w:szCs w:val="32"/>
        </w:rPr>
        <w:t>七、网上报名、竞</w:t>
      </w:r>
      <w:r>
        <w:rPr>
          <w:rFonts w:hint="default" w:ascii="Times New Roman" w:hAnsi="Times New Roman" w:eastAsia="方正黑体简体" w:cs="Times New Roman"/>
          <w:b w:val="0"/>
          <w:bCs/>
          <w:color w:val="333333"/>
          <w:sz w:val="32"/>
          <w:szCs w:val="32"/>
          <w:lang w:val="en-US" w:eastAsia="zh-CN"/>
        </w:rPr>
        <w:t>价</w:t>
      </w:r>
      <w:r>
        <w:rPr>
          <w:rFonts w:hint="default" w:ascii="Times New Roman" w:hAnsi="Times New Roman" w:eastAsia="方正黑体简体" w:cs="Times New Roman"/>
          <w:b w:val="0"/>
          <w:bCs/>
          <w:color w:val="333333"/>
          <w:sz w:val="32"/>
          <w:szCs w:val="32"/>
        </w:rPr>
        <w:t>保证金缴纳截止时间、资格审查时间、网上竞价方式及网上竞价时间、地点</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（一）网上报名时间：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5</w:t>
      </w:r>
      <w:r>
        <w:rPr>
          <w:rFonts w:hint="default" w:ascii="Times New Roman" w:hAnsi="Times New Roman" w:eastAsia="方正仿宋简体" w:cs="Times New Roman"/>
          <w:kern w:val="2"/>
          <w:sz w:val="32"/>
          <w:szCs w:val="32"/>
          <w:lang w:val="en-US" w:eastAsia="zh-CN" w:bidi="ar-SA"/>
        </w:rPr>
        <w:t>日至</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16</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17</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分止；</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（二）竞价保证金缴纳截止时间：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16</w:t>
      </w:r>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u w:val="single"/>
          <w:lang w:val="en-US" w:eastAsia="zh-CN" w:bidi="ar-SA"/>
        </w:rPr>
        <w:t>17</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分（以达州市公共资源交易服务系统确认到账为准）；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竞价保证金不接受现金支付，须以转账方式转入达州市公共资源交易服务中心指定账户。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建设银行开户行：中国建设银行股份有限公司达州荷叶支行；</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工商银行开户行：中国工商银行达州市分行海棠湾支行；</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农业银行开户行：中国农业银行达州通川支行</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户名：达州市公共资源交易服务中心交易专户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账号：系统自动生成</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（三）资格审查时间：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19</w:t>
      </w:r>
      <w:r>
        <w:rPr>
          <w:rFonts w:hint="default" w:ascii="Times New Roman" w:hAnsi="Times New Roman" w:eastAsia="方正仿宋简体" w:cs="Times New Roman"/>
          <w:kern w:val="2"/>
          <w:sz w:val="32"/>
          <w:szCs w:val="32"/>
          <w:lang w:val="en-US" w:eastAsia="zh-CN" w:bidi="ar-SA"/>
        </w:rPr>
        <w:t>日</w:t>
      </w:r>
      <w:r>
        <w:rPr>
          <w:rFonts w:hint="eastAsia" w:ascii="Times New Roman" w:hAnsi="Times New Roman" w:eastAsia="方正仿宋简体" w:cs="Times New Roman"/>
          <w:kern w:val="2"/>
          <w:sz w:val="32"/>
          <w:szCs w:val="32"/>
          <w:u w:val="single"/>
          <w:lang w:val="en-US" w:eastAsia="zh-CN" w:bidi="ar-SA"/>
        </w:rPr>
        <w:t>9</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30</w:t>
      </w:r>
      <w:r>
        <w:rPr>
          <w:rFonts w:hint="default" w:ascii="Times New Roman" w:hAnsi="Times New Roman" w:eastAsia="方正仿宋简体" w:cs="Times New Roman"/>
          <w:kern w:val="2"/>
          <w:sz w:val="32"/>
          <w:szCs w:val="32"/>
          <w:lang w:val="en-US" w:eastAsia="zh-CN" w:bidi="ar-SA"/>
        </w:rPr>
        <w:t>分；</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（四）资格审查主体：</w:t>
      </w:r>
      <w:r>
        <w:rPr>
          <w:rFonts w:hint="default" w:ascii="Times New Roman" w:hAnsi="Times New Roman" w:eastAsia="方正仿宋简体" w:cs="Times New Roman"/>
          <w:kern w:val="2"/>
          <w:sz w:val="32"/>
          <w:szCs w:val="32"/>
          <w:u w:val="single"/>
          <w:lang w:val="en-US" w:eastAsia="zh-CN" w:bidi="ar-SA"/>
        </w:rPr>
        <w:t>达州高新区经济合作服务中心</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（五）资格审查地点：由资格审查主体组建资格审查小组，在达州市公共资源交易服务中心评审区登录达州市公共资源交易服务平台进行在线资格审查。</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（六）网上竞价方式</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资格审查结束后，意向竞价人须登录达州市公共资源交易服务平台中的【资格审查申请】菜单确认审查结果，如果通过资格审查，须按时参加网上竞价。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本次竞价资产采用电子竞价的方式，按照《资产状况》中竞价起始价进行网上电子竞价，由竞价人在竞价系统逐轮应价，每次加</w:t>
      </w:r>
      <w:r>
        <w:rPr>
          <w:rFonts w:hint="default" w:ascii="Times New Roman" w:hAnsi="Times New Roman" w:eastAsia="方正仿宋简体" w:cs="Times New Roman"/>
          <w:color w:val="auto"/>
          <w:kern w:val="2"/>
          <w:sz w:val="32"/>
          <w:szCs w:val="32"/>
          <w:lang w:val="en-US" w:eastAsia="zh-CN" w:bidi="ar-SA"/>
        </w:rPr>
        <w:t>价幅度为</w:t>
      </w:r>
      <w:r>
        <w:rPr>
          <w:rFonts w:hint="default" w:ascii="Times New Roman" w:hAnsi="Times New Roman" w:eastAsia="方正仿宋简体" w:cs="Times New Roman"/>
          <w:color w:val="auto"/>
          <w:kern w:val="2"/>
          <w:sz w:val="32"/>
          <w:szCs w:val="32"/>
          <w:u w:val="single"/>
          <w:lang w:val="en-US" w:eastAsia="zh-CN" w:bidi="ar-SA"/>
        </w:rPr>
        <w:t>100万元</w:t>
      </w:r>
      <w:r>
        <w:rPr>
          <w:rFonts w:hint="default" w:ascii="Times New Roman" w:hAnsi="Times New Roman" w:eastAsia="方正仿宋简体" w:cs="Times New Roman"/>
          <w:color w:val="auto"/>
          <w:kern w:val="2"/>
          <w:sz w:val="32"/>
          <w:szCs w:val="32"/>
          <w:lang w:val="en-US" w:eastAsia="zh-CN" w:bidi="ar-SA"/>
        </w:rPr>
        <w:t>或</w:t>
      </w:r>
      <w:r>
        <w:rPr>
          <w:rFonts w:hint="default" w:ascii="Times New Roman" w:hAnsi="Times New Roman" w:eastAsia="方正仿宋简体" w:cs="Times New Roman"/>
          <w:kern w:val="2"/>
          <w:sz w:val="32"/>
          <w:szCs w:val="32"/>
          <w:lang w:val="en-US" w:eastAsia="zh-CN" w:bidi="ar-SA"/>
        </w:rPr>
        <w:t>者其整倍数，出价最高者竞得。</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出价最高的意向竞价人成为竞得者，由交易系统自动生成成交确认书。</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注：凡参加本项目竞价的意向竞价人须响应竞价起始价。否则，竞价保证金不予退还。</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（七）网上竞价时间：</w:t>
      </w:r>
      <w:r>
        <w:rPr>
          <w:rFonts w:hint="default" w:ascii="Times New Roman" w:hAnsi="Times New Roman" w:eastAsia="方正仿宋简体" w:cs="Times New Roman"/>
          <w:kern w:val="2"/>
          <w:sz w:val="32"/>
          <w:szCs w:val="32"/>
          <w:u w:val="single"/>
          <w:lang w:val="en-US" w:eastAsia="zh-CN" w:bidi="ar-SA"/>
        </w:rPr>
        <w:t>2022</w:t>
      </w:r>
      <w:r>
        <w:rPr>
          <w:rFonts w:hint="default" w:ascii="Times New Roman" w:hAnsi="Times New Roman" w:eastAsia="方正仿宋简体" w:cs="Times New Roman"/>
          <w:kern w:val="2"/>
          <w:sz w:val="32"/>
          <w:szCs w:val="32"/>
          <w:lang w:val="en-US" w:eastAsia="zh-CN" w:bidi="ar-SA"/>
        </w:rPr>
        <w:t>年</w:t>
      </w:r>
      <w:r>
        <w:rPr>
          <w:rFonts w:hint="default" w:ascii="Times New Roman" w:hAnsi="Times New Roman" w:eastAsia="方正仿宋简体" w:cs="Times New Roman"/>
          <w:kern w:val="2"/>
          <w:sz w:val="32"/>
          <w:szCs w:val="32"/>
          <w:u w:val="single"/>
          <w:lang w:val="en-US" w:eastAsia="zh-CN" w:bidi="ar-SA"/>
        </w:rPr>
        <w:t>12</w:t>
      </w:r>
      <w:r>
        <w:rPr>
          <w:rFonts w:hint="default" w:ascii="Times New Roman" w:hAnsi="Times New Roman" w:eastAsia="方正仿宋简体" w:cs="Times New Roman"/>
          <w:kern w:val="2"/>
          <w:sz w:val="32"/>
          <w:szCs w:val="32"/>
          <w:lang w:val="en-US" w:eastAsia="zh-CN" w:bidi="ar-SA"/>
        </w:rPr>
        <w:t>月</w:t>
      </w:r>
      <w:r>
        <w:rPr>
          <w:rFonts w:hint="eastAsia" w:ascii="Times New Roman" w:hAnsi="Times New Roman" w:eastAsia="方正仿宋简体" w:cs="Times New Roman"/>
          <w:kern w:val="2"/>
          <w:sz w:val="32"/>
          <w:szCs w:val="32"/>
          <w:u w:val="single"/>
          <w:lang w:val="en-US" w:eastAsia="zh-CN" w:bidi="ar-SA"/>
        </w:rPr>
        <w:t>19</w:t>
      </w:r>
      <w:r>
        <w:rPr>
          <w:rFonts w:hint="default" w:ascii="Times New Roman" w:hAnsi="Times New Roman" w:eastAsia="方正仿宋简体" w:cs="Times New Roman"/>
          <w:kern w:val="2"/>
          <w:sz w:val="32"/>
          <w:szCs w:val="32"/>
          <w:lang w:val="en-US" w:eastAsia="zh-CN" w:bidi="ar-SA"/>
        </w:rPr>
        <w:t>日</w:t>
      </w:r>
      <w:r>
        <w:rPr>
          <w:rFonts w:hint="eastAsia" w:ascii="Times New Roman" w:hAnsi="Times New Roman" w:eastAsia="方正仿宋简体" w:cs="Times New Roman"/>
          <w:kern w:val="2"/>
          <w:sz w:val="32"/>
          <w:szCs w:val="32"/>
          <w:u w:val="single"/>
          <w:lang w:val="en-US" w:eastAsia="zh-CN" w:bidi="ar-SA"/>
        </w:rPr>
        <w:t>10</w:t>
      </w:r>
      <w:r>
        <w:rPr>
          <w:rFonts w:hint="default" w:ascii="Times New Roman" w:hAnsi="Times New Roman" w:eastAsia="方正仿宋简体" w:cs="Times New Roman"/>
          <w:kern w:val="2"/>
          <w:sz w:val="32"/>
          <w:szCs w:val="32"/>
          <w:lang w:val="en-US" w:eastAsia="zh-CN" w:bidi="ar-SA"/>
        </w:rPr>
        <w:t>时</w:t>
      </w:r>
      <w:r>
        <w:rPr>
          <w:rFonts w:hint="default" w:ascii="Times New Roman" w:hAnsi="Times New Roman" w:eastAsia="方正仿宋简体" w:cs="Times New Roman"/>
          <w:kern w:val="2"/>
          <w:sz w:val="32"/>
          <w:szCs w:val="32"/>
          <w:u w:val="single"/>
          <w:lang w:val="en-US" w:eastAsia="zh-CN" w:bidi="ar-SA"/>
        </w:rPr>
        <w:t>00</w:t>
      </w:r>
      <w:r>
        <w:rPr>
          <w:rFonts w:hint="default" w:ascii="Times New Roman" w:hAnsi="Times New Roman" w:eastAsia="方正仿宋简体" w:cs="Times New Roman"/>
          <w:kern w:val="2"/>
          <w:sz w:val="32"/>
          <w:szCs w:val="32"/>
          <w:lang w:val="en-US" w:eastAsia="zh-CN" w:bidi="ar-SA"/>
        </w:rPr>
        <w:t>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（八）网上竞价时间可能因资格审查而延迟；</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（九）网上竞价地点：通过资格审查的意向竞价人登录达州市公共资源交易服务平台进行网上竞价。</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黑体简体" w:cs="Times New Roman"/>
          <w:b w:val="0"/>
          <w:bCs/>
          <w:color w:val="333333"/>
          <w:kern w:val="0"/>
          <w:sz w:val="32"/>
          <w:szCs w:val="32"/>
          <w:lang w:val="en-US" w:eastAsia="zh-CN" w:bidi="ar-SA"/>
        </w:rPr>
      </w:pPr>
      <w:r>
        <w:rPr>
          <w:rFonts w:hint="default" w:ascii="Times New Roman" w:hAnsi="Times New Roman" w:eastAsia="方正黑体简体" w:cs="Times New Roman"/>
          <w:b w:val="0"/>
          <w:bCs/>
          <w:color w:val="333333"/>
          <w:kern w:val="0"/>
          <w:sz w:val="32"/>
          <w:szCs w:val="32"/>
          <w:lang w:val="en-US" w:eastAsia="zh-CN" w:bidi="ar-SA"/>
        </w:rPr>
        <w:t>八、成交通知书</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网上竞价结束后由交易系统自动生成成交确认书，竞得人可以在达州市公共资源交易服务平台中自行下载。</w:t>
      </w:r>
    </w:p>
    <w:p>
      <w:pPr>
        <w:keepNext w:val="0"/>
        <w:keepLines w:val="0"/>
        <w:pageBreakBefore w:val="0"/>
        <w:widowControl w:val="0"/>
        <w:numPr>
          <w:ilvl w:val="0"/>
          <w:numId w:val="0"/>
        </w:numPr>
        <w:kinsoku/>
        <w:wordWrap/>
        <w:overflowPunct/>
        <w:topLinePunct w:val="0"/>
        <w:autoSpaceDE/>
        <w:autoSpaceDN/>
        <w:bidi w:val="0"/>
        <w:snapToGrid/>
        <w:spacing w:line="578" w:lineRule="exact"/>
        <w:ind w:firstLine="640" w:firstLineChars="200"/>
        <w:jc w:val="both"/>
        <w:textAlignment w:val="auto"/>
        <w:rPr>
          <w:rFonts w:hint="default" w:ascii="Times New Roman" w:hAnsi="Times New Roman" w:eastAsia="方正黑体简体" w:cs="Times New Roman"/>
          <w:b w:val="0"/>
          <w:bCs/>
          <w:color w:val="333333"/>
          <w:kern w:val="0"/>
          <w:sz w:val="32"/>
          <w:szCs w:val="32"/>
          <w:lang w:val="en-US" w:eastAsia="zh-CN" w:bidi="ar-SA"/>
        </w:rPr>
      </w:pPr>
      <w:r>
        <w:rPr>
          <w:rFonts w:hint="default" w:ascii="Times New Roman" w:hAnsi="Times New Roman" w:eastAsia="方正黑体简体" w:cs="Times New Roman"/>
          <w:b w:val="0"/>
          <w:bCs/>
          <w:color w:val="333333"/>
          <w:kern w:val="0"/>
          <w:sz w:val="32"/>
          <w:szCs w:val="32"/>
          <w:lang w:val="en-US" w:eastAsia="zh-CN" w:bidi="ar-SA"/>
        </w:rPr>
        <w:t>九、其他事项</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（一）其他要求</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1.本项目广告特许经营权是指：达州高新区范围内，利用国有所有的建（构）筑物、户外场地、公共设施等公共载体及其他公共空间资源设置的所有户外广告设施的统一经营管理权；</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2.因特许经营者擅自改变用途或管理不善而导致广告位设施损毁的，由特许经营者承担维修、赔偿等法律责任；</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依照本规定已取得的广告位经营权在许可经营期内，因城市建设、公共服务等需要收回或拆除的，特许经营者应当服从，可依据有关规定对特许经营者给予合理补偿。因公共利益拆除的，其补偿价根据出让总价和使用年限做相应折扣后，由相关部门给予补偿；</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在公共广告位特许经营权许可经营期内，后期新增点位，按照“后评估、后注入”的原则进行处理，由特许经营者提出点位设置需求，相关部门根据相关法律法规进行审批，并委托具备资格的资产评估机构对特许经营权价值进行评估，由特许经营者或其委托的特许经营实施单位将特许经营费用逐年上交</w:t>
      </w:r>
      <w:r>
        <w:rPr>
          <w:rFonts w:hint="eastAsia" w:ascii="Times New Roman" w:hAnsi="Times New Roman" w:eastAsia="方正仿宋简体" w:cs="Times New Roman"/>
          <w:kern w:val="2"/>
          <w:sz w:val="32"/>
          <w:szCs w:val="32"/>
          <w:lang w:val="en-US" w:eastAsia="zh-CN" w:bidi="ar-SA"/>
        </w:rPr>
        <w:t>高新区</w:t>
      </w:r>
      <w:r>
        <w:rPr>
          <w:rFonts w:hint="default" w:ascii="Times New Roman" w:hAnsi="Times New Roman" w:eastAsia="方正仿宋简体" w:cs="Times New Roman"/>
          <w:kern w:val="2"/>
          <w:sz w:val="32"/>
          <w:szCs w:val="32"/>
          <w:lang w:val="en-US" w:eastAsia="zh-CN" w:bidi="ar-SA"/>
        </w:rPr>
        <w:t>财政；</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5.特许经营权期满前，仍然保留的，应重新招标，同等条件下，原经营者优先获得经营权；</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6.在特许经营期间，未经过批准，特许经营者不得将特许经营权转让、出租和质押给任何第三方，或作为投资条件参与除本项目以外的投资；</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7.在特许经营期间，特许经营者需按环保相关部门要求落实防扬尘污染、防噪声污染等措施；</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8</w:t>
      </w:r>
      <w:r>
        <w:rPr>
          <w:rFonts w:hint="default" w:ascii="Times New Roman" w:hAnsi="Times New Roman" w:eastAsia="方正仿宋简体" w:cs="Times New Roman"/>
          <w:kern w:val="2"/>
          <w:sz w:val="32"/>
          <w:szCs w:val="32"/>
          <w:lang w:val="en-US" w:eastAsia="zh-CN" w:bidi="ar-SA"/>
        </w:rPr>
        <w:t>.项目资产包括建设期内投资建设形成的项目资产，以及项目运营期内因更新重置或升级改造投资形成的项目资产。在特许经营期限内，特许经营者拥有本项目新建及更新重置或升级改造形成项目资产的所有权和使用权。在特许经营期满后，特许经营者应按照特许经营协议约定的机制、流程和资产范围，将本项目所有资产无偿、无负担、无损地移交给</w:t>
      </w:r>
      <w:r>
        <w:rPr>
          <w:rFonts w:hint="eastAsia" w:ascii="Times New Roman" w:hAnsi="Times New Roman" w:eastAsia="方正仿宋简体" w:cs="Times New Roman"/>
          <w:kern w:val="2"/>
          <w:sz w:val="32"/>
          <w:szCs w:val="32"/>
          <w:lang w:val="en-US" w:eastAsia="zh-CN" w:bidi="ar-SA"/>
        </w:rPr>
        <w:t>高新区管委会</w:t>
      </w:r>
      <w:r>
        <w:rPr>
          <w:rFonts w:hint="default" w:ascii="Times New Roman" w:hAnsi="Times New Roman" w:eastAsia="方正仿宋简体" w:cs="Times New Roman"/>
          <w:kern w:val="2"/>
          <w:sz w:val="32"/>
          <w:szCs w:val="32"/>
          <w:lang w:val="en-US" w:eastAsia="zh-CN" w:bidi="ar-SA"/>
        </w:rPr>
        <w:t>或其授权部门；</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9</w:t>
      </w:r>
      <w:r>
        <w:rPr>
          <w:rFonts w:hint="default" w:ascii="Times New Roman" w:hAnsi="Times New Roman" w:eastAsia="方正仿宋简体" w:cs="Times New Roman"/>
          <w:kern w:val="2"/>
          <w:sz w:val="32"/>
          <w:szCs w:val="32"/>
          <w:lang w:val="en-US" w:eastAsia="zh-CN" w:bidi="ar-SA"/>
        </w:rPr>
        <w:t>.针对本项目涉及的广告位，特许经营者享有包括投资、建设、运营、维护的唯一性、独占性、排他性权利；</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10</w:t>
      </w:r>
      <w:r>
        <w:rPr>
          <w:rFonts w:hint="default" w:ascii="Times New Roman" w:hAnsi="Times New Roman" w:eastAsia="方正仿宋简体" w:cs="Times New Roman"/>
          <w:kern w:val="2"/>
          <w:sz w:val="32"/>
          <w:szCs w:val="32"/>
          <w:lang w:val="en-US" w:eastAsia="zh-CN" w:bidi="ar-SA"/>
        </w:rPr>
        <w:t>.特许经营者负责项目的投融资并实施本项目建设、运营和维护，向广告公共资源的使用者收取费用。在特许经营期满后，将项目设施完好的移交给相关部门；</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11</w:t>
      </w:r>
      <w:r>
        <w:rPr>
          <w:rFonts w:hint="default" w:ascii="Times New Roman" w:hAnsi="Times New Roman" w:eastAsia="方正仿宋简体" w:cs="Times New Roman"/>
          <w:kern w:val="2"/>
          <w:sz w:val="32"/>
          <w:szCs w:val="32"/>
          <w:lang w:val="en-US" w:eastAsia="zh-CN" w:bidi="ar-SA"/>
        </w:rPr>
        <w:t>.特许经营者负责项目涉及的所有的户外广告设施的日常巡查、安全检测等监管措施落实，严格按照有关规定加强户外广告设施的管理，督促经营者履行本协议规定的其他义务，保证经营者提供的产品质量和服务质量符合相关规定和行业标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12</w:t>
      </w:r>
      <w:r>
        <w:rPr>
          <w:rFonts w:hint="default" w:ascii="Times New Roman" w:hAnsi="Times New Roman" w:eastAsia="方正仿宋简体" w:cs="Times New Roman"/>
          <w:kern w:val="2"/>
          <w:sz w:val="32"/>
          <w:szCs w:val="32"/>
          <w:lang w:val="en-US" w:eastAsia="zh-CN" w:bidi="ar-SA"/>
        </w:rPr>
        <w:t>.对经营者违反有关户外广告、市容和环境卫生、安全生产等方面法律、法规规定的行为，特许经营者应当制止，及时向有关行政管理部门报告，并按照同经营者签订的合同规定追究经营者相关责任；</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eastAsia" w:ascii="Times New Roman" w:hAnsi="Times New Roman" w:eastAsia="方正仿宋简体" w:cs="Times New Roman"/>
          <w:kern w:val="2"/>
          <w:sz w:val="32"/>
          <w:szCs w:val="32"/>
          <w:lang w:val="en-US" w:eastAsia="zh-CN" w:bidi="ar-SA"/>
        </w:rPr>
        <w:t>13</w:t>
      </w:r>
      <w:r>
        <w:rPr>
          <w:rFonts w:hint="default" w:ascii="Times New Roman" w:hAnsi="Times New Roman" w:eastAsia="方正仿宋简体" w:cs="Times New Roman"/>
          <w:kern w:val="2"/>
          <w:sz w:val="32"/>
          <w:szCs w:val="32"/>
          <w:lang w:val="en-US" w:eastAsia="zh-CN" w:bidi="ar-SA"/>
        </w:rPr>
        <w:t>.本项目经营活动需严格按照《基础设施和公用事业特许经营管理办法》（国家发展改革委等6部委2015年第25号令）进行管理。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（二）有意竞价者请于公告期内在达州市公共资源交易服务网提出竞价申请，并缴纳（资产状况中竞价保证金金额）竞价保证金（以达州市公共资源交易服务系统确认到账为准）。</w:t>
      </w:r>
    </w:p>
    <w:p>
      <w:pPr>
        <w:keepNext w:val="0"/>
        <w:keepLines w:val="0"/>
        <w:pageBreakBefore w:val="0"/>
        <w:widowControl w:val="0"/>
        <w:kinsoku/>
        <w:overflowPunct/>
        <w:topLinePunct w:val="0"/>
        <w:autoSpaceDE/>
        <w:autoSpaceDN/>
        <w:bidi w:val="0"/>
        <w:adjustRightInd w:val="0"/>
        <w:spacing w:line="578" w:lineRule="exact"/>
        <w:ind w:firstLine="640" w:firstLineChars="200"/>
        <w:jc w:val="both"/>
        <w:textAlignment w:val="auto"/>
        <w:outlineLvl w:val="1"/>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三）交易结果公示后，未成交的竞价保证金，通过原渠道无息退还；成交的竞价保证金，竞得人与处置方签订合同和缴清成交价款后，由竞得人通过网上交易系统发起竞价保证金退还申请，达州市公共资源交易服务中心按照退还申请原路径予以退还。       </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以下情形之一者，保证金不予退还：</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1.意向竞价人提供虚假材料的；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2.意向竞价人互相串通恶意压价的；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3.意向竞价人未认可本项目竞价起始价的；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4.若竞价成功后，竞得人不按时签订合同或不按时支付标的物成交款项的；</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5.意向竞价人与竞得人不一致的。</w:t>
      </w:r>
    </w:p>
    <w:p>
      <w:pPr>
        <w:keepNext w:val="0"/>
        <w:keepLines w:val="0"/>
        <w:pageBreakBefore w:val="0"/>
        <w:widowControl/>
        <w:kinsoku/>
        <w:overflowPunct/>
        <w:topLinePunct w:val="0"/>
        <w:autoSpaceDE/>
        <w:autoSpaceDN/>
        <w:bidi w:val="0"/>
        <w:spacing w:line="578" w:lineRule="exact"/>
        <w:ind w:firstLine="64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（四）本次资产处置所涉及的税费由双方按国家相关法律法规处理。</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（五）本次资产处置实行全程电子化交易方式，通过达州市公共资源交易服务平台进行，纸质资料不予受理，具体操作方式详见网上操作指南。</w:t>
      </w:r>
    </w:p>
    <w:p>
      <w:pPr>
        <w:pStyle w:val="8"/>
        <w:keepNext w:val="0"/>
        <w:keepLines w:val="0"/>
        <w:pageBreakBefore w:val="0"/>
        <w:widowControl w:val="0"/>
        <w:kinsoku/>
        <w:overflowPunct/>
        <w:topLinePunct w:val="0"/>
        <w:autoSpaceDE/>
        <w:autoSpaceDN/>
        <w:bidi w:val="0"/>
        <w:spacing w:before="0" w:beforeAutospacing="0" w:after="0" w:afterAutospacing="0" w:line="578" w:lineRule="exact"/>
        <w:ind w:firstLine="6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（六）意向竞价人对本公告第一、六、七、八、九（</w:t>
      </w:r>
      <w:r>
        <w:rPr>
          <w:rFonts w:hint="eastAsia" w:ascii="Times New Roman" w:hAnsi="Times New Roman" w:eastAsia="方正仿宋简体" w:cs="Times New Roman"/>
          <w:kern w:val="2"/>
          <w:sz w:val="32"/>
          <w:szCs w:val="32"/>
          <w:lang w:val="en-US" w:eastAsia="zh-CN" w:bidi="ar-SA"/>
        </w:rPr>
        <w:t>二</w:t>
      </w:r>
      <w:r>
        <w:rPr>
          <w:rFonts w:hint="default" w:ascii="Times New Roman" w:hAnsi="Times New Roman" w:eastAsia="方正仿宋简体" w:cs="Times New Roman"/>
          <w:kern w:val="2"/>
          <w:sz w:val="32"/>
          <w:szCs w:val="32"/>
          <w:lang w:val="en-US" w:eastAsia="zh-CN" w:bidi="ar-SA"/>
        </w:rPr>
        <w:t>）条有疑问可向交易机构提出，其余的可向业主单位提出。</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（七）联系方式：</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出租方：达州高新区经济合作服务中心</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联系电话：18782863481</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交易机构：达州市公共资源交易服务中心</w:t>
      </w:r>
    </w:p>
    <w:p>
      <w:pPr>
        <w:keepNext w:val="0"/>
        <w:keepLines w:val="0"/>
        <w:pageBreakBefore w:val="0"/>
        <w:kinsoku/>
        <w:overflowPunct/>
        <w:topLinePunct w:val="0"/>
        <w:autoSpaceDE/>
        <w:autoSpaceDN/>
        <w:bidi w:val="0"/>
        <w:adjustRightInd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评审科：0818-3091347</w:t>
      </w:r>
    </w:p>
    <w:p>
      <w:pPr>
        <w:pStyle w:val="2"/>
        <w:keepNext w:val="0"/>
        <w:keepLines w:val="0"/>
        <w:pageBreakBefore w:val="0"/>
        <w:kinsoku/>
        <w:overflowPunct/>
        <w:topLinePunct w:val="0"/>
        <w:autoSpaceDE/>
        <w:autoSpaceDN/>
        <w:bidi w:val="0"/>
        <w:spacing w:line="578"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方正仿宋简体" w:cs="Times New Roman"/>
          <w:kern w:val="2"/>
          <w:sz w:val="32"/>
          <w:szCs w:val="32"/>
          <w:lang w:val="en-US" w:eastAsia="zh-CN" w:bidi="ar-SA"/>
        </w:rPr>
        <w:t>组织科：0818-2183355</w:t>
      </w:r>
    </w:p>
    <w:p>
      <w:pPr>
        <w:pStyle w:val="2"/>
        <w:keepNext w:val="0"/>
        <w:keepLines w:val="0"/>
        <w:pageBreakBefore w:val="0"/>
        <w:kinsoku/>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达州市公共资源交易服务平台技术联系方式：0818-2502163</w:t>
      </w:r>
    </w:p>
    <w:p>
      <w:pPr>
        <w:keepNext w:val="0"/>
        <w:keepLines w:val="0"/>
        <w:pageBreakBefore w:val="0"/>
        <w:kinsoku/>
        <w:overflowPunct/>
        <w:topLinePunct w:val="0"/>
        <w:autoSpaceDE/>
        <w:autoSpaceDN/>
        <w:bidi w:val="0"/>
        <w:adjustRightInd w:val="0"/>
        <w:spacing w:line="578" w:lineRule="exact"/>
        <w:ind w:firstLine="640" w:firstLineChars="200"/>
        <w:jc w:val="left"/>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widowControl/>
        <w:kinsoku/>
        <w:overflowPunct/>
        <w:topLinePunct w:val="0"/>
        <w:autoSpaceDE/>
        <w:autoSpaceDN/>
        <w:bidi w:val="0"/>
        <w:spacing w:line="578" w:lineRule="exact"/>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达州高新区经济合作服务中心   达州市公共资源交易服务中心</w:t>
      </w:r>
    </w:p>
    <w:p>
      <w:pPr>
        <w:pStyle w:val="8"/>
        <w:keepNext w:val="0"/>
        <w:keepLines w:val="0"/>
        <w:pageBreakBefore w:val="0"/>
        <w:widowControl w:val="0"/>
        <w:kinsoku/>
        <w:wordWrap w:val="0"/>
        <w:overflowPunct/>
        <w:topLinePunct w:val="0"/>
        <w:autoSpaceDE/>
        <w:autoSpaceDN/>
        <w:bidi w:val="0"/>
        <w:snapToGrid w:val="0"/>
        <w:spacing w:before="0" w:beforeAutospacing="0" w:after="0" w:afterAutospacing="0" w:line="578" w:lineRule="exact"/>
        <w:jc w:val="both"/>
        <w:textAlignment w:val="auto"/>
        <w:rPr>
          <w:rFonts w:hint="default" w:ascii="Times New Roman" w:hAnsi="Times New Roman" w:eastAsia="黑体" w:cs="Times New Roman"/>
          <w:sz w:val="32"/>
          <w:szCs w:val="32"/>
        </w:rPr>
      </w:pPr>
      <w:r>
        <w:rPr>
          <w:rFonts w:hint="default" w:ascii="Times New Roman" w:hAnsi="Times New Roman" w:eastAsia="方正仿宋简体" w:cs="Times New Roman"/>
          <w:kern w:val="2"/>
          <w:sz w:val="32"/>
          <w:szCs w:val="32"/>
          <w:lang w:val="en-US" w:eastAsia="zh-CN" w:bidi="ar-SA"/>
        </w:rPr>
        <w:t>                                  2022年12月</w:t>
      </w:r>
      <w:r>
        <w:rPr>
          <w:rFonts w:hint="eastAsia" w:ascii="Times New Roman" w:hAnsi="Times New Roman" w:eastAsia="方正仿宋简体" w:cs="Times New Roman"/>
          <w:kern w:val="2"/>
          <w:sz w:val="32"/>
          <w:szCs w:val="32"/>
          <w:lang w:val="en-US" w:eastAsia="zh-CN" w:bidi="ar-SA"/>
        </w:rPr>
        <w:t>2</w:t>
      </w:r>
      <w:bookmarkStart w:id="10" w:name="_GoBack"/>
      <w:bookmarkEnd w:id="10"/>
      <w:r>
        <w:rPr>
          <w:rFonts w:hint="default" w:ascii="Times New Roman" w:hAnsi="Times New Roman" w:eastAsia="方正仿宋简体" w:cs="Times New Roman"/>
          <w:kern w:val="2"/>
          <w:sz w:val="32"/>
          <w:szCs w:val="32"/>
          <w:lang w:val="en-US" w:eastAsia="zh-CN" w:bidi="ar-SA"/>
        </w:rPr>
        <w:t>日</w:t>
      </w:r>
      <w:r>
        <w:rPr>
          <w:rFonts w:hint="default" w:ascii="Times New Roman" w:hAnsi="Times New Roman" w:eastAsia="方正仿宋简体" w:cs="Times New Roman"/>
          <w:kern w:val="2"/>
          <w:sz w:val="32"/>
          <w:szCs w:val="32"/>
          <w:lang w:val="en-US" w:eastAsia="zh-CN" w:bidi="ar-SA"/>
        </w:rPr>
        <w:br w:type="page"/>
      </w:r>
      <w:r>
        <w:rPr>
          <w:rFonts w:hint="default" w:ascii="Times New Roman" w:hAnsi="Times New Roman" w:eastAsia="黑体" w:cs="Times New Roman"/>
          <w:color w:val="333333"/>
          <w:sz w:val="32"/>
          <w:szCs w:val="32"/>
        </w:rPr>
        <w:t>附件1</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ind w:firstLine="470"/>
        <w:jc w:val="center"/>
        <w:rPr>
          <w:rFonts w:hint="default" w:ascii="Times New Roman" w:hAnsi="Times New Roman" w:cs="Times New Roman"/>
          <w:sz w:val="21"/>
          <w:szCs w:val="21"/>
        </w:rPr>
      </w:pPr>
      <w:r>
        <w:rPr>
          <w:rFonts w:hint="default" w:ascii="Times New Roman" w:hAnsi="Times New Roman" w:eastAsia="方正小标宋简体" w:cs="Times New Roman"/>
          <w:color w:val="333333"/>
          <w:sz w:val="44"/>
          <w:szCs w:val="44"/>
        </w:rPr>
        <w:t>竞价申请书（样本）</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ind w:firstLine="470"/>
        <w:jc w:val="center"/>
        <w:rPr>
          <w:rFonts w:hint="default" w:ascii="Times New Roman" w:hAnsi="Times New Roman" w:cs="Times New Roman"/>
          <w:sz w:val="21"/>
          <w:szCs w:val="21"/>
        </w:rPr>
      </w:pPr>
    </w:p>
    <w:p>
      <w:pPr>
        <w:keepNext w:val="0"/>
        <w:keepLines w:val="0"/>
        <w:pageBreakBefore w:val="0"/>
        <w:kinsoku/>
        <w:wordWrap w:val="0"/>
        <w:overflowPunct/>
        <w:topLinePunct w:val="0"/>
        <w:autoSpaceDE/>
        <w:autoSpaceDN/>
        <w:bidi w:val="0"/>
        <w:spacing w:line="578" w:lineRule="exact"/>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达州市公共资源交易服务中心：</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经认真阅读关于标的公开竞价相关资料，我方完全接受并愿意遵守公告中的规定和要求，对公告及标的现状无异议。</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我方已按要求登录达州市公共资源交易服务中心网完成网上注册、网上报名，我方愿意按竞价公告的规定，交纳资产的竞价保证金￥</w:t>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t xml:space="preserve"> 万元（大写人民币</w:t>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t xml:space="preserve"> 万元整）。现我方正式申请参加于</w:t>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t>年 月</w:t>
      </w:r>
      <w:r>
        <w:rPr>
          <w:rFonts w:hint="eastAsia" w:ascii="Times New Roman" w:hAnsi="Times New Roman" w:eastAsia="方正仿宋简体" w:cs="Times New Roman"/>
          <w:kern w:val="2"/>
          <w:sz w:val="32"/>
          <w:szCs w:val="32"/>
          <w:lang w:val="en-US" w:eastAsia="zh-CN" w:bidi="ar-SA"/>
        </w:rPr>
        <w:t xml:space="preserve"> </w:t>
      </w:r>
      <w:r>
        <w:rPr>
          <w:rFonts w:hint="default" w:ascii="Times New Roman" w:hAnsi="Times New Roman" w:eastAsia="方正仿宋简体" w:cs="Times New Roman"/>
          <w:kern w:val="2"/>
          <w:sz w:val="32"/>
          <w:szCs w:val="32"/>
          <w:lang w:val="en-US" w:eastAsia="zh-CN" w:bidi="ar-SA"/>
        </w:rPr>
        <w:t xml:space="preserve"> 日上午时分（北京时间）在举行的公开竞价电子竞价会。</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我方保证严格遵守电子竞价会场纪律和完全履行竞价公告所载意向竞价人的全部义务。若我方在公开竞价中以及电子竞价成交后，出现不能按期付款或有其他违约行为，我方愿意承担全部法律责任，并赔偿由此产生的全部损失。</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特此申请。</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意向竞价人：（签章）         </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联系电话：                    </w:t>
      </w: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p>
    <w:p>
      <w:pPr>
        <w:keepNext w:val="0"/>
        <w:keepLines w:val="0"/>
        <w:pageBreakBefore w:val="0"/>
        <w:kinsoku/>
        <w:wordWrap w:val="0"/>
        <w:overflowPunct/>
        <w:topLinePunct w:val="0"/>
        <w:autoSpaceDE/>
        <w:autoSpaceDN/>
        <w:bidi w:val="0"/>
        <w:spacing w:line="578" w:lineRule="exact"/>
        <w:ind w:firstLine="640" w:firstLineChars="200"/>
        <w:jc w:val="both"/>
        <w:textAlignment w:val="auto"/>
        <w:rPr>
          <w:rFonts w:hint="default" w:ascii="Times New Roman" w:hAnsi="Times New Roman" w:eastAsia="方正仿宋简体" w:cs="Times New Roman"/>
          <w:kern w:val="2"/>
          <w:sz w:val="32"/>
          <w:szCs w:val="32"/>
          <w:lang w:val="en-US" w:eastAsia="zh-CN" w:bidi="ar-SA"/>
        </w:rPr>
      </w:pPr>
      <w:r>
        <w:rPr>
          <w:rFonts w:hint="default" w:ascii="Times New Roman" w:hAnsi="Times New Roman" w:eastAsia="方正仿宋简体" w:cs="Times New Roman"/>
          <w:kern w:val="2"/>
          <w:sz w:val="32"/>
          <w:szCs w:val="32"/>
          <w:lang w:val="en-US" w:eastAsia="zh-CN" w:bidi="ar-SA"/>
        </w:rPr>
        <w:t xml:space="preserve">                                            年   月   日    </w:t>
      </w:r>
    </w:p>
    <w:p>
      <w:pPr>
        <w:pStyle w:val="8"/>
        <w:keepNext w:val="0"/>
        <w:keepLines w:val="0"/>
        <w:pageBreakBefore w:val="0"/>
        <w:widowControl w:val="0"/>
        <w:kinsoku/>
        <w:wordWrap w:val="0"/>
        <w:overflowPunct/>
        <w:topLinePunct w:val="0"/>
        <w:autoSpaceDE/>
        <w:autoSpaceDN/>
        <w:bidi w:val="0"/>
        <w:snapToGrid w:val="0"/>
        <w:spacing w:beforeAutospacing="0" w:afterAutospacing="0" w:line="578" w:lineRule="atLeast"/>
        <w:jc w:val="both"/>
        <w:rPr>
          <w:rFonts w:hint="default" w:ascii="Times New Roman" w:hAnsi="Times New Roman" w:cs="Times New Roman"/>
          <w:sz w:val="32"/>
          <w:szCs w:val="32"/>
        </w:rPr>
      </w:pPr>
      <w:r>
        <w:rPr>
          <w:rFonts w:hint="default" w:ascii="Times New Roman" w:hAnsi="Times New Roman" w:eastAsia="黑体" w:cs="Times New Roman"/>
          <w:color w:val="333333"/>
          <w:sz w:val="32"/>
          <w:szCs w:val="32"/>
        </w:rPr>
        <w:t>附件2</w:t>
      </w:r>
      <w:r>
        <w:rPr>
          <w:rFonts w:hint="default" w:ascii="Times New Roman" w:hAnsi="Times New Roman" w:eastAsia="微软雅黑" w:cs="Times New Roman"/>
          <w:color w:val="333333"/>
          <w:sz w:val="32"/>
          <w:szCs w:val="32"/>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eastAsia="方正小标宋简体" w:cs="Times New Roman"/>
          <w:color w:val="000000"/>
          <w:spacing w:val="-5"/>
          <w:sz w:val="44"/>
          <w:szCs w:val="44"/>
          <w:shd w:val="clear" w:color="auto" w:fill="FFFFFF"/>
        </w:rPr>
      </w:pP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cs="Times New Roman"/>
        </w:rPr>
      </w:pPr>
      <w:r>
        <w:rPr>
          <w:rFonts w:hint="default" w:ascii="Times New Roman" w:hAnsi="Times New Roman" w:eastAsia="方正小标宋简体" w:cs="Times New Roman"/>
          <w:color w:val="000000"/>
          <w:spacing w:val="-5"/>
          <w:sz w:val="44"/>
          <w:szCs w:val="44"/>
          <w:shd w:val="clear" w:color="auto" w:fill="FFFFFF"/>
        </w:rPr>
        <w:t>授 权 委 托 书</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jc w:val="center"/>
        <w:rPr>
          <w:rFonts w:hint="default" w:ascii="Times New Roman" w:hAnsi="Times New Roman" w:cs="Times New Roman"/>
        </w:rPr>
      </w:pPr>
      <w:r>
        <w:rPr>
          <w:rFonts w:hint="default" w:ascii="Times New Roman" w:hAnsi="Times New Roman" w:eastAsia="方正小标宋简体" w:cs="Times New Roman"/>
          <w:color w:val="333333"/>
          <w:sz w:val="44"/>
          <w:szCs w:val="44"/>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 xml:space="preserve">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本授权声明：</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（意向竞价人名称）</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（法定代表人（负责人）姓名、职务）授权</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（被授权人姓名、职务）为我方</w:t>
      </w:r>
      <w:r>
        <w:rPr>
          <w:rFonts w:hint="default" w:ascii="Times New Roman" w:hAnsi="Times New Roman" w:cs="Times New Roman"/>
          <w:color w:val="000000"/>
          <w:sz w:val="28"/>
          <w:szCs w:val="28"/>
          <w:shd w:val="clear" w:color="auto" w:fill="FFFFFF"/>
        </w:rPr>
        <w:t> </w:t>
      </w:r>
      <w:r>
        <w:rPr>
          <w:rFonts w:hint="default" w:ascii="Times New Roman" w:hAnsi="Times New Roman" w:eastAsia="仿宋" w:cs="Times New Roman"/>
          <w:color w:val="000000"/>
          <w:sz w:val="28"/>
          <w:szCs w:val="28"/>
          <w:shd w:val="clear" w:color="auto" w:fill="FFFFFF"/>
        </w:rPr>
        <w:t>“</w:t>
      </w:r>
      <w:r>
        <w:rPr>
          <w:rFonts w:hint="default" w:ascii="Times New Roman" w:hAnsi="Times New Roman" w:cs="Times New Roman"/>
          <w:color w:val="000000"/>
          <w:sz w:val="28"/>
          <w:szCs w:val="28"/>
          <w:shd w:val="clear" w:color="auto" w:fill="FFFFFF"/>
        </w:rPr>
        <w:t> </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shd w:val="clear" w:color="auto" w:fill="FFFFFF"/>
        </w:rPr>
        <w:t>” 项目中的资产电子竞价的合法代表，以我方名义全权处理该项目有关电子竞价、签订成交确认书、合同以及执行合同等一切事宜。</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特此声明。</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法定代表人（负责人）</w:t>
      </w:r>
      <w:r>
        <w:rPr>
          <w:rFonts w:hint="default" w:ascii="Times New Roman" w:hAnsi="Times New Roman" w:eastAsia="仿宋" w:cs="Times New Roman"/>
          <w:color w:val="000000"/>
          <w:sz w:val="28"/>
          <w:szCs w:val="28"/>
          <w:u w:val="single"/>
          <w:shd w:val="clear" w:color="auto" w:fill="FFFFFF"/>
        </w:rPr>
        <w:t>：</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（签章）</w:t>
      </w:r>
      <w:r>
        <w:rPr>
          <w:rFonts w:hint="default" w:ascii="Times New Roman" w:hAnsi="Times New Roman" w:cs="Times New Roman"/>
          <w:color w:val="000000"/>
          <w:sz w:val="28"/>
          <w:szCs w:val="28"/>
          <w:u w:val="single"/>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eastAsia="仿宋" w:cs="Times New Roman"/>
          <w:color w:val="000000"/>
          <w:sz w:val="28"/>
          <w:szCs w:val="28"/>
          <w:shd w:val="clear" w:color="auto" w:fill="FFFFFF"/>
        </w:rPr>
        <w:t>授权代表：</w:t>
      </w:r>
      <w:r>
        <w:rPr>
          <w:rFonts w:hint="default" w:ascii="Times New Roman" w:hAnsi="Times New Roman" w:cs="Times New Roman"/>
          <w:color w:val="000000"/>
          <w:sz w:val="28"/>
          <w:szCs w:val="28"/>
          <w:u w:val="single"/>
          <w:shd w:val="clear" w:color="auto" w:fill="FFFFFF"/>
        </w:rPr>
        <w:t>     </w:t>
      </w:r>
      <w:r>
        <w:rPr>
          <w:rFonts w:hint="default" w:ascii="Times New Roman" w:hAnsi="Times New Roman" w:eastAsia="仿宋" w:cs="Times New Roman"/>
          <w:color w:val="000000"/>
          <w:sz w:val="28"/>
          <w:szCs w:val="28"/>
          <w:u w:val="single"/>
          <w:shd w:val="clear" w:color="auto" w:fill="FFFFFF"/>
        </w:rPr>
        <w:t>（签章）</w:t>
      </w:r>
      <w:r>
        <w:rPr>
          <w:rFonts w:hint="default" w:ascii="Times New Roman" w:hAnsi="Times New Roman" w:cs="Times New Roman"/>
          <w:color w:val="000000"/>
          <w:sz w:val="28"/>
          <w:szCs w:val="28"/>
          <w:u w:val="single"/>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480"/>
        <w:rPr>
          <w:rFonts w:hint="default" w:ascii="Times New Roman" w:hAnsi="Times New Roman" w:cs="Times New Roman"/>
        </w:rPr>
      </w:pPr>
      <w:r>
        <w:rPr>
          <w:rFonts w:hint="default" w:ascii="Times New Roman" w:hAnsi="Times New Roman" w:cs="Times New Roman"/>
          <w:color w:val="000000"/>
          <w:sz w:val="28"/>
          <w:szCs w:val="28"/>
          <w:shd w:val="clear" w:color="auto" w:fill="FFFFFF"/>
        </w:rPr>
        <w:t> </w:t>
      </w:r>
    </w:p>
    <w:p>
      <w:pPr>
        <w:pStyle w:val="8"/>
        <w:keepNext w:val="0"/>
        <w:keepLines w:val="0"/>
        <w:pageBreakBefore w:val="0"/>
        <w:widowControl w:val="0"/>
        <w:shd w:val="clear" w:color="auto" w:fill="FFFFFF"/>
        <w:kinsoku/>
        <w:wordWrap w:val="0"/>
        <w:overflowPunct/>
        <w:topLinePunct w:val="0"/>
        <w:autoSpaceDE/>
        <w:autoSpaceDN/>
        <w:bidi w:val="0"/>
        <w:snapToGrid w:val="0"/>
        <w:spacing w:beforeAutospacing="0" w:afterAutospacing="0" w:line="480" w:lineRule="atLeast"/>
        <w:ind w:firstLine="1920"/>
        <w:rPr>
          <w:rFonts w:hint="default" w:ascii="Times New Roman" w:hAnsi="Times New Roman" w:eastAsia="仿宋" w:cs="Times New Roman"/>
          <w:color w:val="000000"/>
          <w:sz w:val="28"/>
          <w:szCs w:val="28"/>
          <w:shd w:val="clear" w:color="auto" w:fill="FFFFFF"/>
        </w:rPr>
      </w:pPr>
      <w:r>
        <w:rPr>
          <w:rFonts w:hint="default" w:ascii="Times New Roman" w:hAnsi="Times New Roman" w:eastAsia="仿宋" w:cs="Times New Roman"/>
          <w:color w:val="000000"/>
          <w:sz w:val="28"/>
          <w:szCs w:val="28"/>
          <w:shd w:val="clear" w:color="auto" w:fill="FFFFFF"/>
        </w:rPr>
        <w:t>         日</w:t>
      </w:r>
      <w:r>
        <w:rPr>
          <w:rFonts w:hint="default" w:ascii="Times New Roman" w:hAnsi="Times New Roman" w:cs="Times New Roman"/>
          <w:color w:val="000000"/>
          <w:sz w:val="28"/>
          <w:szCs w:val="28"/>
          <w:shd w:val="clear" w:color="auto" w:fill="FFFFFF"/>
        </w:rPr>
        <w:t>  </w:t>
      </w:r>
      <w:r>
        <w:rPr>
          <w:rFonts w:hint="default" w:ascii="Times New Roman" w:hAnsi="Times New Roman" w:eastAsia="仿宋" w:cs="Times New Roman"/>
          <w:color w:val="000000"/>
          <w:sz w:val="28"/>
          <w:szCs w:val="28"/>
          <w:shd w:val="clear" w:color="auto" w:fill="FFFFFF"/>
        </w:rPr>
        <w:t>期：    年   月   日</w:t>
      </w:r>
      <w:bookmarkEnd w:id="0"/>
      <w:bookmarkEnd w:id="1"/>
      <w:bookmarkEnd w:id="2"/>
      <w:bookmarkEnd w:id="3"/>
      <w:bookmarkEnd w:id="4"/>
      <w:bookmarkEnd w:id="5"/>
      <w:bookmarkEnd w:id="6"/>
      <w:bookmarkEnd w:id="7"/>
      <w:bookmarkEnd w:id="8"/>
      <w:bookmarkEnd w:id="9"/>
    </w:p>
    <w:p>
      <w:pPr>
        <w:rPr>
          <w:rFonts w:hint="default" w:ascii="Times New Roman" w:hAnsi="Times New Roman" w:eastAsia="仿宋" w:cs="Times New Roman"/>
          <w:color w:val="000000"/>
          <w:sz w:val="28"/>
          <w:szCs w:val="28"/>
          <w:shd w:val="clear" w:color="auto" w:fill="FFFFFF"/>
        </w:rPr>
      </w:pPr>
      <w:r>
        <w:rPr>
          <w:rFonts w:hint="default" w:ascii="Times New Roman" w:hAnsi="Times New Roman" w:eastAsia="仿宋" w:cs="Times New Roman"/>
          <w:color w:val="000000"/>
          <w:sz w:val="28"/>
          <w:szCs w:val="28"/>
          <w:shd w:val="clear" w:color="auto" w:fill="FFFFFF"/>
        </w:rPr>
        <w:br w:type="page"/>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黑体简体" w:cs="Times New Roman"/>
          <w:sz w:val="32"/>
          <w:szCs w:val="32"/>
          <w:lang w:val="en-US" w:eastAsia="zh-CN"/>
        </w:rPr>
      </w:pPr>
      <w:r>
        <w:rPr>
          <w:rFonts w:hint="default" w:ascii="Times New Roman" w:hAnsi="Times New Roman" w:eastAsia="方正黑体简体" w:cs="Times New Roman"/>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广告位</w:t>
      </w:r>
      <w:r>
        <w:rPr>
          <w:rFonts w:hint="default" w:ascii="Times New Roman" w:hAnsi="Times New Roman" w:eastAsia="方正小标宋简体" w:cs="Times New Roman"/>
          <w:b w:val="0"/>
          <w:bCs w:val="0"/>
          <w:sz w:val="44"/>
          <w:szCs w:val="44"/>
        </w:rPr>
        <w:t>特许经营权</w:t>
      </w:r>
      <w:r>
        <w:rPr>
          <w:rFonts w:hint="default" w:ascii="Times New Roman" w:hAnsi="Times New Roman" w:eastAsia="方正小标宋简体" w:cs="Times New Roman"/>
          <w:b w:val="0"/>
          <w:bCs w:val="0"/>
          <w:sz w:val="44"/>
          <w:szCs w:val="44"/>
          <w:lang w:eastAsia="zh-CN"/>
        </w:rPr>
        <w:t>出</w:t>
      </w:r>
      <w:r>
        <w:rPr>
          <w:rFonts w:hint="default" w:ascii="Times New Roman" w:hAnsi="Times New Roman" w:eastAsia="方正小标宋简体" w:cs="Times New Roman"/>
          <w:b w:val="0"/>
          <w:bCs w:val="0"/>
          <w:sz w:val="44"/>
          <w:szCs w:val="44"/>
        </w:rPr>
        <w:t>让合同范本（仅供参考）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出让人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简称甲方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统一社会信用代码：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电话：</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受让人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简称乙方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统一社会信用代码：</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地址：</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电话：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系</w:t>
      </w:r>
      <w:r>
        <w:rPr>
          <w:rFonts w:hint="default" w:ascii="Times New Roman" w:hAnsi="Times New Roman" w:eastAsia="方正仿宋_GBK" w:cs="Times New Roman"/>
          <w:sz w:val="32"/>
          <w:szCs w:val="32"/>
          <w:lang w:eastAsia="zh-CN"/>
        </w:rPr>
        <w:t>达州高新区</w:t>
      </w:r>
      <w:r>
        <w:rPr>
          <w:rFonts w:hint="default" w:ascii="Times New Roman" w:hAnsi="Times New Roman" w:eastAsia="方正仿宋_GBK" w:cs="Times New Roman"/>
          <w:sz w:val="32"/>
          <w:szCs w:val="32"/>
        </w:rPr>
        <w:t>广告位特许经营权</w:t>
      </w:r>
      <w:r>
        <w:rPr>
          <w:rFonts w:hint="default" w:ascii="Times New Roman" w:hAnsi="Times New Roman" w:eastAsia="方正仿宋_GBK" w:cs="Times New Roman"/>
          <w:sz w:val="32"/>
          <w:szCs w:val="32"/>
          <w:lang w:val="en-US" w:eastAsia="zh-CN"/>
        </w:rPr>
        <w:t>的具体实施机构</w:t>
      </w:r>
      <w:r>
        <w:rPr>
          <w:rFonts w:hint="default" w:ascii="Times New Roman" w:hAnsi="Times New Roman" w:eastAsia="方正仿宋_GBK" w:cs="Times New Roman"/>
          <w:sz w:val="32"/>
          <w:szCs w:val="32"/>
        </w:rPr>
        <w:t>，经委托</w:t>
      </w:r>
      <w:r>
        <w:rPr>
          <w:rFonts w:hint="default" w:ascii="Times New Roman" w:hAnsi="Times New Roman" w:eastAsia="方正仿宋_GBK" w:cs="Times New Roman"/>
          <w:sz w:val="32"/>
          <w:szCs w:val="32"/>
          <w:lang w:eastAsia="zh-CN"/>
        </w:rPr>
        <w:t>达州市公共资源交易服务中心</w:t>
      </w:r>
      <w:r>
        <w:rPr>
          <w:rFonts w:hint="default" w:ascii="Times New Roman" w:hAnsi="Times New Roman" w:eastAsia="方正仿宋_GBK" w:cs="Times New Roman"/>
          <w:sz w:val="32"/>
          <w:szCs w:val="32"/>
          <w:lang w:val="en-US" w:eastAsia="zh-CN"/>
        </w:rPr>
        <w:t>将</w:t>
      </w:r>
      <w:r>
        <w:rPr>
          <w:rFonts w:hint="default" w:ascii="Times New Roman" w:hAnsi="Times New Roman" w:eastAsia="方正仿宋_GBK" w:cs="Times New Roman"/>
          <w:sz w:val="32"/>
          <w:szCs w:val="32"/>
          <w:lang w:eastAsia="zh-CN"/>
        </w:rPr>
        <w:t>达州高新区</w:t>
      </w:r>
      <w:r>
        <w:rPr>
          <w:rFonts w:hint="default" w:ascii="Times New Roman" w:hAnsi="Times New Roman" w:eastAsia="方正仿宋_GBK" w:cs="Times New Roman"/>
          <w:sz w:val="32"/>
          <w:szCs w:val="32"/>
        </w:rPr>
        <w:t>广告位特许经营权进行公开</w:t>
      </w:r>
      <w:r>
        <w:rPr>
          <w:rFonts w:hint="default" w:ascii="Times New Roman" w:hAnsi="Times New Roman" w:eastAsia="方正仿宋_GBK" w:cs="Times New Roman"/>
          <w:sz w:val="32"/>
          <w:szCs w:val="32"/>
          <w:lang w:eastAsia="zh-CN"/>
        </w:rPr>
        <w:t>出让</w:t>
      </w:r>
      <w:r>
        <w:rPr>
          <w:rFonts w:hint="default" w:ascii="Times New Roman" w:hAnsi="Times New Roman" w:eastAsia="方正仿宋_GBK" w:cs="Times New Roman"/>
          <w:sz w:val="32"/>
          <w:szCs w:val="32"/>
        </w:rPr>
        <w:t>，乙方参加竞买</w:t>
      </w:r>
      <w:r>
        <w:rPr>
          <w:rFonts w:hint="default" w:ascii="Times New Roman" w:hAnsi="Times New Roman" w:eastAsia="方正仿宋_GBK" w:cs="Times New Roman"/>
          <w:sz w:val="32"/>
          <w:szCs w:val="32"/>
          <w:lang w:val="en-US" w:eastAsia="zh-CN"/>
        </w:rPr>
        <w:t>并</w:t>
      </w:r>
      <w:r>
        <w:rPr>
          <w:rFonts w:hint="default" w:ascii="Times New Roman" w:hAnsi="Times New Roman" w:eastAsia="方正仿宋_GBK" w:cs="Times New Roman"/>
          <w:sz w:val="32"/>
          <w:szCs w:val="32"/>
        </w:rPr>
        <w:t>竞得</w:t>
      </w:r>
      <w:r>
        <w:rPr>
          <w:rFonts w:hint="default" w:ascii="Times New Roman" w:hAnsi="Times New Roman" w:eastAsia="方正仿宋_GBK" w:cs="Times New Roman"/>
          <w:sz w:val="32"/>
          <w:szCs w:val="32"/>
          <w:lang w:val="en-US" w:eastAsia="zh-CN"/>
        </w:rPr>
        <w:t>前述特许</w:t>
      </w:r>
      <w:r>
        <w:rPr>
          <w:rFonts w:hint="default" w:ascii="Times New Roman" w:hAnsi="Times New Roman" w:eastAsia="方正仿宋_GBK" w:cs="Times New Roman"/>
          <w:sz w:val="32"/>
          <w:szCs w:val="32"/>
        </w:rPr>
        <w:t>经营权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现根据</w:t>
      </w:r>
      <w:r>
        <w:rPr>
          <w:rFonts w:hint="default" w:ascii="Times New Roman" w:hAnsi="Times New Roman" w:eastAsia="方正仿宋_GBK" w:cs="Times New Roman"/>
          <w:sz w:val="32"/>
          <w:szCs w:val="32"/>
        </w:rPr>
        <w:t>《中华人民共和国民法典》</w:t>
      </w:r>
      <w:r>
        <w:rPr>
          <w:rFonts w:hint="default" w:ascii="Times New Roman" w:hAnsi="Times New Roman" w:eastAsia="方正仿宋_GBK" w:cs="Times New Roman"/>
          <w:color w:val="auto"/>
          <w:sz w:val="32"/>
          <w:szCs w:val="32"/>
          <w:lang w:val="en-US" w:eastAsia="zh-CN"/>
        </w:rPr>
        <w:t>《基础设施和公用事业特许经营管理办法》</w:t>
      </w:r>
      <w:r>
        <w:rPr>
          <w:rFonts w:hint="default" w:ascii="Times New Roman" w:hAnsi="Times New Roman" w:eastAsia="方正仿宋_GBK" w:cs="Times New Roman"/>
          <w:sz w:val="32"/>
          <w:szCs w:val="32"/>
          <w:lang w:val="en-US" w:eastAsia="zh-CN"/>
        </w:rPr>
        <w:t>《市政公用事业特许经营管理办法》</w:t>
      </w:r>
      <w:r>
        <w:rPr>
          <w:rFonts w:hint="default" w:ascii="Times New Roman" w:hAnsi="Times New Roman" w:eastAsia="方正仿宋_GBK" w:cs="Times New Roman"/>
          <w:sz w:val="32"/>
          <w:szCs w:val="32"/>
        </w:rPr>
        <w:t>及相关法律、法规，甲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乙双方在平等、自愿的前提下，就</w:t>
      </w:r>
      <w:r>
        <w:rPr>
          <w:rFonts w:hint="default" w:ascii="Times New Roman" w:hAnsi="Times New Roman" w:eastAsia="方正仿宋_GBK" w:cs="Times New Roman"/>
          <w:sz w:val="32"/>
          <w:szCs w:val="32"/>
          <w:lang w:eastAsia="zh-CN"/>
        </w:rPr>
        <w:t>达州高新区</w:t>
      </w:r>
      <w:r>
        <w:rPr>
          <w:rFonts w:hint="default" w:ascii="Times New Roman" w:hAnsi="Times New Roman" w:eastAsia="方正仿宋_GBK" w:cs="Times New Roman"/>
          <w:sz w:val="32"/>
          <w:szCs w:val="32"/>
        </w:rPr>
        <w:t>广告位特许经营权</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让事宜</w:t>
      </w:r>
      <w:r>
        <w:rPr>
          <w:rFonts w:hint="default" w:ascii="Times New Roman" w:hAnsi="Times New Roman" w:eastAsia="方正仿宋_GBK" w:cs="Times New Roman"/>
          <w:sz w:val="32"/>
          <w:szCs w:val="32"/>
          <w:lang w:val="en-US" w:eastAsia="zh-CN"/>
        </w:rPr>
        <w:t>达成一致意见，签订本合同，以供信守</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特许</w:t>
      </w:r>
      <w:r>
        <w:rPr>
          <w:rFonts w:hint="eastAsia" w:ascii="黑体" w:hAnsi="黑体" w:eastAsia="黑体" w:cs="黑体"/>
          <w:sz w:val="32"/>
          <w:szCs w:val="32"/>
        </w:rPr>
        <w:t>经营权</w:t>
      </w:r>
      <w:r>
        <w:rPr>
          <w:rFonts w:hint="eastAsia" w:ascii="黑体" w:hAnsi="黑体" w:eastAsia="黑体" w:cs="黑体"/>
          <w:sz w:val="32"/>
          <w:szCs w:val="32"/>
          <w:lang w:val="en-US" w:eastAsia="zh-CN"/>
        </w:rPr>
        <w:t>期限</w:t>
      </w:r>
      <w:r>
        <w:rPr>
          <w:rFonts w:hint="eastAsia" w:ascii="黑体" w:hAnsi="黑体" w:eastAsia="黑体" w:cs="黑体"/>
          <w:sz w:val="32"/>
          <w:szCs w:val="32"/>
        </w:rPr>
        <w:t>及清单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）达州高新区</w:t>
      </w:r>
      <w:r>
        <w:rPr>
          <w:rFonts w:hint="default" w:ascii="Times New Roman" w:hAnsi="Times New Roman" w:eastAsia="方正仿宋_GBK" w:cs="Times New Roman"/>
          <w:sz w:val="32"/>
          <w:szCs w:val="32"/>
        </w:rPr>
        <w:t>广告位</w:t>
      </w:r>
      <w:r>
        <w:rPr>
          <w:rFonts w:hint="default" w:ascii="Times New Roman" w:hAnsi="Times New Roman" w:eastAsia="方正仿宋_GBK" w:cs="Times New Roman"/>
          <w:sz w:val="32"/>
          <w:szCs w:val="32"/>
          <w:lang w:val="en-US" w:eastAsia="zh-CN"/>
        </w:rPr>
        <w:t>特许</w:t>
      </w:r>
      <w:r>
        <w:rPr>
          <w:rFonts w:hint="default" w:ascii="Times New Roman" w:hAnsi="Times New Roman" w:eastAsia="方正仿宋_GBK" w:cs="Times New Roman"/>
          <w:sz w:val="32"/>
          <w:szCs w:val="32"/>
        </w:rPr>
        <w:t>经营权</w:t>
      </w:r>
      <w:r>
        <w:rPr>
          <w:rFonts w:hint="default" w:ascii="Times New Roman" w:hAnsi="Times New Roman" w:eastAsia="方正仿宋_GBK" w:cs="Times New Roman"/>
          <w:sz w:val="32"/>
          <w:szCs w:val="32"/>
          <w:lang w:val="en-US" w:eastAsia="zh-CN"/>
        </w:rPr>
        <w:t>期限为</w:t>
      </w:r>
      <w:r>
        <w:rPr>
          <w:rFonts w:hint="default" w:ascii="Times New Roman" w:hAnsi="Times New Roman" w:eastAsia="方正仿宋_GBK" w:cs="Times New Roman"/>
          <w:sz w:val="32"/>
          <w:szCs w:val="32"/>
        </w:rPr>
        <w:t>十年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自2022年___月___日</w:t>
      </w:r>
      <w:r>
        <w:rPr>
          <w:rFonts w:hint="default" w:ascii="Times New Roman" w:hAnsi="Times New Roman" w:eastAsia="方正仿宋_GBK" w:cs="Times New Roman"/>
          <w:sz w:val="32"/>
          <w:szCs w:val="32"/>
          <w:lang w:val="en-US" w:eastAsia="zh-CN"/>
        </w:rPr>
        <w:t>起</w:t>
      </w:r>
      <w:r>
        <w:rPr>
          <w:rFonts w:hint="default" w:ascii="Times New Roman" w:hAnsi="Times New Roman" w:eastAsia="方正仿宋_GBK" w:cs="Times New Roman"/>
          <w:sz w:val="32"/>
          <w:szCs w:val="32"/>
          <w:lang w:eastAsia="zh-CN"/>
        </w:rPr>
        <w:t>至</w:t>
      </w:r>
      <w:r>
        <w:rPr>
          <w:rFonts w:hint="default" w:ascii="Times New Roman" w:hAnsi="Times New Roman" w:eastAsia="方正仿宋_GBK" w:cs="Times New Roman"/>
          <w:sz w:val="32"/>
          <w:szCs w:val="32"/>
        </w:rPr>
        <w:t>2032年___月___日</w:t>
      </w:r>
      <w:r>
        <w:rPr>
          <w:rFonts w:hint="default" w:ascii="Times New Roman" w:hAnsi="Times New Roman" w:eastAsia="方正仿宋_GBK" w:cs="Times New Roman"/>
          <w:sz w:val="32"/>
          <w:szCs w:val="32"/>
          <w:lang w:val="en-US" w:eastAsia="zh-CN"/>
        </w:rPr>
        <w:t>止</w:t>
      </w:r>
      <w:r>
        <w:rPr>
          <w:rFonts w:hint="default" w:ascii="Times New Roman" w:hAnsi="Times New Roman" w:eastAsia="方正仿宋_GBK" w:cs="Times New Roman"/>
          <w:sz w:val="32"/>
          <w:szCs w:val="32"/>
        </w:rPr>
        <w:t>。</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）达州高新区</w:t>
      </w:r>
      <w:r>
        <w:rPr>
          <w:rFonts w:hint="default" w:ascii="Times New Roman" w:hAnsi="Times New Roman" w:eastAsia="方正仿宋_GBK" w:cs="Times New Roman"/>
          <w:sz w:val="32"/>
          <w:szCs w:val="32"/>
        </w:rPr>
        <w:t>广告位清单</w:t>
      </w: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
        <w:gridCol w:w="727"/>
        <w:gridCol w:w="1341"/>
        <w:gridCol w:w="735"/>
        <w:gridCol w:w="677"/>
        <w:gridCol w:w="1439"/>
        <w:gridCol w:w="4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10" w:type="pct"/>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序号</w:t>
            </w:r>
          </w:p>
        </w:tc>
        <w:tc>
          <w:tcPr>
            <w:tcW w:w="739"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名称</w:t>
            </w:r>
          </w:p>
        </w:tc>
        <w:tc>
          <w:tcPr>
            <w:tcW w:w="405"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现有数量</w:t>
            </w:r>
          </w:p>
        </w:tc>
        <w:tc>
          <w:tcPr>
            <w:tcW w:w="373"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拟规划</w:t>
            </w:r>
          </w:p>
        </w:tc>
        <w:tc>
          <w:tcPr>
            <w:tcW w:w="794"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规格</w:t>
            </w:r>
          </w:p>
        </w:tc>
        <w:tc>
          <w:tcPr>
            <w:tcW w:w="2276"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center"/>
              <w:textAlignment w:val="top"/>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滚屏式灯箱广告</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143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3.8*3.5m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梨树坪湿地公园入口处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梨树坪湿地公园大草坪处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梨树坪湿地公园二期椅子旁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梨树坪湿地公园二期公厕附近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sz w:val="21"/>
                <w:szCs w:val="21"/>
                <w:u w:val="none"/>
                <w:lang w:val="en-US" w:eastAsia="zh-CN"/>
              </w:rPr>
              <w:t>2</w:t>
            </w:r>
          </w:p>
        </w:tc>
        <w:tc>
          <w:tcPr>
            <w:tcW w:w="79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梨树坪湿地公园梨苑处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3"/>
                <w:rFonts w:hint="default" w:ascii="Times New Roman" w:hAnsi="Times New Roman" w:eastAsia="宋体" w:cs="Times New Roman"/>
                <w:color w:val="auto"/>
                <w:sz w:val="21"/>
                <w:szCs w:val="21"/>
                <w:lang w:val="en-US" w:eastAsia="zh-CN" w:bidi="ar"/>
              </w:rPr>
              <w:t>LED</w:t>
            </w:r>
            <w:r>
              <w:rPr>
                <w:rStyle w:val="62"/>
                <w:rFonts w:hint="default" w:ascii="Times New Roman" w:hAnsi="Times New Roman" w:eastAsia="宋体" w:cs="Times New Roman"/>
                <w:color w:val="auto"/>
                <w:sz w:val="21"/>
                <w:szCs w:val="21"/>
                <w:lang w:val="en-US" w:eastAsia="zh-CN" w:bidi="ar"/>
              </w:rPr>
              <w:t>显示屏</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22.4*1.28m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梨树坪湿地公园二期公厕顶端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广告立牌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0.8*3*0.13m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梨树坪湿地公园游步道沿线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梨树坪湿地公园山脊线景观灯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梨树坪湿地公园一期山脊处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梨树坪湿地公园一期山脊处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梨树坪湿地公园一期山脊处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路　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3*1m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长田隧道至达州高速南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玉兰灯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快速通道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金龙互通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双挑灯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eastAsia="宋体" w:cs="Times New Roman"/>
                <w:color w:val="auto"/>
                <w:sz w:val="21"/>
                <w:szCs w:val="21"/>
                <w:lang w:val="en-US" w:eastAsia="zh-CN" w:bidi="ar"/>
              </w:rPr>
              <w:t>南北Ⅰ号干道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玉兰灯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双挑灯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eastAsia="宋体" w:cs="Times New Roman"/>
                <w:color w:val="auto"/>
                <w:sz w:val="21"/>
                <w:szCs w:val="21"/>
                <w:lang w:val="en-US" w:eastAsia="zh-CN" w:bidi="ar"/>
              </w:rPr>
              <w:t>南北Ⅱ号干道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19</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中杆灯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双臂灯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七河路一期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双臂灯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七河路二期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23</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24</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七河路三期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25</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单挑灯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临江路一期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玉兰灯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29</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单挑灯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长田大道一号次干道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长田大道二号次干道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31</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长田大道三号次干道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长田大道四号次干道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33</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长田大道五号次干道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34</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长田大道六号次干道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35</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4"/>
                <w:rFonts w:hint="default" w:ascii="Times New Roman" w:hAnsi="Times New Roman" w:eastAsia="宋体" w:cs="Times New Roman"/>
                <w:color w:val="auto"/>
                <w:sz w:val="21"/>
                <w:szCs w:val="21"/>
                <w:lang w:val="en-US" w:eastAsia="zh-CN" w:bidi="ar"/>
              </w:rPr>
              <w:t>高新大道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36</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新苑中路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37</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新苑西路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38</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新苑东路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39</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轩逸路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40</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新木河路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41</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42</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高新大道二期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43</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44</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45</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玖源南路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双臂灯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玄纤中路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48</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中杆灯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vMerge w:val="continue"/>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49</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瓮福北路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50</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5"/>
                <w:rFonts w:hint="default" w:ascii="Times New Roman" w:hAnsi="Times New Roman" w:eastAsia="宋体" w:cs="Times New Roman"/>
                <w:color w:val="auto"/>
                <w:sz w:val="21"/>
                <w:szCs w:val="21"/>
                <w:lang w:val="en-US" w:eastAsia="zh-CN" w:bidi="ar"/>
              </w:rPr>
              <w:t>LED</w:t>
            </w:r>
            <w:r>
              <w:rPr>
                <w:rStyle w:val="21"/>
                <w:rFonts w:hint="default" w:ascii="Times New Roman" w:hAnsi="Times New Roman" w:eastAsia="宋体" w:cs="Times New Roman"/>
                <w:color w:val="auto"/>
                <w:sz w:val="21"/>
                <w:szCs w:val="21"/>
                <w:lang w:val="en-US" w:eastAsia="zh-CN" w:bidi="ar"/>
              </w:rPr>
              <w:t>字体</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133</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长田隧道、快速通道、火峰山隧道、达州南、金龙立交、骨科医院</w:t>
            </w:r>
            <w:r>
              <w:rPr>
                <w:rStyle w:val="65"/>
                <w:rFonts w:hint="default" w:ascii="Times New Roman" w:hAnsi="Times New Roman" w:eastAsia="宋体" w:cs="Times New Roman"/>
                <w:color w:val="auto"/>
                <w:sz w:val="21"/>
                <w:szCs w:val="21"/>
                <w:lang w:val="en-US" w:eastAsia="zh-CN" w:bidi="ar"/>
              </w:rPr>
              <w:t>LED</w:t>
            </w:r>
            <w:r>
              <w:rPr>
                <w:rStyle w:val="21"/>
                <w:rFonts w:hint="default" w:ascii="Times New Roman" w:hAnsi="Times New Roman" w:eastAsia="宋体" w:cs="Times New Roman"/>
                <w:color w:val="auto"/>
                <w:sz w:val="21"/>
                <w:szCs w:val="21"/>
                <w:lang w:val="en-US" w:eastAsia="zh-CN" w:bidi="ar"/>
              </w:rPr>
              <w:t>字体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51</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双臂灯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建筑产业园</w:t>
            </w:r>
            <w:r>
              <w:rPr>
                <w:rStyle w:val="65"/>
                <w:rFonts w:hint="default" w:ascii="Times New Roman" w:hAnsi="Times New Roman" w:eastAsia="宋体" w:cs="Times New Roman"/>
                <w:color w:val="auto"/>
                <w:sz w:val="21"/>
                <w:szCs w:val="21"/>
                <w:lang w:val="en-US" w:eastAsia="zh-CN" w:bidi="ar"/>
              </w:rPr>
              <w:t>A</w:t>
            </w:r>
            <w:r>
              <w:rPr>
                <w:rStyle w:val="21"/>
                <w:rFonts w:hint="default" w:ascii="Times New Roman" w:hAnsi="Times New Roman" w:eastAsia="宋体" w:cs="Times New Roman"/>
                <w:color w:val="auto"/>
                <w:sz w:val="21"/>
                <w:szCs w:val="21"/>
                <w:lang w:val="en-US" w:eastAsia="zh-CN" w:bidi="ar"/>
              </w:rPr>
              <w:t>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建筑产业园</w:t>
            </w:r>
            <w:r>
              <w:rPr>
                <w:rStyle w:val="65"/>
                <w:rFonts w:hint="default" w:ascii="Times New Roman" w:hAnsi="Times New Roman" w:eastAsia="宋体" w:cs="Times New Roman"/>
                <w:color w:val="auto"/>
                <w:sz w:val="21"/>
                <w:szCs w:val="21"/>
                <w:lang w:val="en-US" w:eastAsia="zh-CN" w:bidi="ar"/>
              </w:rPr>
              <w:t>B</w:t>
            </w:r>
            <w:r>
              <w:rPr>
                <w:rStyle w:val="21"/>
                <w:rFonts w:hint="default" w:ascii="Times New Roman" w:hAnsi="Times New Roman" w:eastAsia="宋体" w:cs="Times New Roman"/>
                <w:color w:val="auto"/>
                <w:sz w:val="21"/>
                <w:szCs w:val="21"/>
                <w:lang w:val="en-US" w:eastAsia="zh-CN" w:bidi="ar"/>
              </w:rPr>
              <w:t>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53</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建筑产业园</w:t>
            </w:r>
            <w:r>
              <w:rPr>
                <w:rStyle w:val="65"/>
                <w:rFonts w:hint="default" w:ascii="Times New Roman" w:hAnsi="Times New Roman" w:eastAsia="宋体" w:cs="Times New Roman"/>
                <w:color w:val="auto"/>
                <w:sz w:val="21"/>
                <w:szCs w:val="21"/>
                <w:lang w:val="en-US" w:eastAsia="zh-CN" w:bidi="ar"/>
              </w:rPr>
              <w:t>C</w:t>
            </w:r>
            <w:r>
              <w:rPr>
                <w:rStyle w:val="21"/>
                <w:rFonts w:hint="default" w:ascii="Times New Roman" w:hAnsi="Times New Roman" w:eastAsia="宋体" w:cs="Times New Roman"/>
                <w:color w:val="auto"/>
                <w:sz w:val="21"/>
                <w:szCs w:val="21"/>
                <w:lang w:val="en-US" w:eastAsia="zh-CN" w:bidi="ar"/>
              </w:rPr>
              <w:t>线道路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54</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单挑灯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49</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大尖子隧道连接线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55</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2"/>
                <w:rFonts w:hint="default" w:ascii="Times New Roman" w:hAnsi="Times New Roman" w:eastAsia="宋体" w:cs="Times New Roman"/>
                <w:color w:val="auto"/>
                <w:sz w:val="21"/>
                <w:szCs w:val="21"/>
                <w:lang w:val="en-US" w:eastAsia="zh-CN" w:bidi="ar"/>
              </w:rPr>
              <w:t>玉兰灯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360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L连接线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56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变压器箱体水晶雕刻字样</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5.4*3m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梨树坪湿地公园游客中心旁变压器箱体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57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cs="Times New Roman"/>
                <w:color w:val="auto"/>
                <w:sz w:val="21"/>
                <w:szCs w:val="21"/>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7*3.5*0.3m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梨树坪湿地公园景观台处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58</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5"/>
                <w:rFonts w:hint="default" w:ascii="Times New Roman" w:hAnsi="Times New Roman" w:eastAsia="宋体" w:cs="Times New Roman"/>
                <w:color w:val="auto"/>
                <w:sz w:val="21"/>
                <w:szCs w:val="21"/>
                <w:lang w:val="en-US" w:eastAsia="zh-CN" w:bidi="ar"/>
              </w:rPr>
              <w:t>LED</w:t>
            </w:r>
            <w:r>
              <w:rPr>
                <w:rStyle w:val="21"/>
                <w:rFonts w:hint="default" w:ascii="Times New Roman" w:hAnsi="Times New Roman" w:eastAsia="宋体" w:cs="Times New Roman"/>
                <w:color w:val="auto"/>
                <w:sz w:val="21"/>
                <w:szCs w:val="21"/>
                <w:lang w:val="en-US" w:eastAsia="zh-CN" w:bidi="ar"/>
              </w:rPr>
              <w:t>显示屏</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22.4*1.28m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梨树坪湿地公园二期公厕顶端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sz w:val="21"/>
                <w:szCs w:val="21"/>
                <w:u w:val="none"/>
                <w:lang w:val="en-US" w:eastAsia="zh-CN"/>
              </w:rPr>
              <w:t>59</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广告立牌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0.8*3*0.13m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梨树坪湿地公园游步道沿线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60</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1.2*2.5*0.13m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长田大道东延线，火烽山隧道出口至梨树坪湿地公园入口路段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61</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cs="Times New Roman"/>
                <w:color w:val="auto"/>
                <w:sz w:val="21"/>
                <w:szCs w:val="21"/>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8*5.5m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环城路达竹加油站路口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62</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32*8m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营达高速铁山出口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63</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单立柱</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5"/>
                <w:rFonts w:hint="default" w:ascii="Times New Roman" w:hAnsi="Times New Roman" w:eastAsia="宋体" w:cs="Times New Roman"/>
                <w:color w:val="auto"/>
                <w:sz w:val="21"/>
                <w:szCs w:val="21"/>
                <w:lang w:val="en-US" w:eastAsia="zh-CN" w:bidi="ar"/>
              </w:rPr>
              <w:t>21*7.2m</w:t>
            </w:r>
            <w:r>
              <w:rPr>
                <w:rStyle w:val="21"/>
                <w:rFonts w:hint="default" w:ascii="Times New Roman" w:hAnsi="Times New Roman" w:eastAsia="宋体" w:cs="Times New Roman"/>
                <w:color w:val="auto"/>
                <w:sz w:val="21"/>
                <w:szCs w:val="21"/>
                <w:lang w:val="en-US" w:eastAsia="zh-CN" w:bidi="ar"/>
              </w:rPr>
              <w:t>，柱子高</w:t>
            </w:r>
            <w:r>
              <w:rPr>
                <w:rStyle w:val="65"/>
                <w:rFonts w:hint="default" w:ascii="Times New Roman" w:hAnsi="Times New Roman" w:eastAsia="宋体" w:cs="Times New Roman"/>
                <w:color w:val="auto"/>
                <w:sz w:val="21"/>
                <w:szCs w:val="21"/>
                <w:lang w:val="en-US" w:eastAsia="zh-CN" w:bidi="ar"/>
              </w:rPr>
              <w:t>8m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营达高速金垭出口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64</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路灯灯杆广告牌（道旗）</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1006</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3m*1m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高新区主干道（不含乡镇）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65</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单立柱</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w:t>
            </w: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石板街道办事处办公大楼外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rPr>
            </w:pPr>
            <w:r>
              <w:rPr>
                <w:rFonts w:hint="default" w:ascii="Times New Roman" w:hAnsi="Times New Roman" w:eastAsia="宋体" w:cs="Times New Roman"/>
                <w:i w:val="0"/>
                <w:iCs w:val="0"/>
                <w:color w:val="auto"/>
                <w:kern w:val="0"/>
                <w:sz w:val="21"/>
                <w:szCs w:val="21"/>
                <w:u w:val="none"/>
                <w:lang w:val="en-US" w:eastAsia="zh-CN" w:bidi="ar"/>
              </w:rPr>
              <w:t>66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跨路门头</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w:t>
            </w:r>
            <w:r>
              <w:rPr>
                <w:rStyle w:val="66"/>
                <w:rFonts w:hint="default" w:ascii="Times New Roman" w:hAnsi="Times New Roman" w:eastAsia="宋体" w:cs="Times New Roman"/>
                <w:color w:val="auto"/>
                <w:sz w:val="21"/>
                <w:szCs w:val="21"/>
                <w:lang w:val="en-US" w:eastAsia="zh-CN" w:bidi="ar"/>
              </w:rPr>
              <w:t>G210</w:t>
            </w:r>
            <w:r>
              <w:rPr>
                <w:rStyle w:val="16"/>
                <w:rFonts w:hint="default" w:ascii="Times New Roman" w:hAnsi="Times New Roman" w:eastAsia="宋体" w:cs="Times New Roman"/>
                <w:color w:val="auto"/>
                <w:sz w:val="21"/>
                <w:szCs w:val="21"/>
                <w:lang w:val="en-US" w:eastAsia="zh-CN" w:bidi="ar"/>
              </w:rPr>
              <w:t>四凌桥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w:t>
            </w:r>
            <w:r>
              <w:rPr>
                <w:rFonts w:hint="default" w:ascii="Times New Roman" w:hAnsi="Times New Roman" w:cs="Times New Roman"/>
                <w:i w:val="0"/>
                <w:iCs w:val="0"/>
                <w:color w:val="auto"/>
                <w:kern w:val="0"/>
                <w:sz w:val="21"/>
                <w:szCs w:val="21"/>
                <w:u w:val="none"/>
                <w:lang w:val="en-US" w:eastAsia="zh-CN" w:bidi="ar"/>
              </w:rPr>
              <w:t>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灯杆广告（道旗）</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0.5m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9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68</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cs="Times New Roman"/>
                <w:color w:val="auto"/>
                <w:sz w:val="21"/>
                <w:szCs w:val="21"/>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石板街道三牌社区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right="0" w:rightChars="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kern w:val="0"/>
                <w:sz w:val="21"/>
                <w:szCs w:val="21"/>
                <w:u w:val="none"/>
                <w:lang w:val="en-US" w:eastAsia="zh-CN" w:bidi="ar"/>
              </w:rPr>
              <w:t>69</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石板街道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70</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电杆道旗</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7"/>
                <w:rFonts w:hint="default" w:ascii="Times New Roman" w:hAnsi="Times New Roman" w:eastAsia="宋体" w:cs="Times New Roman"/>
                <w:color w:val="auto"/>
                <w:sz w:val="21"/>
                <w:szCs w:val="21"/>
                <w:lang w:val="en-US" w:eastAsia="zh-CN" w:bidi="ar"/>
              </w:rPr>
              <w:t>2*0.6*4</w:t>
            </w:r>
            <w:r>
              <w:rPr>
                <w:rFonts w:hint="default" w:ascii="Times New Roman" w:hAnsi="Times New Roman" w:eastAsia="宋体" w:cs="Times New Roman"/>
                <w:i w:val="0"/>
                <w:iCs w:val="0"/>
                <w:color w:val="auto"/>
                <w:kern w:val="0"/>
                <w:sz w:val="21"/>
                <w:szCs w:val="21"/>
                <w:u w:val="none"/>
                <w:lang w:val="en-US" w:eastAsia="zh-CN" w:bidi="ar"/>
              </w:rPr>
              <w:t>m</w:t>
            </w:r>
          </w:p>
        </w:tc>
        <w:tc>
          <w:tcPr>
            <w:tcW w:w="2276"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河市场镇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71</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3*2m</w:t>
            </w:r>
          </w:p>
        </w:tc>
        <w:tc>
          <w:tcPr>
            <w:tcW w:w="22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32"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72</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6*3m</w:t>
            </w:r>
          </w:p>
        </w:tc>
        <w:tc>
          <w:tcPr>
            <w:tcW w:w="2276"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51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73</w:t>
            </w:r>
          </w:p>
        </w:tc>
        <w:tc>
          <w:tcPr>
            <w:tcW w:w="7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双立柱</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8*4m</w:t>
            </w:r>
          </w:p>
        </w:tc>
        <w:tc>
          <w:tcPr>
            <w:tcW w:w="2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斌郎街道桥坝社区、斌郎社区、河东社区、龙坪村、郑家村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74</w:t>
            </w:r>
          </w:p>
        </w:tc>
        <w:tc>
          <w:tcPr>
            <w:tcW w:w="7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跨路门头</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9"/>
                <w:rFonts w:hint="default" w:ascii="Times New Roman" w:hAnsi="Times New Roman" w:eastAsia="宋体" w:cs="Times New Roman"/>
                <w:color w:val="auto"/>
                <w:sz w:val="21"/>
                <w:szCs w:val="21"/>
                <w:lang w:val="en-US" w:eastAsia="zh-CN" w:bidi="ar"/>
              </w:rPr>
              <w:t>斌郎街道堰坝老</w:t>
            </w:r>
            <w:r>
              <w:rPr>
                <w:rStyle w:val="66"/>
                <w:rFonts w:hint="default" w:ascii="Times New Roman" w:hAnsi="Times New Roman" w:eastAsia="宋体" w:cs="Times New Roman"/>
                <w:color w:val="auto"/>
                <w:sz w:val="21"/>
                <w:szCs w:val="21"/>
                <w:lang w:val="en-US" w:eastAsia="zh-CN" w:bidi="ar"/>
              </w:rPr>
              <w:t>210</w:t>
            </w:r>
            <w:r>
              <w:rPr>
                <w:rStyle w:val="69"/>
                <w:rFonts w:hint="default" w:ascii="Times New Roman" w:hAnsi="Times New Roman" w:eastAsia="宋体" w:cs="Times New Roman"/>
                <w:color w:val="auto"/>
                <w:sz w:val="21"/>
                <w:szCs w:val="21"/>
                <w:lang w:val="en-US" w:eastAsia="zh-CN" w:bidi="ar"/>
              </w:rPr>
              <w:t>国道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75</w:t>
            </w:r>
          </w:p>
        </w:tc>
        <w:tc>
          <w:tcPr>
            <w:tcW w:w="7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16"/>
                <w:rFonts w:hint="default" w:ascii="Times New Roman" w:hAnsi="Times New Roman" w:eastAsia="宋体" w:cs="Times New Roman"/>
                <w:color w:val="auto"/>
                <w:sz w:val="21"/>
                <w:szCs w:val="21"/>
                <w:lang w:val="en-US" w:eastAsia="zh-CN" w:bidi="ar"/>
              </w:rPr>
              <w:t>灯杆广告（道旗）</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110</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1.44*0.96m</w:t>
            </w:r>
          </w:p>
        </w:tc>
        <w:tc>
          <w:tcPr>
            <w:tcW w:w="2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斌郎街道老街场镇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76</w:t>
            </w:r>
          </w:p>
        </w:tc>
        <w:tc>
          <w:tcPr>
            <w:tcW w:w="7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20</w:t>
            </w:r>
          </w:p>
        </w:tc>
        <w:tc>
          <w:tcPr>
            <w:tcW w:w="37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6*3m</w:t>
            </w:r>
          </w:p>
        </w:tc>
        <w:tc>
          <w:tcPr>
            <w:tcW w:w="22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0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21"/>
                <w:rFonts w:hint="default" w:ascii="Times New Roman" w:hAnsi="Times New Roman" w:eastAsia="宋体" w:cs="Times New Roman"/>
                <w:color w:val="auto"/>
                <w:sz w:val="21"/>
                <w:szCs w:val="21"/>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2*1m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斌郎街道辖区公路沿线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78</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路灯灯杆广告</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180×60㎝</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中心村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79</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金鱼村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80</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金通村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81</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青竹村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82</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175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水口社区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83</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95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金垭社区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84</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四岩村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85</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155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磴子河社区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86</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135</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木子社区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87</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14</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塔光村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88</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89</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真山村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90</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127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金牛村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91</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覃家坝社区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92</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30</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工人村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93</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火炭岩村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94</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88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794"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金山村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95</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高炮广告牌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万阁社区</w:t>
            </w:r>
            <w:r>
              <w:rPr>
                <w:rStyle w:val="67"/>
                <w:rFonts w:hint="default" w:ascii="Times New Roman" w:hAnsi="Times New Roman" w:eastAsia="宋体" w:cs="Times New Roman"/>
                <w:color w:val="auto"/>
                <w:sz w:val="21"/>
                <w:szCs w:val="21"/>
                <w:lang w:val="en-US" w:eastAsia="zh-CN" w:bidi="ar"/>
              </w:rPr>
              <w:t>16</w:t>
            </w:r>
            <w:r>
              <w:rPr>
                <w:rStyle w:val="68"/>
                <w:rFonts w:hint="default" w:ascii="Times New Roman" w:hAnsi="Times New Roman" w:eastAsia="宋体" w:cs="Times New Roman"/>
                <w:color w:val="auto"/>
                <w:sz w:val="21"/>
                <w:szCs w:val="21"/>
                <w:lang w:val="en-US" w:eastAsia="zh-CN" w:bidi="ar"/>
              </w:rPr>
              <w:t>组（岗亭）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54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96</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路牌广告</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辉山村</w:t>
            </w:r>
            <w:r>
              <w:rPr>
                <w:rStyle w:val="67"/>
                <w:rFonts w:hint="default" w:ascii="Times New Roman" w:hAnsi="Times New Roman" w:eastAsia="宋体" w:cs="Times New Roman"/>
                <w:color w:val="auto"/>
                <w:sz w:val="21"/>
                <w:szCs w:val="21"/>
                <w:lang w:val="en-US" w:eastAsia="zh-CN" w:bidi="ar"/>
              </w:rPr>
              <w:t>3</w:t>
            </w:r>
            <w:r>
              <w:rPr>
                <w:rStyle w:val="68"/>
                <w:rFonts w:hint="default" w:ascii="Times New Roman" w:hAnsi="Times New Roman" w:eastAsia="宋体" w:cs="Times New Roman"/>
                <w:color w:val="auto"/>
                <w:sz w:val="21"/>
                <w:szCs w:val="21"/>
                <w:lang w:val="en-US" w:eastAsia="zh-CN" w:bidi="ar"/>
              </w:rPr>
              <w:t>组（高速出口）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97</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路灯</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258</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3*1m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8"/>
                <w:rFonts w:hint="default" w:ascii="Times New Roman" w:hAnsi="Times New Roman" w:eastAsia="宋体" w:cs="Times New Roman"/>
                <w:color w:val="auto"/>
                <w:sz w:val="21"/>
                <w:szCs w:val="21"/>
                <w:lang w:val="en-US" w:eastAsia="zh-CN" w:bidi="ar"/>
              </w:rPr>
              <w:t>幺塘街道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98</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67"/>
                <w:rFonts w:hint="default" w:ascii="Times New Roman" w:hAnsi="Times New Roman" w:eastAsia="宋体" w:cs="Times New Roman"/>
                <w:color w:val="auto"/>
                <w:sz w:val="21"/>
                <w:szCs w:val="21"/>
                <w:lang w:val="en-US" w:eastAsia="zh-CN" w:bidi="ar"/>
              </w:rPr>
              <w:t>3+1</w:t>
            </w:r>
            <w:r>
              <w:rPr>
                <w:rStyle w:val="70"/>
                <w:rFonts w:hint="default" w:ascii="Times New Roman" w:hAnsi="Times New Roman" w:eastAsia="宋体" w:cs="Times New Roman"/>
                <w:color w:val="auto"/>
                <w:sz w:val="21"/>
                <w:szCs w:val="21"/>
                <w:lang w:val="en-US" w:eastAsia="zh-CN" w:bidi="ar"/>
              </w:rPr>
              <w:t>公交站台</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2835*1800*280mm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高新区创兴大道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99</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2835*1800*281mm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高新区创业四街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100</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2835*1800*282mm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长田大道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101</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2835*1800*283mm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长田大道中段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102</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2835*1800*284mm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金龙大道七河路口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103</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2835*1800*285mm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创业一街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375"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104</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 xml:space="preserve">2835*1800*286mm  </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70"/>
                <w:rFonts w:hint="default" w:ascii="Times New Roman" w:hAnsi="Times New Roman" w:eastAsia="宋体" w:cs="Times New Roman"/>
                <w:color w:val="auto"/>
                <w:sz w:val="21"/>
                <w:szCs w:val="21"/>
                <w:lang w:val="en-US" w:eastAsia="zh-CN" w:bidi="ar"/>
              </w:rPr>
              <w:t>创业四街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105</w:t>
            </w:r>
          </w:p>
        </w:tc>
        <w:tc>
          <w:tcPr>
            <w:tcW w:w="739"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户外广告牌</w:t>
            </w: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5*2m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高新区长田斌郎街道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106</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16*7.6m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高新区长田斌郎街道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eastAsia="宋体" w:cs="Times New Roman"/>
                <w:i w:val="0"/>
                <w:iCs w:val="0"/>
                <w:color w:val="auto"/>
                <w:kern w:val="0"/>
                <w:sz w:val="21"/>
                <w:szCs w:val="21"/>
                <w:u w:val="none"/>
                <w:lang w:val="en-US" w:eastAsia="zh-CN" w:bidi="ar"/>
              </w:rPr>
              <w:t>107</w:t>
            </w:r>
          </w:p>
        </w:tc>
        <w:tc>
          <w:tcPr>
            <w:tcW w:w="739"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i w:val="0"/>
                <w:iCs w:val="0"/>
                <w:color w:val="auto"/>
                <w:sz w:val="21"/>
                <w:szCs w:val="21"/>
                <w:u w:val="none"/>
              </w:rPr>
            </w:pPr>
          </w:p>
        </w:tc>
        <w:tc>
          <w:tcPr>
            <w:tcW w:w="14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0.5m</w:t>
            </w:r>
          </w:p>
        </w:tc>
        <w:tc>
          <w:tcPr>
            <w:tcW w:w="22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高新区斌郎街道河东街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8" w:type="pct"/>
          <w:trHeight w:val="270" w:hRule="atLeast"/>
        </w:trPr>
        <w:tc>
          <w:tcPr>
            <w:tcW w:w="40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合计</w:t>
            </w:r>
          </w:p>
        </w:tc>
        <w:tc>
          <w:tcPr>
            <w:tcW w:w="739"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1"/>
                <w:szCs w:val="21"/>
                <w:u w:val="none"/>
              </w:rPr>
            </w:pPr>
          </w:p>
        </w:tc>
        <w:tc>
          <w:tcPr>
            <w:tcW w:w="4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6947</w:t>
            </w:r>
          </w:p>
        </w:tc>
        <w:tc>
          <w:tcPr>
            <w:tcW w:w="3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eastAsia="zh-CN"/>
              </w:rPr>
            </w:pPr>
            <w:r>
              <w:rPr>
                <w:rFonts w:hint="default" w:ascii="Times New Roman" w:hAnsi="Times New Roman" w:cs="Times New Roman"/>
                <w:i w:val="0"/>
                <w:iCs w:val="0"/>
                <w:color w:val="auto"/>
                <w:sz w:val="21"/>
                <w:szCs w:val="21"/>
                <w:u w:val="none"/>
                <w:lang w:val="en-US" w:eastAsia="zh-CN"/>
              </w:rPr>
              <w:t>17</w:t>
            </w:r>
          </w:p>
        </w:tc>
        <w:tc>
          <w:tcPr>
            <w:tcW w:w="794"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1"/>
                <w:szCs w:val="21"/>
                <w:u w:val="none"/>
              </w:rPr>
            </w:pPr>
          </w:p>
        </w:tc>
        <w:tc>
          <w:tcPr>
            <w:tcW w:w="2276" w:type="pct"/>
            <w:tcBorders>
              <w:top w:val="single" w:color="000000" w:sz="4" w:space="0"/>
              <w:left w:val="single" w:color="000000" w:sz="4" w:space="0"/>
              <w:bottom w:val="single" w:color="000000" w:sz="4" w:space="0"/>
              <w:right w:val="single" w:color="000000" w:sz="4" w:space="0"/>
            </w:tcBorders>
            <w:noWrap/>
            <w:vAlign w:val="center"/>
          </w:tcPr>
          <w:p>
            <w:pPr>
              <w:rPr>
                <w:rFonts w:hint="default" w:ascii="Times New Roman" w:hAnsi="Times New Roman" w:eastAsia="宋体" w:cs="Times New Roman"/>
                <w:i w:val="0"/>
                <w:iCs w:val="0"/>
                <w:color w:val="auto"/>
                <w:sz w:val="21"/>
                <w:szCs w:val="21"/>
                <w:u w:val="none"/>
              </w:rPr>
            </w:pPr>
          </w:p>
        </w:tc>
      </w:tr>
    </w:tbl>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出</w:t>
      </w:r>
      <w:r>
        <w:rPr>
          <w:rFonts w:hint="eastAsia" w:ascii="黑体" w:hAnsi="黑体" w:eastAsia="黑体" w:cs="黑体"/>
          <w:sz w:val="32"/>
          <w:szCs w:val="32"/>
        </w:rPr>
        <w:t>让价款、经营权移交</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根据《成交确认书》，</w:t>
      </w:r>
      <w:r>
        <w:rPr>
          <w:rFonts w:hint="default" w:ascii="Times New Roman" w:hAnsi="Times New Roman" w:eastAsia="方正仿宋_GBK" w:cs="Times New Roman"/>
          <w:sz w:val="32"/>
          <w:szCs w:val="32"/>
          <w:lang w:eastAsia="zh-CN"/>
        </w:rPr>
        <w:t>达州高新区</w:t>
      </w:r>
      <w:r>
        <w:rPr>
          <w:rFonts w:hint="default" w:ascii="Times New Roman" w:hAnsi="Times New Roman" w:eastAsia="方正仿宋_GBK" w:cs="Times New Roman"/>
          <w:sz w:val="32"/>
          <w:szCs w:val="32"/>
        </w:rPr>
        <w:t>广告位</w:t>
      </w:r>
      <w:r>
        <w:rPr>
          <w:rFonts w:hint="default" w:ascii="Times New Roman" w:hAnsi="Times New Roman" w:eastAsia="方正仿宋_GBK" w:cs="Times New Roman"/>
          <w:sz w:val="32"/>
          <w:szCs w:val="32"/>
          <w:lang w:val="en-US" w:eastAsia="zh-CN"/>
        </w:rPr>
        <w:t>经营权出让系市政公共资源</w:t>
      </w:r>
      <w:r>
        <w:rPr>
          <w:rFonts w:hint="default" w:ascii="Times New Roman" w:hAnsi="Times New Roman" w:eastAsia="方正仿宋_GBK" w:cs="Times New Roman"/>
          <w:sz w:val="32"/>
          <w:szCs w:val="32"/>
        </w:rPr>
        <w:t>有偿</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让，成交价即为经营权</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让价，该</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让价款为           人民币（￥________元），</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让价款由乙方</w:t>
      </w:r>
      <w:r>
        <w:rPr>
          <w:rFonts w:hint="default" w:ascii="Times New Roman" w:hAnsi="Times New Roman" w:eastAsia="方正仿宋_GBK" w:cs="Times New Roman"/>
          <w:sz w:val="32"/>
          <w:szCs w:val="32"/>
          <w:lang w:val="en-US" w:eastAsia="zh-CN"/>
        </w:rPr>
        <w:t>支付至</w:t>
      </w:r>
      <w:r>
        <w:rPr>
          <w:rFonts w:hint="default" w:ascii="Times New Roman" w:hAnsi="Times New Roman" w:eastAsia="方正仿宋_GBK" w:cs="Times New Roman"/>
          <w:sz w:val="32"/>
          <w:szCs w:val="32"/>
        </w:rPr>
        <w:t>甲方指定账户。</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甲方</w:t>
      </w:r>
      <w:r>
        <w:rPr>
          <w:rFonts w:hint="default" w:ascii="Times New Roman" w:hAnsi="Times New Roman" w:eastAsia="方正仿宋_GBK" w:cs="Times New Roman"/>
          <w:sz w:val="32"/>
          <w:szCs w:val="32"/>
          <w:lang w:val="en-US" w:eastAsia="zh-CN"/>
        </w:rPr>
        <w:t>指定账户</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户名：</w:t>
      </w:r>
      <w:r>
        <w:rPr>
          <w:rFonts w:hint="default" w:ascii="Times New Roman" w:hAnsi="Times New Roman" w:eastAsia="方正仿宋_GBK" w:cs="Times New Roman"/>
          <w:sz w:val="32"/>
          <w:szCs w:val="32"/>
          <w:lang w:eastAsia="zh-CN"/>
        </w:rPr>
        <w:t>达州高新区经济合作服务中心</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开户行：</w:t>
      </w:r>
      <w:r>
        <w:rPr>
          <w:rFonts w:hint="default" w:ascii="Times New Roman" w:hAnsi="Times New Roman" w:eastAsia="方正仿宋_GBK" w:cs="Times New Roman"/>
          <w:sz w:val="32"/>
          <w:szCs w:val="32"/>
          <w:lang w:eastAsia="zh-CN"/>
        </w:rPr>
        <w:t>中国建设银行股份有限公司达州经开区支行</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账号：</w:t>
      </w:r>
      <w:r>
        <w:rPr>
          <w:rFonts w:hint="default" w:ascii="Times New Roman" w:hAnsi="Times New Roman" w:eastAsia="方正仿宋_GBK" w:cs="Times New Roman"/>
          <w:sz w:val="32"/>
          <w:szCs w:val="32"/>
          <w:lang w:val="en-US" w:eastAsia="zh-CN"/>
        </w:rPr>
        <w:t>51050110296600000189</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自本合同签订之日起，</w:t>
      </w:r>
      <w:r>
        <w:rPr>
          <w:rFonts w:hint="default" w:ascii="Times New Roman" w:hAnsi="Times New Roman" w:eastAsia="方正仿宋_GBK" w:cs="Times New Roman"/>
          <w:sz w:val="32"/>
          <w:szCs w:val="32"/>
        </w:rPr>
        <w:t>乙方</w:t>
      </w:r>
      <w:r>
        <w:rPr>
          <w:rFonts w:hint="default" w:ascii="Times New Roman" w:hAnsi="Times New Roman" w:eastAsia="方正仿宋_GBK" w:cs="Times New Roman"/>
          <w:sz w:val="32"/>
          <w:szCs w:val="32"/>
          <w:lang w:val="en-US" w:eastAsia="zh-CN"/>
        </w:rPr>
        <w:t>已缴纳</w:t>
      </w:r>
      <w:r>
        <w:rPr>
          <w:rFonts w:hint="default" w:ascii="Times New Roman" w:hAnsi="Times New Roman" w:eastAsia="方正仿宋_GBK" w:cs="Times New Roman"/>
          <w:sz w:val="32"/>
          <w:szCs w:val="32"/>
        </w:rPr>
        <w:t>竞买保证金</w:t>
      </w:r>
      <w:r>
        <w:rPr>
          <w:rFonts w:hint="default" w:ascii="Times New Roman" w:hAnsi="Times New Roman" w:eastAsia="方正仿宋_GBK" w:cs="Times New Roman"/>
          <w:sz w:val="32"/>
          <w:szCs w:val="32"/>
          <w:lang w:val="en-US" w:eastAsia="zh-CN"/>
        </w:rPr>
        <w:t xml:space="preserve">    元即</w:t>
      </w:r>
      <w:r>
        <w:rPr>
          <w:rFonts w:hint="default" w:ascii="Times New Roman" w:hAnsi="Times New Roman" w:eastAsia="方正仿宋_GBK" w:cs="Times New Roman"/>
          <w:sz w:val="32"/>
          <w:szCs w:val="32"/>
        </w:rPr>
        <w:t>转为履约保证金。</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乙方须在202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年___月___日前</w:t>
      </w:r>
      <w:r>
        <w:rPr>
          <w:rFonts w:hint="default" w:ascii="Times New Roman" w:hAnsi="Times New Roman" w:eastAsia="方正仿宋_GBK" w:cs="Times New Roman"/>
          <w:sz w:val="32"/>
          <w:szCs w:val="32"/>
          <w:lang w:val="en-US" w:eastAsia="zh-CN"/>
        </w:rPr>
        <w:t>向甲方按成交价的20%支付</w:t>
      </w:r>
      <w:r>
        <w:rPr>
          <w:rFonts w:hint="default" w:ascii="Times New Roman" w:hAnsi="Times New Roman" w:eastAsia="方正仿宋_GBK" w:cs="Times New Roman"/>
          <w:sz w:val="32"/>
          <w:szCs w:val="32"/>
        </w:rPr>
        <w:t>首期</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让</w:t>
      </w:r>
      <w:r>
        <w:rPr>
          <w:rFonts w:hint="default" w:ascii="Times New Roman" w:hAnsi="Times New Roman" w:eastAsia="方正仿宋_GBK" w:cs="Times New Roman"/>
          <w:sz w:val="32"/>
          <w:szCs w:val="32"/>
          <w:lang w:val="en-US" w:eastAsia="zh-CN"/>
        </w:rPr>
        <w:t>价</w:t>
      </w:r>
      <w:r>
        <w:rPr>
          <w:rFonts w:hint="default" w:ascii="Times New Roman" w:hAnsi="Times New Roman" w:eastAsia="方正仿宋_GBK" w:cs="Times New Roman"/>
          <w:sz w:val="32"/>
          <w:szCs w:val="32"/>
        </w:rPr>
        <w:t>款</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合同签订</w:t>
      </w:r>
      <w:r>
        <w:rPr>
          <w:rFonts w:hint="default" w:ascii="Times New Roman" w:hAnsi="Times New Roman" w:eastAsia="方正仿宋_GBK" w:cs="Times New Roman"/>
          <w:sz w:val="32"/>
          <w:szCs w:val="32"/>
        </w:rPr>
        <w:t>后10个工作日内，甲方按现状</w:t>
      </w:r>
      <w:r>
        <w:rPr>
          <w:rFonts w:hint="default" w:ascii="Times New Roman" w:hAnsi="Times New Roman" w:eastAsia="方正仿宋_GBK" w:cs="Times New Roman"/>
          <w:sz w:val="32"/>
          <w:szCs w:val="32"/>
          <w:lang w:val="en-US" w:eastAsia="zh-CN"/>
        </w:rPr>
        <w:t>将</w:t>
      </w:r>
      <w:r>
        <w:rPr>
          <w:rFonts w:hint="default" w:ascii="Times New Roman" w:hAnsi="Times New Roman" w:eastAsia="方正仿宋_GBK" w:cs="Times New Roman"/>
          <w:sz w:val="32"/>
          <w:szCs w:val="32"/>
        </w:rPr>
        <w:t>达州高新区广告位清单</w:t>
      </w:r>
      <w:r>
        <w:rPr>
          <w:rFonts w:hint="default" w:ascii="Times New Roman" w:hAnsi="Times New Roman" w:eastAsia="方正仿宋_GBK" w:cs="Times New Roman"/>
          <w:sz w:val="32"/>
          <w:szCs w:val="32"/>
          <w:lang w:val="en-US" w:eastAsia="zh-CN"/>
        </w:rPr>
        <w:t>内</w:t>
      </w:r>
      <w:r>
        <w:rPr>
          <w:rFonts w:hint="default" w:ascii="Times New Roman" w:hAnsi="Times New Roman" w:eastAsia="方正仿宋_GBK" w:cs="Times New Roman"/>
          <w:sz w:val="32"/>
          <w:szCs w:val="32"/>
        </w:rPr>
        <w:t>广告位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统称为“</w:t>
      </w:r>
      <w:r>
        <w:rPr>
          <w:rFonts w:hint="default" w:ascii="Times New Roman" w:hAnsi="Times New Roman" w:eastAsia="方正仿宋_GBK" w:cs="Times New Roman"/>
          <w:sz w:val="32"/>
          <w:szCs w:val="32"/>
        </w:rPr>
        <w:t>达州高新区广告位</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移交给乙方</w:t>
      </w:r>
      <w:r>
        <w:rPr>
          <w:rFonts w:hint="default" w:ascii="Times New Roman" w:hAnsi="Times New Roman" w:eastAsia="方正仿宋_GBK" w:cs="Times New Roman"/>
          <w:sz w:val="32"/>
          <w:szCs w:val="32"/>
          <w:lang w:val="en-US" w:eastAsia="zh-CN"/>
        </w:rPr>
        <w:t>进行</w:t>
      </w:r>
      <w:r>
        <w:rPr>
          <w:rFonts w:hint="default" w:ascii="Times New Roman" w:hAnsi="Times New Roman" w:eastAsia="方正仿宋_GBK" w:cs="Times New Roman"/>
          <w:sz w:val="32"/>
          <w:szCs w:val="32"/>
        </w:rPr>
        <w:t>经营。在2023年___月___日前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乙方须向甲方支付完毕剩余出让价款</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三、广告位</w:t>
      </w:r>
      <w:r>
        <w:rPr>
          <w:rFonts w:hint="eastAsia" w:ascii="黑体" w:hAnsi="黑体" w:eastAsia="黑体" w:cs="黑体"/>
          <w:sz w:val="32"/>
          <w:szCs w:val="32"/>
          <w:lang w:val="en-US" w:eastAsia="zh-CN"/>
        </w:rPr>
        <w:t>特许</w:t>
      </w:r>
      <w:r>
        <w:rPr>
          <w:rFonts w:hint="eastAsia" w:ascii="黑体" w:hAnsi="黑体" w:eastAsia="黑体" w:cs="黑体"/>
          <w:sz w:val="32"/>
          <w:szCs w:val="32"/>
        </w:rPr>
        <w:t>经营权相关约定</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乙方发布广告应自行按流程报批、合法发布并承担制作费用。</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转让广告</w:t>
      </w:r>
      <w:r>
        <w:rPr>
          <w:rFonts w:hint="default" w:ascii="Times New Roman" w:hAnsi="Times New Roman" w:eastAsia="方正仿宋_GBK" w:cs="Times New Roman"/>
          <w:sz w:val="32"/>
          <w:szCs w:val="32"/>
          <w:lang w:val="en-US" w:eastAsia="zh-CN"/>
        </w:rPr>
        <w:t>位</w:t>
      </w:r>
      <w:r>
        <w:rPr>
          <w:rFonts w:hint="default" w:ascii="Times New Roman" w:hAnsi="Times New Roman" w:eastAsia="方正仿宋_GBK" w:cs="Times New Roman"/>
          <w:sz w:val="32"/>
          <w:szCs w:val="32"/>
        </w:rPr>
        <w:t>特许经营权及乙方经营中产生的各种税费，按</w:t>
      </w:r>
      <w:r>
        <w:rPr>
          <w:rFonts w:hint="default" w:ascii="Times New Roman" w:hAnsi="Times New Roman" w:eastAsia="方正仿宋_GBK" w:cs="Times New Roman"/>
          <w:sz w:val="32"/>
          <w:szCs w:val="32"/>
          <w:lang w:val="en-US" w:eastAsia="zh-CN"/>
        </w:rPr>
        <w:t>照</w:t>
      </w:r>
      <w:r>
        <w:rPr>
          <w:rFonts w:hint="default" w:ascii="Times New Roman" w:hAnsi="Times New Roman" w:eastAsia="方正仿宋_GBK" w:cs="Times New Roman"/>
          <w:sz w:val="32"/>
          <w:szCs w:val="32"/>
        </w:rPr>
        <w:t>国家相关规定</w:t>
      </w:r>
      <w:r>
        <w:rPr>
          <w:rFonts w:hint="default" w:ascii="Times New Roman" w:hAnsi="Times New Roman" w:eastAsia="方正仿宋_GBK" w:cs="Times New Roman"/>
          <w:sz w:val="32"/>
          <w:szCs w:val="32"/>
          <w:lang w:eastAsia="zh-CN"/>
        </w:rPr>
        <w:t>由乙方</w:t>
      </w:r>
      <w:r>
        <w:rPr>
          <w:rFonts w:hint="default" w:ascii="Times New Roman" w:hAnsi="Times New Roman" w:eastAsia="方正仿宋_GBK" w:cs="Times New Roman"/>
          <w:sz w:val="32"/>
          <w:szCs w:val="32"/>
        </w:rPr>
        <w:t>交纳并承担相应税费。</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sz w:val="32"/>
          <w:szCs w:val="32"/>
          <w:lang w:val="en-US" w:eastAsia="zh-CN"/>
        </w:rPr>
        <w:t xml:space="preserve">   （三）</w:t>
      </w:r>
      <w:r>
        <w:rPr>
          <w:rFonts w:hint="default" w:ascii="Times New Roman" w:hAnsi="Times New Roman" w:eastAsia="方正仿宋_GBK" w:cs="Times New Roman"/>
          <w:color w:val="auto"/>
          <w:spacing w:val="0"/>
          <w:sz w:val="32"/>
          <w:szCs w:val="32"/>
          <w:lang w:val="en-US" w:eastAsia="zh-CN" w:bidi="ar-SA"/>
        </w:rPr>
        <w:t>因乙方擅自改变广告位用途或管理不善而导致广告位设施损毁的，由乙方承担包括维修、赔偿在内等法律责任。</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（四）</w:t>
      </w:r>
      <w:r>
        <w:rPr>
          <w:rFonts w:hint="default" w:ascii="Times New Roman" w:hAnsi="Times New Roman" w:eastAsia="方正仿宋_GBK" w:cs="Times New Roman"/>
          <w:color w:val="auto"/>
          <w:spacing w:val="0"/>
          <w:sz w:val="32"/>
          <w:szCs w:val="32"/>
          <w:lang w:val="en-US" w:eastAsia="zh-CN" w:bidi="ar-SA"/>
        </w:rPr>
        <w:t>特许经营期限内，</w:t>
      </w:r>
      <w:r>
        <w:rPr>
          <w:rFonts w:hint="default" w:ascii="Times New Roman" w:hAnsi="Times New Roman" w:eastAsia="方正仿宋_GBK" w:cs="Times New Roman"/>
          <w:spacing w:val="0"/>
          <w:sz w:val="32"/>
          <w:szCs w:val="32"/>
          <w:lang w:val="en-US" w:eastAsia="zh-CN" w:bidi="ar-SA"/>
        </w:rPr>
        <w:t>因城市建设、公共服务等公共利益需要收回或拆除的广告位的，乙方须无条件予以支持与配合，乙方有权依法获得相应补偿，</w:t>
      </w:r>
      <w:r>
        <w:rPr>
          <w:rFonts w:hint="default" w:ascii="Times New Roman" w:hAnsi="Times New Roman" w:eastAsia="方正仿宋_GBK" w:cs="Times New Roman"/>
          <w:color w:val="auto"/>
          <w:spacing w:val="0"/>
          <w:sz w:val="32"/>
          <w:szCs w:val="32"/>
          <w:lang w:val="en-US" w:eastAsia="zh-CN" w:bidi="ar-SA"/>
        </w:rPr>
        <w:t>补偿价根据出让总价和使用年限进行测算确定。</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宋体" w:cs="Times New Roman"/>
          <w:color w:val="auto"/>
          <w:spacing w:val="-22"/>
          <w:sz w:val="28"/>
          <w:szCs w:val="28"/>
          <w:lang w:val="en-US" w:eastAsia="zh-CN" w:bidi="ar-SA"/>
        </w:rPr>
      </w:pPr>
      <w:r>
        <w:rPr>
          <w:rFonts w:hint="default" w:ascii="Times New Roman" w:hAnsi="Times New Roman" w:eastAsia="方正仿宋_GBK" w:cs="Times New Roman"/>
          <w:spacing w:val="0"/>
          <w:sz w:val="32"/>
          <w:szCs w:val="32"/>
          <w:lang w:val="en-US" w:eastAsia="zh-CN" w:bidi="ar-SA"/>
        </w:rPr>
        <w:t>（五）特许经营期限内，若乙方提出新增广告位需求的，按照“先评估、后注入”原则进行处理，即须依法完成审批程序，委托具备资格的资产评估机构对特许经营权价值进行评估，乙方逐年缴纳特许经营费用。</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（六）</w:t>
      </w:r>
      <w:r>
        <w:rPr>
          <w:rFonts w:hint="default" w:ascii="Times New Roman" w:hAnsi="Times New Roman" w:eastAsia="方正仿宋_GBK" w:cs="Times New Roman"/>
          <w:color w:val="auto"/>
          <w:spacing w:val="0"/>
          <w:sz w:val="32"/>
          <w:szCs w:val="32"/>
          <w:lang w:val="en-US" w:eastAsia="zh-CN" w:bidi="ar-SA"/>
        </w:rPr>
        <w:t>特许经营期限届满前，</w:t>
      </w:r>
      <w:r>
        <w:rPr>
          <w:rFonts w:hint="default" w:ascii="Times New Roman" w:hAnsi="Times New Roman" w:eastAsia="方正仿宋_GBK" w:cs="Times New Roman"/>
          <w:spacing w:val="0"/>
          <w:sz w:val="32"/>
          <w:szCs w:val="32"/>
          <w:lang w:val="en-US" w:eastAsia="zh-CN" w:bidi="ar-SA"/>
        </w:rPr>
        <w:t>若</w:t>
      </w:r>
      <w:r>
        <w:rPr>
          <w:rFonts w:hint="default" w:ascii="Times New Roman" w:hAnsi="Times New Roman" w:eastAsia="方正仿宋_GBK" w:cs="Times New Roman"/>
          <w:color w:val="auto"/>
          <w:spacing w:val="0"/>
          <w:sz w:val="32"/>
          <w:szCs w:val="32"/>
          <w:lang w:val="en-US" w:eastAsia="zh-CN" w:bidi="ar-SA"/>
        </w:rPr>
        <w:t>保留</w:t>
      </w:r>
      <w:r>
        <w:rPr>
          <w:rFonts w:hint="default" w:ascii="Times New Roman" w:hAnsi="Times New Roman" w:eastAsia="方正仿宋_GBK" w:cs="Times New Roman"/>
          <w:spacing w:val="0"/>
          <w:sz w:val="32"/>
          <w:szCs w:val="32"/>
          <w:lang w:val="en-US" w:eastAsia="zh-CN" w:bidi="ar-SA"/>
        </w:rPr>
        <w:t>达州高新区广告位的</w:t>
      </w:r>
      <w:r>
        <w:rPr>
          <w:rFonts w:hint="default" w:ascii="Times New Roman" w:hAnsi="Times New Roman" w:eastAsia="方正仿宋_GBK" w:cs="Times New Roman"/>
          <w:color w:val="auto"/>
          <w:spacing w:val="0"/>
          <w:sz w:val="32"/>
          <w:szCs w:val="32"/>
          <w:lang w:val="en-US" w:eastAsia="zh-CN" w:bidi="ar-SA"/>
        </w:rPr>
        <w:t>，应重新</w:t>
      </w:r>
      <w:r>
        <w:rPr>
          <w:rFonts w:hint="default" w:ascii="Times New Roman" w:hAnsi="Times New Roman" w:eastAsia="方正仿宋_GBK" w:cs="Times New Roman"/>
          <w:spacing w:val="0"/>
          <w:sz w:val="32"/>
          <w:szCs w:val="32"/>
          <w:lang w:val="en-US" w:eastAsia="zh-CN" w:bidi="ar-SA"/>
        </w:rPr>
        <w:t>开展达州高新区广告位特许经营权公开出让工作。在</w:t>
      </w:r>
      <w:r>
        <w:rPr>
          <w:rFonts w:hint="default" w:ascii="Times New Roman" w:hAnsi="Times New Roman" w:eastAsia="方正仿宋_GBK" w:cs="Times New Roman"/>
          <w:color w:val="auto"/>
          <w:spacing w:val="0"/>
          <w:sz w:val="32"/>
          <w:szCs w:val="32"/>
          <w:lang w:val="en-US" w:eastAsia="zh-CN" w:bidi="ar-SA"/>
        </w:rPr>
        <w:t>同等条件下，</w:t>
      </w:r>
      <w:r>
        <w:rPr>
          <w:rFonts w:hint="default" w:ascii="Times New Roman" w:hAnsi="Times New Roman" w:eastAsia="方正仿宋_GBK" w:cs="Times New Roman"/>
          <w:spacing w:val="0"/>
          <w:sz w:val="32"/>
          <w:szCs w:val="32"/>
          <w:lang w:val="en-US" w:eastAsia="zh-CN" w:bidi="ar-SA"/>
        </w:rPr>
        <w:t>乙方享有</w:t>
      </w:r>
      <w:r>
        <w:rPr>
          <w:rFonts w:hint="default" w:ascii="Times New Roman" w:hAnsi="Times New Roman" w:eastAsia="方正仿宋_GBK" w:cs="Times New Roman"/>
          <w:color w:val="auto"/>
          <w:spacing w:val="0"/>
          <w:sz w:val="32"/>
          <w:szCs w:val="32"/>
          <w:lang w:val="en-US" w:eastAsia="zh-CN" w:bidi="ar-SA"/>
        </w:rPr>
        <w:t>优先获得</w:t>
      </w:r>
      <w:r>
        <w:rPr>
          <w:rFonts w:hint="default" w:ascii="Times New Roman" w:hAnsi="Times New Roman" w:eastAsia="方正仿宋_GBK" w:cs="Times New Roman"/>
          <w:spacing w:val="0"/>
          <w:sz w:val="32"/>
          <w:szCs w:val="32"/>
          <w:lang w:val="en-US" w:eastAsia="zh-CN" w:bidi="ar-SA"/>
        </w:rPr>
        <w:t>达州高新区广告位特许经营权的权利</w:t>
      </w:r>
      <w:r>
        <w:rPr>
          <w:rFonts w:hint="default" w:ascii="Times New Roman" w:hAnsi="Times New Roman" w:eastAsia="方正仿宋_GBK" w:cs="Times New Roman"/>
          <w:color w:val="auto"/>
          <w:spacing w:val="0"/>
          <w:sz w:val="32"/>
          <w:szCs w:val="32"/>
          <w:lang w:val="en-US" w:eastAsia="zh-CN" w:bidi="ar-SA"/>
        </w:rPr>
        <w:t>。</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（七）特许经营期限内，</w:t>
      </w:r>
      <w:r>
        <w:rPr>
          <w:rFonts w:hint="default" w:ascii="Times New Roman" w:hAnsi="Times New Roman" w:eastAsia="方正仿宋_GBK" w:cs="Times New Roman"/>
          <w:color w:val="auto"/>
          <w:spacing w:val="0"/>
          <w:sz w:val="32"/>
          <w:szCs w:val="32"/>
          <w:lang w:val="en-US" w:eastAsia="zh-CN" w:bidi="ar-SA"/>
        </w:rPr>
        <w:t>未经过甲方批准，乙方不得将达州高新区广告位特许经营权转让、出租和质押给任何第三方，或作为投资条件参与其他投资。</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（八）特许经营期限内，乙方须</w:t>
      </w:r>
      <w:r>
        <w:rPr>
          <w:rFonts w:hint="default" w:ascii="Times New Roman" w:hAnsi="Times New Roman" w:eastAsia="方正仿宋_GBK" w:cs="Times New Roman"/>
          <w:color w:val="auto"/>
          <w:spacing w:val="0"/>
          <w:sz w:val="32"/>
          <w:szCs w:val="32"/>
          <w:lang w:val="en-US" w:eastAsia="zh-CN" w:bidi="ar-SA"/>
        </w:rPr>
        <w:t>按</w:t>
      </w:r>
      <w:r>
        <w:rPr>
          <w:rFonts w:hint="default" w:ascii="Times New Roman" w:hAnsi="Times New Roman" w:eastAsia="方正仿宋_GBK" w:cs="Times New Roman"/>
          <w:spacing w:val="0"/>
          <w:sz w:val="32"/>
          <w:szCs w:val="32"/>
          <w:lang w:val="en-US" w:eastAsia="zh-CN" w:bidi="ar-SA"/>
        </w:rPr>
        <w:t>照</w:t>
      </w:r>
      <w:r>
        <w:rPr>
          <w:rFonts w:hint="default" w:ascii="Times New Roman" w:hAnsi="Times New Roman" w:eastAsia="方正仿宋_GBK" w:cs="Times New Roman"/>
          <w:color w:val="auto"/>
          <w:spacing w:val="0"/>
          <w:sz w:val="32"/>
          <w:szCs w:val="32"/>
          <w:lang w:val="en-US" w:eastAsia="zh-CN" w:bidi="ar-SA"/>
        </w:rPr>
        <w:t>环保相关部门要求落实防扬尘污染、防噪声污染等措施。</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（九）</w:t>
      </w:r>
      <w:r>
        <w:rPr>
          <w:rFonts w:hint="default" w:ascii="Times New Roman" w:hAnsi="Times New Roman" w:eastAsia="方正仿宋_GBK" w:cs="Times New Roman"/>
          <w:color w:val="auto"/>
          <w:spacing w:val="0"/>
          <w:sz w:val="32"/>
          <w:szCs w:val="32"/>
          <w:lang w:val="en-US" w:eastAsia="zh-CN" w:bidi="ar-SA"/>
        </w:rPr>
        <w:t>在特许经营期届满后，</w:t>
      </w:r>
      <w:r>
        <w:rPr>
          <w:rFonts w:hint="default" w:ascii="Times New Roman" w:hAnsi="Times New Roman" w:eastAsia="方正仿宋_GBK" w:cs="Times New Roman"/>
          <w:spacing w:val="0"/>
          <w:sz w:val="32"/>
          <w:szCs w:val="32"/>
          <w:lang w:val="en-US" w:eastAsia="zh-CN" w:bidi="ar-SA"/>
        </w:rPr>
        <w:t>乙方须</w:t>
      </w:r>
      <w:r>
        <w:rPr>
          <w:rFonts w:hint="default" w:ascii="Times New Roman" w:hAnsi="Times New Roman" w:eastAsia="方正仿宋_GBK" w:cs="Times New Roman"/>
          <w:color w:val="auto"/>
          <w:spacing w:val="0"/>
          <w:sz w:val="32"/>
          <w:szCs w:val="32"/>
          <w:lang w:val="en-US" w:eastAsia="zh-CN" w:bidi="ar-SA"/>
        </w:rPr>
        <w:t>将</w:t>
      </w:r>
      <w:r>
        <w:rPr>
          <w:rFonts w:hint="default" w:ascii="Times New Roman" w:hAnsi="Times New Roman" w:eastAsia="方正仿宋_GBK" w:cs="Times New Roman"/>
          <w:spacing w:val="0"/>
          <w:sz w:val="32"/>
          <w:szCs w:val="32"/>
          <w:lang w:val="en-US" w:eastAsia="zh-CN" w:bidi="ar-SA"/>
        </w:rPr>
        <w:t>达州高新区广告位以及形成的</w:t>
      </w:r>
      <w:r>
        <w:rPr>
          <w:rFonts w:hint="default" w:ascii="Times New Roman" w:hAnsi="Times New Roman" w:eastAsia="方正仿宋_GBK" w:cs="Times New Roman"/>
          <w:color w:val="auto"/>
          <w:spacing w:val="0"/>
          <w:sz w:val="32"/>
          <w:szCs w:val="32"/>
          <w:lang w:val="en-US" w:eastAsia="zh-CN" w:bidi="ar-SA"/>
        </w:rPr>
        <w:t>设施完好的移交</w:t>
      </w:r>
      <w:r>
        <w:rPr>
          <w:rFonts w:hint="default" w:ascii="Times New Roman" w:hAnsi="Times New Roman" w:eastAsia="方正仿宋_GBK" w:cs="Times New Roman"/>
          <w:spacing w:val="0"/>
          <w:sz w:val="32"/>
          <w:szCs w:val="32"/>
          <w:lang w:val="en-US" w:eastAsia="zh-CN" w:bidi="ar-SA"/>
        </w:rPr>
        <w:t>至甲方</w:t>
      </w:r>
      <w:r>
        <w:rPr>
          <w:rFonts w:hint="default" w:ascii="Times New Roman" w:hAnsi="Times New Roman" w:eastAsia="方正仿宋_GBK" w:cs="Times New Roman"/>
          <w:color w:val="auto"/>
          <w:spacing w:val="0"/>
          <w:sz w:val="32"/>
          <w:szCs w:val="32"/>
          <w:lang w:val="en-US" w:eastAsia="zh-CN" w:bidi="ar-SA"/>
        </w:rPr>
        <w:t>。</w:t>
      </w:r>
    </w:p>
    <w:p>
      <w:pPr>
        <w:pStyle w:val="3"/>
        <w:keepNext w:val="0"/>
        <w:keepLines w:val="0"/>
        <w:pageBreakBefore w:val="0"/>
        <w:widowControl w:val="0"/>
        <w:kinsoku/>
        <w:wordWrap/>
        <w:overflowPunct/>
        <w:topLinePunct w:val="0"/>
        <w:autoSpaceDE/>
        <w:autoSpaceDN/>
        <w:bidi w:val="0"/>
        <w:spacing w:after="0" w:line="578" w:lineRule="exact"/>
        <w:ind w:right="0" w:firstLine="559"/>
        <w:textAlignment w:val="auto"/>
        <w:rPr>
          <w:rFonts w:hint="default" w:ascii="Times New Roman" w:hAnsi="Times New Roman" w:eastAsia="方正仿宋_GBK" w:cs="Times New Roman"/>
          <w:color w:val="auto"/>
          <w:spacing w:val="0"/>
          <w:sz w:val="32"/>
          <w:szCs w:val="32"/>
          <w:lang w:val="en-US" w:eastAsia="zh-CN" w:bidi="ar-SA"/>
        </w:rPr>
      </w:pPr>
      <w:r>
        <w:rPr>
          <w:rFonts w:hint="default" w:ascii="Times New Roman" w:hAnsi="Times New Roman" w:eastAsia="方正仿宋_GBK" w:cs="Times New Roman"/>
          <w:spacing w:val="0"/>
          <w:sz w:val="32"/>
          <w:szCs w:val="32"/>
          <w:lang w:val="en-US" w:eastAsia="zh-CN" w:bidi="ar-SA"/>
        </w:rPr>
        <w:t>（十）特许经营期限内，</w:t>
      </w:r>
      <w:r>
        <w:rPr>
          <w:rFonts w:hint="default" w:ascii="Times New Roman" w:hAnsi="Times New Roman" w:eastAsia="方正仿宋_GBK" w:cs="Times New Roman"/>
          <w:color w:val="auto"/>
          <w:spacing w:val="0"/>
          <w:sz w:val="32"/>
          <w:szCs w:val="32"/>
          <w:lang w:val="en-US" w:eastAsia="zh-CN" w:bidi="ar-SA"/>
        </w:rPr>
        <w:t>乙方负责达州高新区广告位户外广告设施的日常巡查、安全检测等监管措施落实，严格按照有关规定加强户外广告设施的管理。</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四、经营权使用安全责任</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甲方将广告位特许经营权移交乙方后，乙方即在</w:t>
      </w:r>
      <w:r>
        <w:rPr>
          <w:rFonts w:hint="default" w:ascii="Times New Roman" w:hAnsi="Times New Roman" w:eastAsia="方正仿宋_GBK" w:cs="Times New Roman"/>
          <w:sz w:val="32"/>
          <w:szCs w:val="32"/>
          <w:lang w:val="en-US" w:eastAsia="zh-CN"/>
        </w:rPr>
        <w:t>特许经营期限</w:t>
      </w:r>
      <w:r>
        <w:rPr>
          <w:rFonts w:hint="default" w:ascii="Times New Roman" w:hAnsi="Times New Roman" w:eastAsia="方正仿宋_GBK" w:cs="Times New Roman"/>
          <w:sz w:val="32"/>
          <w:szCs w:val="32"/>
        </w:rPr>
        <w:t>内</w:t>
      </w:r>
      <w:r>
        <w:rPr>
          <w:rFonts w:hint="default" w:ascii="Times New Roman" w:hAnsi="Times New Roman" w:eastAsia="方正仿宋_GBK" w:cs="Times New Roman"/>
          <w:sz w:val="32"/>
          <w:szCs w:val="32"/>
          <w:lang w:val="en-US" w:eastAsia="zh-CN"/>
        </w:rPr>
        <w:t>负有达州高新区</w:t>
      </w:r>
      <w:r>
        <w:rPr>
          <w:rFonts w:hint="default" w:ascii="Times New Roman" w:hAnsi="Times New Roman" w:eastAsia="方正仿宋_GBK" w:cs="Times New Roman"/>
          <w:sz w:val="32"/>
          <w:szCs w:val="32"/>
        </w:rPr>
        <w:t>广告位的保管、经营和安全管理责任，甲方将不再承担任何经济、安全、法律责任。</w:t>
      </w:r>
    </w:p>
    <w:p>
      <w:pPr>
        <w:keepNext w:val="0"/>
        <w:keepLines w:val="0"/>
        <w:pageBreakBefore w:val="0"/>
        <w:widowControl w:val="0"/>
        <w:numPr>
          <w:ilvl w:val="0"/>
          <w:numId w:val="0"/>
        </w:numPr>
        <w:kinsoku/>
        <w:wordWrap/>
        <w:overflowPunct/>
        <w:topLinePunct w:val="0"/>
        <w:autoSpaceDE/>
        <w:autoSpaceDN/>
        <w:bidi w:val="0"/>
        <w:spacing w:line="578"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不可抗力</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合同</w:t>
      </w:r>
      <w:r>
        <w:rPr>
          <w:rFonts w:hint="default" w:ascii="Times New Roman" w:hAnsi="Times New Roman" w:eastAsia="方正仿宋_GBK" w:cs="Times New Roman"/>
          <w:sz w:val="32"/>
          <w:szCs w:val="32"/>
        </w:rPr>
        <w:t>所称不可抗力，是指由于政策、城市规划和改造以及其它不能预见，并且对其发生和后果不能防止或不能避免且不可克服的客观情况。</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w:t>
      </w:r>
      <w:r>
        <w:rPr>
          <w:rFonts w:hint="default" w:ascii="Times New Roman" w:hAnsi="Times New Roman" w:eastAsia="方正仿宋_GBK" w:cs="Times New Roman"/>
          <w:sz w:val="32"/>
          <w:szCs w:val="32"/>
          <w:lang w:val="en-US" w:eastAsia="zh-CN"/>
        </w:rPr>
        <w:t>合同</w:t>
      </w:r>
      <w:r>
        <w:rPr>
          <w:rFonts w:hint="default" w:ascii="Times New Roman" w:hAnsi="Times New Roman" w:eastAsia="方正仿宋_GBK" w:cs="Times New Roman"/>
          <w:sz w:val="32"/>
          <w:szCs w:val="32"/>
        </w:rPr>
        <w:t>任何一方因不可抗力不能履行或不能完全履行本合同义务时,应当在不可抗力发生的3日内通知另一方,并向另一方提供由有关部门出具的不可抗力证明。</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因不可抗力不能履行</w:t>
      </w:r>
      <w:r>
        <w:rPr>
          <w:rFonts w:hint="default" w:ascii="Times New Roman" w:hAnsi="Times New Roman" w:eastAsia="方正仿宋_GBK" w:cs="Times New Roman"/>
          <w:sz w:val="32"/>
          <w:szCs w:val="32"/>
          <w:lang w:val="en-US" w:eastAsia="zh-CN"/>
        </w:rPr>
        <w:t>合同</w:t>
      </w:r>
      <w:r>
        <w:rPr>
          <w:rFonts w:hint="default" w:ascii="Times New Roman" w:hAnsi="Times New Roman" w:eastAsia="方正仿宋_GBK" w:cs="Times New Roman"/>
          <w:sz w:val="32"/>
          <w:szCs w:val="32"/>
        </w:rPr>
        <w:t>的,根据不可抗力的影响,部分或全部免除责任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但法律另有规定的除外。</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在一方迟延履行期间遭遇不可抗力,不能免除</w:t>
      </w:r>
      <w:r>
        <w:rPr>
          <w:rFonts w:hint="default" w:ascii="Times New Roman" w:hAnsi="Times New Roman" w:eastAsia="方正仿宋_GBK" w:cs="Times New Roman"/>
          <w:sz w:val="32"/>
          <w:szCs w:val="32"/>
          <w:lang w:val="en-US" w:eastAsia="zh-CN"/>
        </w:rPr>
        <w:t>其应承担的法律责任</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六、违约责任</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乙方未按照</w:t>
      </w:r>
      <w:r>
        <w:rPr>
          <w:rFonts w:hint="default" w:ascii="Times New Roman" w:hAnsi="Times New Roman" w:eastAsia="方正仿宋_GBK" w:cs="Times New Roman"/>
          <w:sz w:val="32"/>
          <w:szCs w:val="32"/>
          <w:lang w:val="en-US" w:eastAsia="zh-CN"/>
        </w:rPr>
        <w:t>约定</w:t>
      </w:r>
      <w:r>
        <w:rPr>
          <w:rFonts w:hint="default" w:ascii="Times New Roman" w:hAnsi="Times New Roman" w:eastAsia="方正仿宋_GBK" w:cs="Times New Roman"/>
          <w:sz w:val="32"/>
          <w:szCs w:val="32"/>
        </w:rPr>
        <w:t>规定支付特许经营权</w:t>
      </w:r>
      <w:r>
        <w:rPr>
          <w:rFonts w:hint="default" w:ascii="Times New Roman" w:hAnsi="Times New Roman" w:eastAsia="方正仿宋_GBK" w:cs="Times New Roman"/>
          <w:sz w:val="32"/>
          <w:szCs w:val="32"/>
          <w:lang w:val="en-US" w:eastAsia="zh-CN"/>
        </w:rPr>
        <w:t>出让</w:t>
      </w:r>
      <w:r>
        <w:rPr>
          <w:rFonts w:hint="default" w:ascii="Times New Roman" w:hAnsi="Times New Roman" w:eastAsia="方正仿宋_GBK" w:cs="Times New Roman"/>
          <w:sz w:val="32"/>
          <w:szCs w:val="32"/>
        </w:rPr>
        <w:t>价款的，每逾期1</w:t>
      </w:r>
      <w:r>
        <w:rPr>
          <w:rFonts w:hint="default" w:ascii="Times New Roman" w:hAnsi="Times New Roman" w:eastAsia="方正仿宋_GBK" w:cs="Times New Roman"/>
          <w:sz w:val="32"/>
          <w:szCs w:val="32"/>
          <w:lang w:val="en-US" w:eastAsia="zh-CN"/>
        </w:rPr>
        <w:t>日，须</w:t>
      </w:r>
      <w:r>
        <w:rPr>
          <w:rFonts w:hint="default" w:ascii="Times New Roman" w:hAnsi="Times New Roman" w:eastAsia="方正仿宋_GBK" w:cs="Times New Roman"/>
          <w:sz w:val="32"/>
          <w:szCs w:val="32"/>
        </w:rPr>
        <w:t>按</w:t>
      </w:r>
      <w:r>
        <w:rPr>
          <w:rFonts w:hint="default" w:ascii="Times New Roman" w:hAnsi="Times New Roman" w:eastAsia="方正仿宋_GBK" w:cs="Times New Roman"/>
          <w:sz w:val="32"/>
          <w:szCs w:val="32"/>
          <w:lang w:val="en-US" w:eastAsia="zh-CN"/>
        </w:rPr>
        <w:t>出让</w:t>
      </w:r>
      <w:r>
        <w:rPr>
          <w:rFonts w:hint="default" w:ascii="Times New Roman" w:hAnsi="Times New Roman" w:eastAsia="方正仿宋_GBK" w:cs="Times New Roman"/>
          <w:sz w:val="32"/>
          <w:szCs w:val="32"/>
        </w:rPr>
        <w:t>价款的0.5%向甲方支付违约金,逾期</w:t>
      </w:r>
      <w:r>
        <w:rPr>
          <w:rFonts w:hint="default" w:ascii="Times New Roman" w:hAnsi="Times New Roman" w:eastAsia="方正仿宋_GBK" w:cs="Times New Roman"/>
          <w:sz w:val="32"/>
          <w:szCs w:val="32"/>
          <w:lang w:val="en-US" w:eastAsia="zh-CN"/>
        </w:rPr>
        <w:t>达到</w:t>
      </w:r>
      <w:r>
        <w:rPr>
          <w:rFonts w:hint="default" w:ascii="Times New Roman" w:hAnsi="Times New Roman" w:eastAsia="方正仿宋_GBK" w:cs="Times New Roman"/>
          <w:sz w:val="32"/>
          <w:szCs w:val="32"/>
        </w:rPr>
        <w:t>30</w:t>
      </w:r>
      <w:r>
        <w:rPr>
          <w:rFonts w:hint="default" w:ascii="Times New Roman" w:hAnsi="Times New Roman" w:eastAsia="方正仿宋_GBK" w:cs="Times New Roman"/>
          <w:sz w:val="32"/>
          <w:szCs w:val="32"/>
          <w:lang w:val="en-US" w:eastAsia="zh-CN"/>
        </w:rPr>
        <w:t>日</w:t>
      </w:r>
      <w:r>
        <w:rPr>
          <w:rFonts w:hint="default" w:ascii="Times New Roman" w:hAnsi="Times New Roman" w:eastAsia="方正仿宋_GBK" w:cs="Times New Roman"/>
          <w:sz w:val="32"/>
          <w:szCs w:val="32"/>
        </w:rPr>
        <w:t>的,甲方有权解除合同收回经营权</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乙方存在下列情形之一，经甲方催促后仍未消除违约状态</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乙方应当</w:t>
      </w:r>
      <w:r>
        <w:rPr>
          <w:rFonts w:hint="default" w:ascii="Times New Roman" w:hAnsi="Times New Roman" w:eastAsia="方正仿宋_GBK" w:cs="Times New Roman"/>
          <w:sz w:val="32"/>
          <w:szCs w:val="32"/>
          <w:lang w:val="en-US" w:eastAsia="zh-CN"/>
        </w:rPr>
        <w:t>按照出让价款30%向甲方支付违约金，并赔偿甲方遭受的</w:t>
      </w:r>
      <w:r>
        <w:rPr>
          <w:rFonts w:hint="default" w:ascii="Times New Roman" w:hAnsi="Times New Roman" w:eastAsia="方正仿宋_GBK" w:cs="Times New Roman"/>
          <w:sz w:val="32"/>
          <w:szCs w:val="32"/>
        </w:rPr>
        <w:t>损失（包括但不限于甲方为主张权利而支付的律师代理费、公证费、鉴定费、保全费和诉讼费）。</w:t>
      </w:r>
    </w:p>
    <w:p>
      <w:pPr>
        <w:keepNext w:val="0"/>
        <w:keepLines w:val="0"/>
        <w:pageBreakBefore w:val="0"/>
        <w:widowControl w:val="0"/>
        <w:kinsoku/>
        <w:wordWrap/>
        <w:overflowPunct/>
        <w:topLinePunct w:val="0"/>
        <w:autoSpaceDE/>
        <w:autoSpaceDN/>
        <w:bidi w:val="0"/>
        <w:adjustRightInd w:val="0"/>
        <w:snapToGrid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pacing w:val="0"/>
          <w:sz w:val="32"/>
          <w:szCs w:val="32"/>
          <w:lang w:val="en-US" w:eastAsia="zh-CN" w:bidi="ar-SA"/>
        </w:rPr>
        <w:t>擅自改变达州高新区广告位用途或管理不善而导致广告位设施损毁的；</w:t>
      </w:r>
    </w:p>
    <w:p>
      <w:pPr>
        <w:keepNext w:val="0"/>
        <w:keepLines w:val="0"/>
        <w:pageBreakBefore w:val="0"/>
        <w:widowControl w:val="0"/>
        <w:kinsoku/>
        <w:wordWrap/>
        <w:overflowPunct/>
        <w:topLinePunct w:val="0"/>
        <w:autoSpaceDE/>
        <w:autoSpaceDN/>
        <w:bidi w:val="0"/>
        <w:adjustRightInd w:val="0"/>
        <w:snapToGrid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2.擅自</w:t>
      </w:r>
      <w:r>
        <w:rPr>
          <w:rFonts w:hint="default" w:ascii="Times New Roman" w:hAnsi="Times New Roman" w:eastAsia="方正仿宋_GBK" w:cs="Times New Roman"/>
          <w:spacing w:val="0"/>
          <w:sz w:val="32"/>
          <w:szCs w:val="32"/>
          <w:lang w:val="en-US" w:eastAsia="zh-CN" w:bidi="ar-SA"/>
        </w:rPr>
        <w:t>将达州高新区广告位特许经营权转让、出租和质押给任何第三方，或作为投资条件参与其他投资的；</w:t>
      </w:r>
    </w:p>
    <w:p>
      <w:pPr>
        <w:pStyle w:val="3"/>
        <w:keepNext w:val="0"/>
        <w:keepLines w:val="0"/>
        <w:pageBreakBefore w:val="0"/>
        <w:widowControl w:val="0"/>
        <w:kinsoku/>
        <w:wordWrap/>
        <w:overflowPunct/>
        <w:topLinePunct w:val="0"/>
        <w:autoSpaceDE/>
        <w:autoSpaceDN/>
        <w:bidi w:val="0"/>
        <w:adjustRightInd w:val="0"/>
        <w:snapToGrid w:val="0"/>
        <w:spacing w:after="0"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3.未尽到</w:t>
      </w:r>
      <w:r>
        <w:rPr>
          <w:rFonts w:hint="default" w:ascii="Times New Roman" w:hAnsi="Times New Roman" w:eastAsia="方正仿宋_GBK" w:cs="Times New Roman"/>
          <w:sz w:val="32"/>
          <w:szCs w:val="32"/>
        </w:rPr>
        <w:t>保管、经营和安全管理</w:t>
      </w:r>
      <w:r>
        <w:rPr>
          <w:rFonts w:hint="default" w:ascii="Times New Roman" w:hAnsi="Times New Roman" w:eastAsia="方正仿宋_GBK" w:cs="Times New Roman"/>
          <w:sz w:val="32"/>
          <w:szCs w:val="32"/>
          <w:lang w:val="en-US" w:eastAsia="zh-CN"/>
        </w:rPr>
        <w:t>达州高新区广告位的义务导致第三方损失（包括人身和财产损失）的；</w:t>
      </w:r>
    </w:p>
    <w:p>
      <w:pPr>
        <w:keepNext w:val="0"/>
        <w:keepLines w:val="0"/>
        <w:pageBreakBefore w:val="0"/>
        <w:widowControl w:val="0"/>
        <w:kinsoku/>
        <w:wordWrap/>
        <w:overflowPunct/>
        <w:topLinePunct w:val="0"/>
        <w:autoSpaceDE/>
        <w:autoSpaceDN/>
        <w:bidi w:val="0"/>
        <w:adjustRightInd w:val="0"/>
        <w:snapToGrid w:val="0"/>
        <w:spacing w:line="578" w:lineRule="exact"/>
        <w:ind w:righ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4.特许经营期限内，乙方经营管理达州高新区广告位过程中存在违反《中华人民共和国广告法》或《达州市户外广告和招牌设置管理办法》等违法行为的。</w:t>
      </w:r>
    </w:p>
    <w:p>
      <w:pPr>
        <w:keepNext w:val="0"/>
        <w:keepLines w:val="0"/>
        <w:pageBreakBefore w:val="0"/>
        <w:widowControl w:val="0"/>
        <w:kinsoku/>
        <w:wordWrap/>
        <w:overflowPunct/>
        <w:topLinePunct w:val="0"/>
        <w:autoSpaceDE/>
        <w:autoSpaceDN/>
        <w:bidi w:val="0"/>
        <w:adjustRightInd w:val="0"/>
        <w:snapToGrid w:val="0"/>
        <w:spacing w:line="578" w:lineRule="exact"/>
        <w:ind w:right="0" w:firstLine="640" w:firstLineChars="200"/>
        <w:textAlignment w:val="auto"/>
        <w:rPr>
          <w:rFonts w:hint="default" w:ascii="Times New Roman" w:hAnsi="Times New Roman" w:eastAsia="方正仿宋_GBK" w:cs="Times New Roman"/>
          <w:spacing w:val="0"/>
          <w:sz w:val="32"/>
          <w:szCs w:val="32"/>
          <w:lang w:val="en-US" w:eastAsia="zh-CN" w:bidi="ar-SA"/>
        </w:rPr>
      </w:pPr>
      <w:r>
        <w:rPr>
          <w:rFonts w:hint="default" w:ascii="Times New Roman" w:hAnsi="Times New Roman" w:eastAsia="方正仿宋_GBK" w:cs="Times New Roman"/>
          <w:sz w:val="32"/>
          <w:szCs w:val="32"/>
        </w:rPr>
        <w:t>若甲方因乙方上述行为而解除本</w:t>
      </w:r>
      <w:r>
        <w:rPr>
          <w:rFonts w:hint="default" w:ascii="Times New Roman" w:hAnsi="Times New Roman" w:eastAsia="方正仿宋_GBK" w:cs="Times New Roman"/>
          <w:sz w:val="32"/>
          <w:szCs w:val="32"/>
          <w:lang w:val="en-US" w:eastAsia="zh-CN"/>
        </w:rPr>
        <w:t>合同</w:t>
      </w:r>
      <w:r>
        <w:rPr>
          <w:rFonts w:hint="default" w:ascii="Times New Roman" w:hAnsi="Times New Roman" w:eastAsia="方正仿宋_GBK" w:cs="Times New Roman"/>
          <w:sz w:val="32"/>
          <w:szCs w:val="32"/>
        </w:rPr>
        <w:t>的，乙方除应按照</w:t>
      </w:r>
      <w:r>
        <w:rPr>
          <w:rFonts w:hint="default" w:ascii="Times New Roman" w:hAnsi="Times New Roman" w:eastAsia="方正仿宋_GBK" w:cs="Times New Roman"/>
          <w:sz w:val="32"/>
          <w:szCs w:val="32"/>
          <w:lang w:val="en-US" w:eastAsia="zh-CN"/>
        </w:rPr>
        <w:t>本款第一项</w:t>
      </w:r>
      <w:r>
        <w:rPr>
          <w:rFonts w:hint="default" w:ascii="Times New Roman" w:hAnsi="Times New Roman" w:eastAsia="方正仿宋_GBK" w:cs="Times New Roman"/>
          <w:sz w:val="32"/>
          <w:szCs w:val="32"/>
        </w:rPr>
        <w:t>约定承担责任外，还应在收到甲方解除通知后</w:t>
      </w:r>
      <w:r>
        <w:rPr>
          <w:rFonts w:hint="default" w:ascii="Times New Roman" w:hAnsi="Times New Roman" w:eastAsia="方正仿宋_GBK" w:cs="Times New Roman"/>
          <w:sz w:val="32"/>
          <w:szCs w:val="32"/>
          <w:lang w:val="en-US" w:eastAsia="zh-CN"/>
        </w:rPr>
        <w:t>按照甲方要求</w:t>
      </w:r>
      <w:r>
        <w:rPr>
          <w:rFonts w:hint="default" w:ascii="Times New Roman" w:hAnsi="Times New Roman" w:eastAsia="方正仿宋_GBK" w:cs="Times New Roman"/>
          <w:spacing w:val="0"/>
          <w:sz w:val="32"/>
          <w:szCs w:val="32"/>
          <w:lang w:val="en-US" w:eastAsia="zh-CN" w:bidi="ar-SA"/>
        </w:rPr>
        <w:t>将达州高新区广告位以及形成的设施完好的移交至甲方。</w:t>
      </w:r>
    </w:p>
    <w:p>
      <w:pPr>
        <w:keepNext w:val="0"/>
        <w:keepLines w:val="0"/>
        <w:pageBreakBefore w:val="0"/>
        <w:widowControl w:val="0"/>
        <w:kinsoku/>
        <w:wordWrap/>
        <w:overflowPunct/>
        <w:topLinePunct w:val="0"/>
        <w:autoSpaceDE/>
        <w:autoSpaceDN/>
        <w:bidi w:val="0"/>
        <w:adjustRightInd w:val="0"/>
        <w:snapToGrid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0"/>
          <w:sz w:val="32"/>
          <w:szCs w:val="32"/>
          <w:lang w:val="en-US" w:eastAsia="zh-CN" w:bidi="ar-SA"/>
        </w:rPr>
        <w:t xml:space="preserve">   （三）</w:t>
      </w:r>
      <w:r>
        <w:rPr>
          <w:rFonts w:hint="default" w:ascii="Times New Roman" w:hAnsi="Times New Roman" w:eastAsia="方正仿宋_GBK" w:cs="Times New Roman"/>
          <w:sz w:val="32"/>
          <w:szCs w:val="32"/>
        </w:rPr>
        <w:t>乙方存在违反本</w:t>
      </w:r>
      <w:r>
        <w:rPr>
          <w:rFonts w:hint="default" w:ascii="Times New Roman" w:hAnsi="Times New Roman" w:eastAsia="方正仿宋_GBK" w:cs="Times New Roman"/>
          <w:sz w:val="32"/>
          <w:szCs w:val="32"/>
          <w:lang w:val="en-US" w:eastAsia="zh-CN"/>
        </w:rPr>
        <w:t>合同</w:t>
      </w:r>
      <w:r>
        <w:rPr>
          <w:rFonts w:hint="default" w:ascii="Times New Roman" w:hAnsi="Times New Roman" w:eastAsia="方正仿宋_GBK" w:cs="Times New Roman"/>
          <w:sz w:val="32"/>
          <w:szCs w:val="32"/>
        </w:rPr>
        <w:t>其他约定条款的情形的，经甲方催促后仍未消除违约状态</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乙方应当</w:t>
      </w:r>
      <w:r>
        <w:rPr>
          <w:rFonts w:hint="default" w:ascii="Times New Roman" w:hAnsi="Times New Roman" w:eastAsia="方正仿宋_GBK" w:cs="Times New Roman"/>
          <w:sz w:val="32"/>
          <w:szCs w:val="32"/>
          <w:lang w:val="en-US" w:eastAsia="zh-CN"/>
        </w:rPr>
        <w:t>按照出让价款30%向甲方支付违约金，并赔偿甲方遭受的</w:t>
      </w:r>
      <w:r>
        <w:rPr>
          <w:rFonts w:hint="default" w:ascii="Times New Roman" w:hAnsi="Times New Roman" w:eastAsia="方正仿宋_GBK" w:cs="Times New Roman"/>
          <w:sz w:val="32"/>
          <w:szCs w:val="32"/>
        </w:rPr>
        <w:t>损失（包括但不限于甲方为主张权利而支付的律师代理费、公证费、鉴定费、保全费和诉讼费）。</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w:t>
      </w:r>
      <w:r>
        <w:rPr>
          <w:rFonts w:hint="eastAsia" w:ascii="黑体" w:hAnsi="黑体" w:eastAsia="黑体" w:cs="黑体"/>
          <w:sz w:val="32"/>
          <w:szCs w:val="32"/>
          <w:lang w:val="en-US" w:eastAsia="zh-CN"/>
        </w:rPr>
        <w:t>附则</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本合同经甲、乙双方</w:t>
      </w:r>
      <w:r>
        <w:rPr>
          <w:rFonts w:hint="default" w:ascii="Times New Roman" w:hAnsi="Times New Roman" w:eastAsia="方正仿宋_GBK" w:cs="Times New Roman"/>
          <w:sz w:val="32"/>
          <w:szCs w:val="32"/>
          <w:lang w:val="en-US" w:eastAsia="zh-CN"/>
        </w:rPr>
        <w:t>法定代表人或授权代表</w:t>
      </w:r>
      <w:r>
        <w:rPr>
          <w:rFonts w:hint="default" w:ascii="Times New Roman" w:hAnsi="Times New Roman" w:eastAsia="方正仿宋_GBK" w:cs="Times New Roman"/>
          <w:sz w:val="32"/>
          <w:szCs w:val="32"/>
        </w:rPr>
        <w:t>签字</w:t>
      </w:r>
      <w:r>
        <w:rPr>
          <w:rFonts w:hint="default" w:ascii="Times New Roman" w:hAnsi="Times New Roman" w:eastAsia="方正仿宋_GBK" w:cs="Times New Roman"/>
          <w:sz w:val="32"/>
          <w:szCs w:val="32"/>
          <w:lang w:val="en-US" w:eastAsia="zh-CN"/>
        </w:rPr>
        <w:t>并加盖公章</w:t>
      </w:r>
      <w:r>
        <w:rPr>
          <w:rFonts w:hint="default" w:ascii="Times New Roman" w:hAnsi="Times New Roman" w:eastAsia="方正仿宋_GBK" w:cs="Times New Roman"/>
          <w:sz w:val="32"/>
          <w:szCs w:val="32"/>
        </w:rPr>
        <w:t>之日起生效。本合同一式四份，甲、乙双方各执两份，均具有同等效力。</w:t>
      </w:r>
    </w:p>
    <w:p>
      <w:pPr>
        <w:keepNext w:val="0"/>
        <w:keepLines w:val="0"/>
        <w:pageBreakBefore w:val="0"/>
        <w:widowControl w:val="0"/>
        <w:kinsoku/>
        <w:wordWrap/>
        <w:overflowPunct/>
        <w:topLinePunct w:val="0"/>
        <w:autoSpaceDE/>
        <w:autoSpaceDN/>
        <w:bidi w:val="0"/>
        <w:spacing w:line="578" w:lineRule="exact"/>
        <w:ind w:righ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本合同履行过程中，如发生争议，甲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乙双方</w:t>
      </w:r>
      <w:r>
        <w:rPr>
          <w:rFonts w:hint="default" w:ascii="Times New Roman" w:hAnsi="Times New Roman" w:eastAsia="方正仿宋_GBK" w:cs="Times New Roman"/>
          <w:sz w:val="32"/>
          <w:szCs w:val="32"/>
          <w:lang w:val="en-US" w:eastAsia="zh-CN"/>
        </w:rPr>
        <w:t>首先</w:t>
      </w:r>
      <w:r>
        <w:rPr>
          <w:rFonts w:hint="default" w:ascii="Times New Roman" w:hAnsi="Times New Roman" w:eastAsia="方正仿宋_GBK" w:cs="Times New Roman"/>
          <w:sz w:val="32"/>
          <w:szCs w:val="32"/>
        </w:rPr>
        <w:t>应协商解决，协商不能</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rPr>
        <w:t>，可向</w:t>
      </w:r>
      <w:r>
        <w:rPr>
          <w:rFonts w:hint="default" w:ascii="Times New Roman" w:hAnsi="Times New Roman" w:eastAsia="方正仿宋_GBK" w:cs="Times New Roman"/>
          <w:sz w:val="32"/>
          <w:szCs w:val="32"/>
          <w:lang w:val="en-US" w:eastAsia="zh-CN"/>
        </w:rPr>
        <w:t>甲方所在地</w:t>
      </w:r>
      <w:r>
        <w:rPr>
          <w:rFonts w:hint="default" w:ascii="Times New Roman" w:hAnsi="Times New Roman" w:eastAsia="方正仿宋_GBK" w:cs="Times New Roman"/>
          <w:sz w:val="32"/>
          <w:szCs w:val="32"/>
        </w:rPr>
        <w:t>人民法院</w:t>
      </w:r>
      <w:r>
        <w:rPr>
          <w:rFonts w:hint="default" w:ascii="Times New Roman" w:hAnsi="Times New Roman" w:eastAsia="方正仿宋_GBK" w:cs="Times New Roman"/>
          <w:sz w:val="32"/>
          <w:szCs w:val="32"/>
          <w:lang w:val="en-US" w:eastAsia="zh-CN"/>
        </w:rPr>
        <w:t>提起</w:t>
      </w:r>
      <w:r>
        <w:rPr>
          <w:rFonts w:hint="default" w:ascii="Times New Roman" w:hAnsi="Times New Roman" w:eastAsia="方正仿宋_GBK" w:cs="Times New Roman"/>
          <w:sz w:val="32"/>
          <w:szCs w:val="32"/>
        </w:rPr>
        <w:t>诉讼。</w:t>
      </w: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以下无正文，为签章页</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甲方：                      乙方：</w:t>
      </w: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法定代表人</w:t>
      </w:r>
      <w:r>
        <w:rPr>
          <w:rFonts w:hint="default" w:ascii="Times New Roman" w:hAnsi="Times New Roman" w:eastAsia="方正仿宋_GBK" w:cs="Times New Roman"/>
          <w:sz w:val="32"/>
          <w:szCs w:val="32"/>
          <w:lang w:val="en-US" w:eastAsia="zh-CN"/>
        </w:rPr>
        <w:t>或授权代表</w:t>
      </w:r>
      <w:r>
        <w:rPr>
          <w:rFonts w:hint="default" w:ascii="Times New Roman" w:hAnsi="Times New Roman" w:eastAsia="方正仿宋_GBK" w:cs="Times New Roman"/>
          <w:sz w:val="32"/>
          <w:szCs w:val="32"/>
        </w:rPr>
        <w:t>：     法定代表人</w:t>
      </w:r>
      <w:r>
        <w:rPr>
          <w:rFonts w:hint="default" w:ascii="Times New Roman" w:hAnsi="Times New Roman" w:eastAsia="方正仿宋_GBK" w:cs="Times New Roman"/>
          <w:sz w:val="32"/>
          <w:szCs w:val="32"/>
          <w:lang w:val="en-US" w:eastAsia="zh-CN"/>
        </w:rPr>
        <w:t>或授权代表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签订地点：</w:t>
      </w:r>
    </w:p>
    <w:p>
      <w:pPr>
        <w:keepNext w:val="0"/>
        <w:keepLines w:val="0"/>
        <w:pageBreakBefore w:val="0"/>
        <w:widowControl w:val="0"/>
        <w:kinsoku/>
        <w:wordWrap/>
        <w:overflowPunct/>
        <w:topLinePunct w:val="0"/>
        <w:autoSpaceDE/>
        <w:autoSpaceDN/>
        <w:bidi w:val="0"/>
        <w:spacing w:line="578" w:lineRule="exact"/>
        <w:ind w:righ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签订日期：年  月  日             </w:t>
      </w:r>
    </w:p>
    <w:p>
      <w:pPr>
        <w:pStyle w:val="2"/>
        <w:rPr>
          <w:rFonts w:hint="default" w:ascii="Times New Roman" w:hAnsi="Times New Roman" w:cs="Times New Roman"/>
          <w:lang w:val="en-US" w:eastAsia="zh-CN"/>
        </w:rPr>
      </w:pPr>
    </w:p>
    <w:sectPr>
      <w:footerReference r:id="rId3" w:type="default"/>
      <w:pgSz w:w="11906" w:h="16838"/>
      <w:pgMar w:top="2098" w:right="1474" w:bottom="1985" w:left="1588" w:header="851" w:footer="1400"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JhYzQ1MWVlMTA1ODJjODE1ZDY4NjA1YzQ4MTU3MmEifQ=="/>
  </w:docVars>
  <w:rsids>
    <w:rsidRoot w:val="3E4F00B8"/>
    <w:rsid w:val="000507B0"/>
    <w:rsid w:val="00064173"/>
    <w:rsid w:val="000C4578"/>
    <w:rsid w:val="000F19BA"/>
    <w:rsid w:val="0015269D"/>
    <w:rsid w:val="00156BC3"/>
    <w:rsid w:val="00183A4D"/>
    <w:rsid w:val="001A1519"/>
    <w:rsid w:val="001F41FB"/>
    <w:rsid w:val="001F4B95"/>
    <w:rsid w:val="0025060C"/>
    <w:rsid w:val="0028548B"/>
    <w:rsid w:val="00293B96"/>
    <w:rsid w:val="002A427D"/>
    <w:rsid w:val="002B616F"/>
    <w:rsid w:val="00331879"/>
    <w:rsid w:val="00367CA7"/>
    <w:rsid w:val="00463D90"/>
    <w:rsid w:val="00466145"/>
    <w:rsid w:val="004D02CD"/>
    <w:rsid w:val="004E0762"/>
    <w:rsid w:val="00506E91"/>
    <w:rsid w:val="005A083F"/>
    <w:rsid w:val="005C183C"/>
    <w:rsid w:val="00607ADE"/>
    <w:rsid w:val="00621C02"/>
    <w:rsid w:val="0062413E"/>
    <w:rsid w:val="00631C42"/>
    <w:rsid w:val="006441CA"/>
    <w:rsid w:val="00647409"/>
    <w:rsid w:val="00695710"/>
    <w:rsid w:val="007778CB"/>
    <w:rsid w:val="007B0D8E"/>
    <w:rsid w:val="007C4F05"/>
    <w:rsid w:val="00943EC7"/>
    <w:rsid w:val="00953C64"/>
    <w:rsid w:val="009630D3"/>
    <w:rsid w:val="009D3E13"/>
    <w:rsid w:val="009F04F1"/>
    <w:rsid w:val="00A35EBA"/>
    <w:rsid w:val="00A551C3"/>
    <w:rsid w:val="00AA2392"/>
    <w:rsid w:val="00B6118A"/>
    <w:rsid w:val="00B64F56"/>
    <w:rsid w:val="00BB495D"/>
    <w:rsid w:val="00BE5570"/>
    <w:rsid w:val="00C06823"/>
    <w:rsid w:val="00C23CAA"/>
    <w:rsid w:val="00C24855"/>
    <w:rsid w:val="00C54C99"/>
    <w:rsid w:val="00C6390F"/>
    <w:rsid w:val="00CB2947"/>
    <w:rsid w:val="00CD069A"/>
    <w:rsid w:val="00CD3D16"/>
    <w:rsid w:val="00D22202"/>
    <w:rsid w:val="00D419BF"/>
    <w:rsid w:val="00D45563"/>
    <w:rsid w:val="00D65EB4"/>
    <w:rsid w:val="00D6603C"/>
    <w:rsid w:val="00D950B9"/>
    <w:rsid w:val="00DC7970"/>
    <w:rsid w:val="00DD5005"/>
    <w:rsid w:val="00DF25A9"/>
    <w:rsid w:val="00E1077D"/>
    <w:rsid w:val="00E35D81"/>
    <w:rsid w:val="00E4181B"/>
    <w:rsid w:val="00EA5C0B"/>
    <w:rsid w:val="00ED3BD8"/>
    <w:rsid w:val="00F33A5C"/>
    <w:rsid w:val="00F54D2E"/>
    <w:rsid w:val="00F932C8"/>
    <w:rsid w:val="019F33EB"/>
    <w:rsid w:val="02A0574E"/>
    <w:rsid w:val="05B86149"/>
    <w:rsid w:val="06977CA7"/>
    <w:rsid w:val="06D17782"/>
    <w:rsid w:val="06D55E6E"/>
    <w:rsid w:val="074455BF"/>
    <w:rsid w:val="08825F6E"/>
    <w:rsid w:val="09442D1E"/>
    <w:rsid w:val="0B1612B0"/>
    <w:rsid w:val="0BBF71F5"/>
    <w:rsid w:val="0CAE7862"/>
    <w:rsid w:val="0ED40151"/>
    <w:rsid w:val="0FC60D50"/>
    <w:rsid w:val="12EE4D0D"/>
    <w:rsid w:val="150814C0"/>
    <w:rsid w:val="15E57CA6"/>
    <w:rsid w:val="17DC1BFC"/>
    <w:rsid w:val="19055226"/>
    <w:rsid w:val="1981616C"/>
    <w:rsid w:val="1CD04BA2"/>
    <w:rsid w:val="1E0F36AA"/>
    <w:rsid w:val="1E500645"/>
    <w:rsid w:val="1EA07420"/>
    <w:rsid w:val="20016E73"/>
    <w:rsid w:val="20440674"/>
    <w:rsid w:val="20AF7162"/>
    <w:rsid w:val="210670D2"/>
    <w:rsid w:val="23416FBC"/>
    <w:rsid w:val="234E498E"/>
    <w:rsid w:val="23C6213F"/>
    <w:rsid w:val="246C1C9B"/>
    <w:rsid w:val="277F230A"/>
    <w:rsid w:val="28F8261B"/>
    <w:rsid w:val="29300F7A"/>
    <w:rsid w:val="29392D80"/>
    <w:rsid w:val="2AEC1510"/>
    <w:rsid w:val="2CCB7085"/>
    <w:rsid w:val="2E221CCA"/>
    <w:rsid w:val="303F0067"/>
    <w:rsid w:val="31F96BB9"/>
    <w:rsid w:val="32E6563C"/>
    <w:rsid w:val="344649FF"/>
    <w:rsid w:val="373C784D"/>
    <w:rsid w:val="38915C68"/>
    <w:rsid w:val="38F72A1F"/>
    <w:rsid w:val="3A811393"/>
    <w:rsid w:val="3BA90FC1"/>
    <w:rsid w:val="3CCB2182"/>
    <w:rsid w:val="3E4F00B8"/>
    <w:rsid w:val="3EFE474E"/>
    <w:rsid w:val="3F48599E"/>
    <w:rsid w:val="413C57C4"/>
    <w:rsid w:val="41403D04"/>
    <w:rsid w:val="41434C4F"/>
    <w:rsid w:val="41AA2E44"/>
    <w:rsid w:val="42250160"/>
    <w:rsid w:val="429A4C67"/>
    <w:rsid w:val="43FD19B4"/>
    <w:rsid w:val="44184CA3"/>
    <w:rsid w:val="449A30F8"/>
    <w:rsid w:val="4596751F"/>
    <w:rsid w:val="45973540"/>
    <w:rsid w:val="461C687A"/>
    <w:rsid w:val="46351A53"/>
    <w:rsid w:val="48550919"/>
    <w:rsid w:val="486F0118"/>
    <w:rsid w:val="49881EB4"/>
    <w:rsid w:val="49F128B3"/>
    <w:rsid w:val="4AE50A49"/>
    <w:rsid w:val="4B692009"/>
    <w:rsid w:val="4EEE5791"/>
    <w:rsid w:val="55DA61A4"/>
    <w:rsid w:val="5965186B"/>
    <w:rsid w:val="598046F2"/>
    <w:rsid w:val="59CA6DFB"/>
    <w:rsid w:val="59E3160A"/>
    <w:rsid w:val="5A6137E7"/>
    <w:rsid w:val="5B394BC5"/>
    <w:rsid w:val="5B3D2BF4"/>
    <w:rsid w:val="5BA1276A"/>
    <w:rsid w:val="5BB76C60"/>
    <w:rsid w:val="5C7230D7"/>
    <w:rsid w:val="5D8D00EC"/>
    <w:rsid w:val="5DD1730E"/>
    <w:rsid w:val="5EA510F1"/>
    <w:rsid w:val="5F7B4836"/>
    <w:rsid w:val="614E1CDB"/>
    <w:rsid w:val="63151549"/>
    <w:rsid w:val="655A0916"/>
    <w:rsid w:val="6571080D"/>
    <w:rsid w:val="6642161F"/>
    <w:rsid w:val="669029B9"/>
    <w:rsid w:val="688E1831"/>
    <w:rsid w:val="689D2AE5"/>
    <w:rsid w:val="69451ED1"/>
    <w:rsid w:val="6AD06536"/>
    <w:rsid w:val="6B8023FE"/>
    <w:rsid w:val="6C271881"/>
    <w:rsid w:val="6CA15392"/>
    <w:rsid w:val="6DB07946"/>
    <w:rsid w:val="6E245552"/>
    <w:rsid w:val="6E642C35"/>
    <w:rsid w:val="6F666C59"/>
    <w:rsid w:val="71600475"/>
    <w:rsid w:val="72F409BA"/>
    <w:rsid w:val="7579340C"/>
    <w:rsid w:val="75E16311"/>
    <w:rsid w:val="775A1CF3"/>
    <w:rsid w:val="77BC650A"/>
    <w:rsid w:val="78386930"/>
    <w:rsid w:val="783B6791"/>
    <w:rsid w:val="79471339"/>
    <w:rsid w:val="796927DE"/>
    <w:rsid w:val="79EB5784"/>
    <w:rsid w:val="7AAD1D53"/>
    <w:rsid w:val="7B3B0188"/>
    <w:rsid w:val="7C6D24C9"/>
    <w:rsid w:val="7CEE79B4"/>
    <w:rsid w:val="7E7C3045"/>
    <w:rsid w:val="7EC21F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qFormat/>
    <w:uiPriority w:val="99"/>
  </w:style>
  <w:style w:type="paragraph" w:styleId="3">
    <w:name w:val="Body Text"/>
    <w:basedOn w:val="1"/>
    <w:next w:val="1"/>
    <w:link w:val="20"/>
    <w:qFormat/>
    <w:uiPriority w:val="99"/>
    <w:pPr>
      <w:spacing w:after="120"/>
    </w:pPr>
  </w:style>
  <w:style w:type="paragraph" w:styleId="4">
    <w:name w:val="Body Text Indent"/>
    <w:basedOn w:val="1"/>
    <w:link w:val="17"/>
    <w:unhideWhenUsed/>
    <w:qFormat/>
    <w:uiPriority w:val="99"/>
    <w:pPr>
      <w:spacing w:line="500" w:lineRule="exact"/>
      <w:ind w:firstLine="600" w:firstLineChars="200"/>
    </w:pPr>
    <w:rPr>
      <w:rFonts w:ascii="宋体" w:hAnsi="宋体"/>
      <w:sz w:val="30"/>
    </w:rPr>
  </w:style>
  <w:style w:type="paragraph" w:styleId="5">
    <w:name w:val="Balloon Text"/>
    <w:basedOn w:val="1"/>
    <w:link w:val="19"/>
    <w:qFormat/>
    <w:uiPriority w:val="0"/>
    <w:rPr>
      <w:sz w:val="18"/>
      <w:szCs w:val="18"/>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3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FollowedHyperlink"/>
    <w:basedOn w:val="11"/>
    <w:qFormat/>
    <w:uiPriority w:val="99"/>
    <w:rPr>
      <w:color w:val="333333"/>
      <w:u w:val="none"/>
    </w:rPr>
  </w:style>
  <w:style w:type="character" w:styleId="13">
    <w:name w:val="Hyperlink"/>
    <w:basedOn w:val="11"/>
    <w:qFormat/>
    <w:uiPriority w:val="99"/>
    <w:rPr>
      <w:color w:val="333333"/>
      <w:u w:val="none"/>
    </w:rPr>
  </w:style>
  <w:style w:type="paragraph" w:styleId="14">
    <w:name w:val="List Paragraph"/>
    <w:basedOn w:val="1"/>
    <w:unhideWhenUsed/>
    <w:qFormat/>
    <w:uiPriority w:val="99"/>
    <w:pPr>
      <w:ind w:firstLine="420" w:firstLineChars="200"/>
    </w:pPr>
  </w:style>
  <w:style w:type="character" w:customStyle="1" w:styleId="15">
    <w:name w:val="页眉 Char"/>
    <w:basedOn w:val="11"/>
    <w:link w:val="7"/>
    <w:qFormat/>
    <w:uiPriority w:val="0"/>
    <w:rPr>
      <w:rFonts w:ascii="Calibri" w:hAnsi="Calibri" w:eastAsia="宋体" w:cs="Times New Roman"/>
      <w:kern w:val="2"/>
      <w:sz w:val="18"/>
      <w:szCs w:val="18"/>
    </w:rPr>
  </w:style>
  <w:style w:type="character" w:customStyle="1" w:styleId="16">
    <w:name w:val="font11"/>
    <w:basedOn w:val="11"/>
    <w:qFormat/>
    <w:uiPriority w:val="0"/>
    <w:rPr>
      <w:rFonts w:hint="eastAsia" w:ascii="宋体" w:hAnsi="宋体" w:eastAsia="宋体" w:cs="宋体"/>
      <w:color w:val="000000"/>
      <w:sz w:val="24"/>
      <w:szCs w:val="24"/>
      <w:u w:val="none"/>
    </w:rPr>
  </w:style>
  <w:style w:type="character" w:customStyle="1" w:styleId="17">
    <w:name w:val="正文文本缩进 Char"/>
    <w:basedOn w:val="11"/>
    <w:link w:val="4"/>
    <w:qFormat/>
    <w:uiPriority w:val="99"/>
    <w:rPr>
      <w:rFonts w:ascii="宋体" w:hAnsi="宋体" w:eastAsia="宋体" w:cs="Times New Roman"/>
      <w:kern w:val="2"/>
      <w:sz w:val="30"/>
      <w:szCs w:val="24"/>
    </w:rPr>
  </w:style>
  <w:style w:type="character" w:customStyle="1" w:styleId="18">
    <w:name w:val="页脚 Char"/>
    <w:basedOn w:val="11"/>
    <w:link w:val="6"/>
    <w:qFormat/>
    <w:uiPriority w:val="99"/>
    <w:rPr>
      <w:rFonts w:ascii="Calibri" w:hAnsi="Calibri" w:eastAsia="宋体" w:cs="Times New Roman"/>
      <w:kern w:val="2"/>
      <w:sz w:val="18"/>
      <w:szCs w:val="18"/>
    </w:rPr>
  </w:style>
  <w:style w:type="character" w:customStyle="1" w:styleId="19">
    <w:name w:val="批注框文本 Char"/>
    <w:basedOn w:val="11"/>
    <w:link w:val="5"/>
    <w:qFormat/>
    <w:uiPriority w:val="0"/>
    <w:rPr>
      <w:rFonts w:ascii="Calibri" w:hAnsi="Calibri" w:eastAsia="宋体" w:cs="Times New Roman"/>
      <w:kern w:val="2"/>
      <w:sz w:val="18"/>
      <w:szCs w:val="18"/>
    </w:rPr>
  </w:style>
  <w:style w:type="character" w:customStyle="1" w:styleId="20">
    <w:name w:val="正文文本 Char"/>
    <w:basedOn w:val="11"/>
    <w:link w:val="3"/>
    <w:qFormat/>
    <w:uiPriority w:val="99"/>
    <w:rPr>
      <w:rFonts w:ascii="Calibri" w:hAnsi="Calibri" w:eastAsia="宋体" w:cs="Times New Roman"/>
      <w:kern w:val="2"/>
      <w:sz w:val="21"/>
      <w:szCs w:val="24"/>
    </w:rPr>
  </w:style>
  <w:style w:type="character" w:customStyle="1" w:styleId="21">
    <w:name w:val="font91"/>
    <w:basedOn w:val="11"/>
    <w:qFormat/>
    <w:uiPriority w:val="0"/>
    <w:rPr>
      <w:rFonts w:hint="eastAsia" w:ascii="宋体" w:hAnsi="宋体" w:eastAsia="宋体" w:cs="宋体"/>
      <w:color w:val="000000"/>
      <w:sz w:val="20"/>
      <w:szCs w:val="20"/>
      <w:u w:val="none"/>
    </w:rPr>
  </w:style>
  <w:style w:type="paragraph" w:customStyle="1" w:styleId="22">
    <w:name w:val="font5"/>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23">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24">
    <w:name w:val="font7"/>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
    <w:name w:val="font8"/>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
    <w:name w:val="font9"/>
    <w:basedOn w:val="1"/>
    <w:qFormat/>
    <w:uiPriority w:val="0"/>
    <w:pPr>
      <w:widowControl/>
      <w:spacing w:before="100" w:beforeAutospacing="1" w:after="100" w:afterAutospacing="1"/>
      <w:jc w:val="left"/>
    </w:pPr>
    <w:rPr>
      <w:rFonts w:ascii="黑体" w:hAnsi="黑体" w:eastAsia="黑体" w:cs="宋体"/>
      <w:kern w:val="0"/>
      <w:sz w:val="48"/>
      <w:szCs w:val="48"/>
    </w:rPr>
  </w:style>
  <w:style w:type="paragraph" w:customStyle="1" w:styleId="27">
    <w:name w:val="font1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8">
    <w:name w:val="font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
    <w:name w:val="font13"/>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30">
    <w:name w:val="xl65"/>
    <w:basedOn w:val="1"/>
    <w:qFormat/>
    <w:uiPriority w:val="0"/>
    <w:pPr>
      <w:widowControl/>
      <w:spacing w:before="100" w:beforeAutospacing="1" w:after="100" w:afterAutospacing="1"/>
      <w:jc w:val="left"/>
    </w:pPr>
    <w:rPr>
      <w:rFonts w:ascii="宋体" w:hAnsi="宋体" w:cs="宋体"/>
      <w:kern w:val="0"/>
      <w:sz w:val="28"/>
      <w:szCs w:val="28"/>
    </w:rPr>
  </w:style>
  <w:style w:type="paragraph" w:customStyle="1" w:styleId="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3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37">
    <w:name w:val="xl72"/>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38">
    <w:name w:val="xl73"/>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39">
    <w:name w:val="xl74"/>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0">
    <w:name w:val="xl75"/>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41">
    <w:name w:val="xl7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4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48">
    <w:name w:val="xl83"/>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xl84"/>
    <w:basedOn w:val="1"/>
    <w:qFormat/>
    <w:uiPriority w:val="0"/>
    <w:pPr>
      <w:widowControl/>
      <w:spacing w:before="100" w:beforeAutospacing="1" w:after="100" w:afterAutospacing="1"/>
      <w:jc w:val="right"/>
    </w:pPr>
    <w:rPr>
      <w:rFonts w:ascii="宋体" w:hAnsi="宋体" w:cs="宋体"/>
      <w:kern w:val="0"/>
      <w:sz w:val="28"/>
      <w:szCs w:val="28"/>
    </w:rPr>
  </w:style>
  <w:style w:type="paragraph" w:customStyle="1" w:styleId="50">
    <w:name w:val="xl85"/>
    <w:basedOn w:val="1"/>
    <w:qFormat/>
    <w:uiPriority w:val="0"/>
    <w:pPr>
      <w:widowControl/>
      <w:spacing w:before="100" w:beforeAutospacing="1" w:after="100" w:afterAutospacing="1"/>
      <w:jc w:val="center"/>
    </w:pPr>
    <w:rPr>
      <w:rFonts w:ascii="宋体" w:hAnsi="宋体" w:cs="宋体"/>
      <w:kern w:val="0"/>
      <w:sz w:val="28"/>
      <w:szCs w:val="2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0"/>
      <w:szCs w:val="20"/>
    </w:rPr>
  </w:style>
  <w:style w:type="paragraph" w:customStyle="1" w:styleId="54">
    <w:name w:val="xl8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5">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56">
    <w:name w:val="xl91"/>
    <w:basedOn w:val="1"/>
    <w:qFormat/>
    <w:uiPriority w:val="0"/>
    <w:pPr>
      <w:widowControl/>
      <w:spacing w:before="100" w:beforeAutospacing="1" w:after="100" w:afterAutospacing="1"/>
      <w:jc w:val="center"/>
    </w:pPr>
    <w:rPr>
      <w:rFonts w:ascii="Times New Roman" w:hAnsi="Times New Roman"/>
      <w:kern w:val="0"/>
      <w:sz w:val="48"/>
      <w:szCs w:val="48"/>
    </w:rPr>
  </w:style>
  <w:style w:type="paragraph" w:customStyle="1" w:styleId="57">
    <w:name w:val="xl92"/>
    <w:basedOn w:val="1"/>
    <w:qFormat/>
    <w:uiPriority w:val="0"/>
    <w:pPr>
      <w:widowControl/>
      <w:spacing w:before="100" w:beforeAutospacing="1" w:after="100" w:afterAutospacing="1"/>
      <w:jc w:val="center"/>
    </w:pPr>
    <w:rPr>
      <w:rFonts w:ascii="Times New Roman" w:hAnsi="Times New Roman"/>
      <w:kern w:val="0"/>
      <w:sz w:val="20"/>
      <w:szCs w:val="20"/>
    </w:rPr>
  </w:style>
  <w:style w:type="paragraph" w:customStyle="1" w:styleId="58">
    <w:name w:val="xl93"/>
    <w:basedOn w:val="1"/>
    <w:qFormat/>
    <w:uiPriority w:val="0"/>
    <w:pPr>
      <w:widowControl/>
      <w:pBdr>
        <w:bottom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5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character" w:customStyle="1" w:styleId="62">
    <w:name w:val="font21"/>
    <w:basedOn w:val="11"/>
    <w:qFormat/>
    <w:uiPriority w:val="0"/>
    <w:rPr>
      <w:rFonts w:hint="eastAsia" w:ascii="宋体" w:hAnsi="宋体" w:eastAsia="宋体" w:cs="宋体"/>
      <w:color w:val="000000"/>
      <w:sz w:val="22"/>
      <w:szCs w:val="22"/>
      <w:u w:val="none"/>
    </w:rPr>
  </w:style>
  <w:style w:type="character" w:customStyle="1" w:styleId="63">
    <w:name w:val="font101"/>
    <w:basedOn w:val="11"/>
    <w:qFormat/>
    <w:uiPriority w:val="0"/>
    <w:rPr>
      <w:rFonts w:hint="default" w:ascii="Times New Roman" w:hAnsi="Times New Roman" w:cs="Times New Roman"/>
      <w:color w:val="FF0000"/>
      <w:sz w:val="22"/>
      <w:szCs w:val="22"/>
      <w:u w:val="none"/>
    </w:rPr>
  </w:style>
  <w:style w:type="character" w:customStyle="1" w:styleId="64">
    <w:name w:val="font112"/>
    <w:basedOn w:val="11"/>
    <w:qFormat/>
    <w:uiPriority w:val="0"/>
    <w:rPr>
      <w:rFonts w:hint="eastAsia" w:ascii="方正仿宋_GBK" w:hAnsi="方正仿宋_GBK" w:eastAsia="方正仿宋_GBK" w:cs="方正仿宋_GBK"/>
      <w:color w:val="000000"/>
      <w:sz w:val="22"/>
      <w:szCs w:val="22"/>
      <w:u w:val="none"/>
    </w:rPr>
  </w:style>
  <w:style w:type="character" w:customStyle="1" w:styleId="65">
    <w:name w:val="font71"/>
    <w:basedOn w:val="11"/>
    <w:qFormat/>
    <w:uiPriority w:val="0"/>
    <w:rPr>
      <w:rFonts w:hint="eastAsia" w:ascii="宋体" w:hAnsi="宋体" w:eastAsia="宋体" w:cs="宋体"/>
      <w:color w:val="000000"/>
      <w:sz w:val="21"/>
      <w:szCs w:val="21"/>
      <w:u w:val="none"/>
    </w:rPr>
  </w:style>
  <w:style w:type="character" w:customStyle="1" w:styleId="66">
    <w:name w:val="font51"/>
    <w:basedOn w:val="11"/>
    <w:qFormat/>
    <w:uiPriority w:val="0"/>
    <w:rPr>
      <w:rFonts w:hint="default" w:ascii="仿宋_GB2312" w:eastAsia="仿宋_GB2312" w:cs="仿宋_GB2312"/>
      <w:color w:val="000000"/>
      <w:sz w:val="21"/>
      <w:szCs w:val="21"/>
      <w:u w:val="none"/>
    </w:rPr>
  </w:style>
  <w:style w:type="character" w:customStyle="1" w:styleId="67">
    <w:name w:val="font121"/>
    <w:basedOn w:val="11"/>
    <w:qFormat/>
    <w:uiPriority w:val="0"/>
    <w:rPr>
      <w:rFonts w:hint="default" w:ascii="Times New Roman" w:hAnsi="Times New Roman" w:cs="Times New Roman"/>
      <w:color w:val="000000"/>
      <w:sz w:val="28"/>
      <w:szCs w:val="28"/>
      <w:u w:val="none"/>
    </w:rPr>
  </w:style>
  <w:style w:type="character" w:customStyle="1" w:styleId="68">
    <w:name w:val="font131"/>
    <w:basedOn w:val="11"/>
    <w:qFormat/>
    <w:uiPriority w:val="0"/>
    <w:rPr>
      <w:rFonts w:hint="eastAsia" w:ascii="方正仿宋_GBK" w:hAnsi="方正仿宋_GBK" w:eastAsia="方正仿宋_GBK" w:cs="方正仿宋_GBK"/>
      <w:color w:val="000000"/>
      <w:sz w:val="28"/>
      <w:szCs w:val="28"/>
      <w:u w:val="none"/>
    </w:rPr>
  </w:style>
  <w:style w:type="character" w:customStyle="1" w:styleId="69">
    <w:name w:val="font41"/>
    <w:basedOn w:val="11"/>
    <w:qFormat/>
    <w:uiPriority w:val="0"/>
    <w:rPr>
      <w:rFonts w:hint="default" w:ascii="Times New Roman" w:hAnsi="Times New Roman" w:cs="Times New Roman"/>
      <w:color w:val="000000"/>
      <w:sz w:val="21"/>
      <w:szCs w:val="21"/>
      <w:u w:val="none"/>
    </w:rPr>
  </w:style>
  <w:style w:type="character" w:customStyle="1" w:styleId="70">
    <w:name w:val="font141"/>
    <w:basedOn w:val="11"/>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A4D8D-FDEC-4043-ACE4-E9107D6A3FCC}">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24</Pages>
  <Words>9058</Words>
  <Characters>10277</Characters>
  <Lines>45</Lines>
  <Paragraphs>12</Paragraphs>
  <TotalTime>114</TotalTime>
  <ScaleCrop>false</ScaleCrop>
  <LinksUpToDate>false</LinksUpToDate>
  <CharactersWithSpaces>10635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2022-09-08T02:11:00Z</dcterms:created>
  <dc:creator>wayfarer</dc:creator>
  <cp:lastModifiedBy>NTKO</cp:lastModifiedBy>
  <cp:lastPrinted>2022-12-02T07:23:22Z</cp:lastPrinted>
  <dcterms:modified xsi:type="dcterms:W3CDTF">2022-12-02T07:45:45Z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EC2860DFE6794F0E9048188E058291E0</vt:lpwstr>
  </property>
</Properties>
</file>