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lang w:val="en-US" w:eastAsia="zh-CN"/>
        </w:rPr>
        <w:t>15</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hint="eastAsia" w:eastAsia="方正小标宋简体"/>
          <w:color w:val="000000" w:themeColor="text1"/>
          <w:sz w:val="52"/>
          <w:szCs w:val="52"/>
        </w:rPr>
      </w:pPr>
      <w:r>
        <w:rPr>
          <w:rFonts w:hint="eastAsia" w:eastAsia="方正小标宋简体"/>
          <w:color w:val="000000" w:themeColor="text1"/>
          <w:sz w:val="52"/>
          <w:szCs w:val="52"/>
        </w:rPr>
        <w:t>高新区核心区J-V-A1-1-1地块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jc w:val="both"/>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w w:val="100"/>
          <w:sz w:val="44"/>
        </w:rPr>
      </w:pPr>
      <w:r>
        <w:rPr>
          <w:color w:val="000000" w:themeColor="text1"/>
          <w:sz w:val="44"/>
        </w:rPr>
        <w:br w:type="page"/>
      </w:r>
      <w:r>
        <w:rPr>
          <w:rFonts w:eastAsia="黑体"/>
          <w:bCs/>
          <w:color w:val="000000" w:themeColor="text1"/>
          <w:w w:val="100"/>
          <w:sz w:val="44"/>
        </w:rPr>
        <w:t>目录</w:t>
      </w:r>
    </w:p>
    <w:p>
      <w:pPr>
        <w:tabs>
          <w:tab w:val="left" w:leader="middleDot" w:pos="7980"/>
        </w:tabs>
        <w:rPr>
          <w:color w:val="000000" w:themeColor="text1"/>
          <w:w w:val="66"/>
          <w:sz w:val="32"/>
          <w:szCs w:val="32"/>
        </w:rPr>
      </w:pP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60" w:hangingChars="50"/>
        <w:textAlignment w:val="auto"/>
        <w:rPr>
          <w:color w:val="000000" w:themeColor="text1"/>
          <w:w w:val="100"/>
          <w:sz w:val="32"/>
          <w:szCs w:val="32"/>
        </w:rPr>
      </w:pPr>
      <w:r>
        <w:rPr>
          <w:color w:val="000000" w:themeColor="text1"/>
          <w:w w:val="100"/>
          <w:sz w:val="32"/>
          <w:szCs w:val="32"/>
        </w:rPr>
        <w:fldChar w:fldCharType="begin"/>
      </w:r>
      <w:r>
        <w:rPr>
          <w:color w:val="000000" w:themeColor="text1"/>
          <w:w w:val="100"/>
          <w:sz w:val="32"/>
          <w:szCs w:val="32"/>
        </w:rPr>
        <w:instrText xml:space="preserve"> TOC \o "1-1" \h \z \u </w:instrText>
      </w:r>
      <w:r>
        <w:rPr>
          <w:color w:val="000000" w:themeColor="text1"/>
          <w:w w:val="100"/>
          <w:sz w:val="32"/>
          <w:szCs w:val="32"/>
        </w:rPr>
        <w:fldChar w:fldCharType="separate"/>
      </w:r>
      <w:r>
        <w:rPr>
          <w:w w:val="100"/>
        </w:rPr>
        <w:fldChar w:fldCharType="begin"/>
      </w:r>
      <w:r>
        <w:rPr>
          <w:w w:val="100"/>
        </w:rPr>
        <w:instrText xml:space="preserve"> HYPERLINK \l "_Toc3391970" </w:instrText>
      </w:r>
      <w:r>
        <w:rPr>
          <w:w w:val="100"/>
        </w:rPr>
        <w:fldChar w:fldCharType="separate"/>
      </w:r>
      <w:r>
        <w:rPr>
          <w:color w:val="000000" w:themeColor="text1"/>
          <w:w w:val="100"/>
          <w:sz w:val="32"/>
          <w:szCs w:val="32"/>
        </w:rPr>
        <w:t>拍卖出让公告</w:t>
      </w:r>
      <w:r>
        <w:rPr>
          <w:color w:val="000000" w:themeColor="text1"/>
          <w:w w:val="100"/>
          <w:sz w:val="32"/>
          <w:szCs w:val="32"/>
        </w:rPr>
        <w:tab/>
      </w:r>
      <w:r>
        <w:rPr>
          <w:color w:val="000000" w:themeColor="text1"/>
          <w:w w:val="100"/>
          <w:sz w:val="32"/>
          <w:szCs w:val="32"/>
        </w:rPr>
        <w:fldChar w:fldCharType="begin"/>
      </w:r>
      <w:r>
        <w:rPr>
          <w:color w:val="000000" w:themeColor="text1"/>
          <w:w w:val="100"/>
          <w:sz w:val="32"/>
          <w:szCs w:val="32"/>
        </w:rPr>
        <w:instrText xml:space="preserve"> PAGEREF _Toc3391970 \h </w:instrText>
      </w:r>
      <w:r>
        <w:rPr>
          <w:color w:val="000000" w:themeColor="text1"/>
          <w:w w:val="100"/>
          <w:sz w:val="32"/>
          <w:szCs w:val="32"/>
        </w:rPr>
        <w:fldChar w:fldCharType="separate"/>
      </w:r>
      <w:r>
        <w:rPr>
          <w:color w:val="000000" w:themeColor="text1"/>
          <w:w w:val="100"/>
          <w:sz w:val="32"/>
          <w:szCs w:val="32"/>
        </w:rPr>
        <w:t>- 3 -</w:t>
      </w:r>
      <w:r>
        <w:rPr>
          <w:color w:val="000000" w:themeColor="text1"/>
          <w:w w:val="100"/>
          <w:sz w:val="32"/>
          <w:szCs w:val="32"/>
        </w:rPr>
        <w:fldChar w:fldCharType="end"/>
      </w:r>
      <w:r>
        <w:rPr>
          <w:color w:val="000000" w:themeColor="text1"/>
          <w:w w:val="100"/>
          <w:sz w:val="32"/>
          <w:szCs w:val="32"/>
        </w:rPr>
        <w:fldChar w:fldCharType="end"/>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"_Toc3391971" </w:instrText>
      </w:r>
      <w:r>
        <w:rPr>
          <w:w w:val="100"/>
        </w:rPr>
        <w:fldChar w:fldCharType="separate"/>
      </w:r>
      <w:r>
        <w:rPr>
          <w:color w:val="000000" w:themeColor="text1"/>
          <w:w w:val="100"/>
          <w:sz w:val="32"/>
          <w:szCs w:val="32"/>
        </w:rPr>
        <w:t>国有建设用地使用权拍卖出让须知</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6-1</w:t>
      </w:r>
      <w:r>
        <w:rPr>
          <w:rFonts w:hint="eastAsia"/>
          <w:color w:val="000000" w:themeColor="text1"/>
          <w:w w:val="100"/>
          <w:sz w:val="32"/>
          <w:szCs w:val="32"/>
          <w:lang w:val="en-US" w:eastAsia="zh-CN"/>
        </w:rPr>
        <w:t>8</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"_Toc3391972" </w:instrText>
      </w:r>
      <w:r>
        <w:rPr>
          <w:w w:val="100"/>
        </w:rPr>
        <w:fldChar w:fldCharType="separate"/>
      </w:r>
      <w:r>
        <w:rPr>
          <w:color w:val="000000" w:themeColor="text1"/>
          <w:w w:val="100"/>
          <w:sz w:val="32"/>
          <w:szCs w:val="32"/>
        </w:rPr>
        <w:t>地块规划条件相关资料</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1</w:t>
      </w:r>
      <w:r>
        <w:rPr>
          <w:rFonts w:hint="eastAsia"/>
          <w:color w:val="000000" w:themeColor="text1"/>
          <w:w w:val="100"/>
          <w:sz w:val="32"/>
          <w:szCs w:val="32"/>
          <w:lang w:val="en-US" w:eastAsia="zh-CN"/>
        </w:rPr>
        <w:t>9</w:t>
      </w:r>
      <w:r>
        <w:rPr>
          <w:color w:val="000000" w:themeColor="text1"/>
          <w:w w:val="100"/>
          <w:sz w:val="32"/>
          <w:szCs w:val="32"/>
        </w:rPr>
        <w:t>-2</w:t>
      </w:r>
      <w:r>
        <w:rPr>
          <w:rFonts w:hint="eastAsia"/>
          <w:color w:val="000000" w:themeColor="text1"/>
          <w:w w:val="100"/>
          <w:sz w:val="32"/>
          <w:szCs w:val="32"/>
          <w:lang w:val="en-US" w:eastAsia="zh-CN"/>
        </w:rPr>
        <w:t>0</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"_Toc3391973" </w:instrText>
      </w:r>
      <w:r>
        <w:rPr>
          <w:w w:val="100"/>
        </w:rPr>
        <w:fldChar w:fldCharType="separate"/>
      </w:r>
      <w:r>
        <w:rPr>
          <w:color w:val="000000" w:themeColor="text1"/>
          <w:w w:val="100"/>
          <w:sz w:val="32"/>
          <w:szCs w:val="32"/>
        </w:rPr>
        <w:t>用地红线图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"_Toc3391974" </w:instrText>
      </w:r>
      <w:r>
        <w:rPr>
          <w:w w:val="100"/>
        </w:rPr>
        <w:fldChar w:fldCharType="separate"/>
      </w:r>
      <w:r>
        <w:rPr>
          <w:color w:val="000000" w:themeColor="text1"/>
          <w:w w:val="100"/>
          <w:sz w:val="32"/>
          <w:szCs w:val="32"/>
        </w:rPr>
        <w:t>宗地平面界址图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2</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"_Toc3391975" </w:instrText>
      </w:r>
      <w:r>
        <w:rPr>
          <w:w w:val="100"/>
        </w:rPr>
        <w:fldChar w:fldCharType="separate"/>
      </w:r>
      <w:r>
        <w:rPr>
          <w:color w:val="000000" w:themeColor="text1"/>
          <w:w w:val="100"/>
          <w:sz w:val="32"/>
          <w:szCs w:val="32"/>
        </w:rPr>
        <w:t>竞买申请书（样本）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3</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"_Toc3391976" </w:instrText>
      </w:r>
      <w:r>
        <w:rPr>
          <w:w w:val="100"/>
        </w:rPr>
        <w:fldChar w:fldCharType="separate"/>
      </w:r>
      <w:r>
        <w:rPr>
          <w:color w:val="000000" w:themeColor="text1"/>
          <w:w w:val="100"/>
          <w:sz w:val="32"/>
          <w:szCs w:val="32"/>
        </w:rPr>
        <w:t>保证金承诺书（样本）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4</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"_Toc3391977" </w:instrText>
      </w:r>
      <w:r>
        <w:rPr>
          <w:w w:val="100"/>
        </w:rPr>
        <w:fldChar w:fldCharType="separate"/>
      </w:r>
      <w:r>
        <w:rPr>
          <w:color w:val="000000" w:themeColor="text1"/>
          <w:w w:val="100"/>
          <w:sz w:val="32"/>
          <w:szCs w:val="32"/>
        </w:rPr>
        <w:t>法定代表人身份证明书（样本）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5</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"_Toc3391978" </w:instrText>
      </w:r>
      <w:r>
        <w:rPr>
          <w:w w:val="100"/>
        </w:rPr>
        <w:fldChar w:fldCharType="separate"/>
      </w:r>
      <w:r>
        <w:rPr>
          <w:color w:val="000000" w:themeColor="text1"/>
          <w:w w:val="100"/>
          <w:sz w:val="32"/>
          <w:szCs w:val="32"/>
        </w:rPr>
        <w:t>授权委托书（样本）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6</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"_Toc3391979" </w:instrText>
      </w:r>
      <w:r>
        <w:rPr>
          <w:w w:val="100"/>
        </w:rPr>
        <w:fldChar w:fldCharType="separate"/>
      </w:r>
      <w:r>
        <w:rPr>
          <w:color w:val="000000" w:themeColor="text1"/>
          <w:w w:val="100"/>
          <w:sz w:val="32"/>
          <w:szCs w:val="32"/>
        </w:rPr>
        <w:t>成交确认书（样本）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7</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"_Toc3391980" </w:instrText>
      </w:r>
      <w:r>
        <w:rPr>
          <w:w w:val="100"/>
        </w:rPr>
        <w:fldChar w:fldCharType="separate"/>
      </w:r>
      <w:r>
        <w:rPr>
          <w:color w:val="000000" w:themeColor="text1"/>
          <w:w w:val="100"/>
          <w:sz w:val="32"/>
          <w:szCs w:val="32"/>
        </w:rPr>
        <w:t>国有建设用地使用权出让合同（样本）</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8</w:t>
      </w:r>
      <w:r>
        <w:rPr>
          <w:color w:val="000000" w:themeColor="text1"/>
          <w:w w:val="100"/>
          <w:sz w:val="32"/>
          <w:szCs w:val="32"/>
        </w:rPr>
        <w:t>-4</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"_Toc3391981" </w:instrText>
      </w:r>
      <w:r>
        <w:rPr>
          <w:w w:val="100"/>
        </w:rPr>
        <w:fldChar w:fldCharType="separate"/>
      </w:r>
      <w:r>
        <w:rPr>
          <w:color w:val="000000" w:themeColor="text1"/>
          <w:w w:val="100"/>
          <w:sz w:val="32"/>
          <w:szCs w:val="32"/>
        </w:rPr>
        <w:t>其他相关文件</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4</w:t>
      </w:r>
      <w:r>
        <w:rPr>
          <w:rFonts w:hint="eastAsia"/>
          <w:color w:val="000000" w:themeColor="text1"/>
          <w:w w:val="100"/>
          <w:sz w:val="32"/>
          <w:szCs w:val="32"/>
          <w:lang w:val="en-US" w:eastAsia="zh-CN"/>
        </w:rPr>
        <w:t>2</w:t>
      </w:r>
      <w:r>
        <w:rPr>
          <w:color w:val="000000" w:themeColor="text1"/>
          <w:w w:val="100"/>
          <w:sz w:val="32"/>
          <w:szCs w:val="32"/>
        </w:rPr>
        <w:t>-4</w:t>
      </w:r>
      <w:r>
        <w:rPr>
          <w:rFonts w:hint="eastAsia"/>
          <w:color w:val="000000" w:themeColor="text1"/>
          <w:w w:val="100"/>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line="578" w:lineRule="exact"/>
        <w:ind w:left="0"/>
        <w:textAlignment w:val="auto"/>
        <w:rPr>
          <w:rFonts w:eastAsia="黑体"/>
          <w:color w:val="000000" w:themeColor="text1"/>
          <w:sz w:val="48"/>
          <w:szCs w:val="48"/>
        </w:rPr>
      </w:pPr>
      <w:r>
        <w:rPr>
          <w:color w:val="000000" w:themeColor="text1"/>
          <w:w w:val="100"/>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6"/>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themeColor="text1"/>
          <w:sz w:val="44"/>
          <w:szCs w:val="44"/>
        </w:rPr>
      </w:pPr>
      <w:bookmarkStart w:id="0" w:name="_Toc3391741"/>
      <w:bookmarkStart w:id="1" w:name="_Toc3391970"/>
      <w:bookmarkStart w:id="2" w:name="OLE_LINK1"/>
      <w:bookmarkStart w:id="3" w:name="_Toc3391742"/>
      <w:bookmarkStart w:id="4" w:name="_Toc3391971"/>
      <w:r>
        <w:rPr>
          <w:rFonts w:eastAsia="方正小标宋简体"/>
          <w:color w:val="000000" w:themeColor="text1"/>
          <w:sz w:val="44"/>
          <w:szCs w:val="44"/>
        </w:rPr>
        <w:t>达州市自然资源和规划局</w:t>
      </w: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3"/>
        <w:keepNext w:val="0"/>
        <w:keepLines w:val="0"/>
        <w:pageBreakBefore w:val="0"/>
        <w:widowControl w:val="0"/>
        <w:kinsoku/>
        <w:overflowPunct/>
        <w:topLinePunct w:val="0"/>
        <w:autoSpaceDE/>
        <w:autoSpaceDN/>
        <w:bidi w:val="0"/>
        <w:adjustRightInd/>
        <w:spacing w:before="0" w:after="0" w:line="578" w:lineRule="exact"/>
        <w:ind w:left="0"/>
        <w:textAlignment w:val="auto"/>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strike w:val="0"/>
          <w:dstrike w:val="0"/>
          <w:color w:val="000000" w:themeColor="text1"/>
          <w:sz w:val="28"/>
          <w:szCs w:val="28"/>
        </w:rPr>
      </w:pPr>
      <w:r>
        <w:rPr>
          <w:strike w:val="0"/>
          <w:dstrike w:val="0"/>
          <w:color w:val="000000" w:themeColor="text1"/>
          <w:sz w:val="28"/>
          <w:szCs w:val="28"/>
        </w:rPr>
        <w:t xml:space="preserve">DST（P）[2022] </w:t>
      </w:r>
      <w:r>
        <w:rPr>
          <w:rFonts w:hint="eastAsia"/>
          <w:strike w:val="0"/>
          <w:dstrike w:val="0"/>
          <w:color w:val="000000" w:themeColor="text1"/>
          <w:sz w:val="28"/>
          <w:szCs w:val="28"/>
          <w:lang w:val="en-US" w:eastAsia="zh-CN"/>
        </w:rPr>
        <w:t>15</w:t>
      </w:r>
      <w:r>
        <w:rPr>
          <w:strike w:val="0"/>
          <w:dstrike w:val="0"/>
          <w:color w:val="000000" w:themeColor="text1"/>
          <w:sz w:val="28"/>
          <w:szCs w:val="28"/>
        </w:rPr>
        <w:t>号</w:t>
      </w:r>
    </w:p>
    <w:bookmarkEnd w:id="2"/>
    <w:p>
      <w:pPr>
        <w:pStyle w:val="13"/>
        <w:spacing w:before="0" w:after="0" w:line="600" w:lineRule="exact"/>
        <w:jc w:val="both"/>
        <w:rPr>
          <w:rFonts w:ascii="Times New Roman" w:hAnsi="Times New Roman" w:eastAsia="方正小标宋简体"/>
          <w:b w:val="0"/>
          <w:color w:val="000000" w:themeColor="text1"/>
          <w:sz w:val="44"/>
          <w:szCs w:val="44"/>
        </w:rPr>
      </w:pP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马踏洞片区中心服务区08-01b等9宗地块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4"/>
        <w:tblW w:w="57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2"/>
        <w:gridCol w:w="868"/>
        <w:gridCol w:w="807"/>
        <w:gridCol w:w="868"/>
        <w:gridCol w:w="614"/>
        <w:gridCol w:w="712"/>
        <w:gridCol w:w="618"/>
        <w:gridCol w:w="571"/>
        <w:gridCol w:w="688"/>
        <w:gridCol w:w="942"/>
        <w:gridCol w:w="1081"/>
        <w:gridCol w:w="516"/>
        <w:gridCol w:w="342"/>
        <w:gridCol w:w="543"/>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6"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3"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2"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216"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6"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26"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2"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马踏洞片区中心服务区08-01b地块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33258.85平方米（折合49.89亩）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490万元/亩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马踏洞片区中心服务区08-02b地块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34940.61平方米（折合52.41亩）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3.2</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470万元/亩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马踏洞片区中心服务区08-03b地块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30970平方米（折合46.46亩）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2.6</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3600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马踏洞片区中心服务区08-04a地块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39560平方米（折合59.34亩）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4100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马踏洞片区中心服务区11-03b地块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马踏洞片区（龙马大道与龙池街交汇处）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40012.2平方米（折合60.02亩）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1.61</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183万元/亩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5500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8"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6</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马踏洞片区中心服务区12-04a地块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马踏洞片区（龙马大道与秦巴大道西段交汇处）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28720.72平方米（折合43.08亩）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lang w:val="en-US" w:eastAsia="zh-CN"/>
              </w:rPr>
              <w:t>120米</w:t>
            </w: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5300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7</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马踏洞片区中心服务区13-01b地块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22886.3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34.33</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1.9</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216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凤凰山北岩寺公共停车场</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通川区东城街道文江祠社区三组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2183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3.27</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社会停车场用地</w:t>
            </w:r>
          </w:p>
        </w:tc>
        <w:tc>
          <w:tcPr>
            <w:tcW w:w="34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121</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16"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9</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高新区核心区J-V-A1-1-1地块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金龙大道矿山救援队旁</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14659</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21.99</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商务设施用地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1.5&lt;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6"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60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高新区核心区</w:t>
            </w:r>
            <w:r>
              <w:rPr>
                <w:rFonts w:hint="eastAsia" w:ascii="微软雅黑" w:hAnsi="微软雅黑" w:eastAsia="微软雅黑" w:cs="微软雅黑"/>
                <w:b/>
                <w:bCs/>
                <w:color w:val="000000"/>
                <w:sz w:val="15"/>
                <w:szCs w:val="15"/>
                <w:lang w:val="en-US" w:eastAsia="zh-CN"/>
              </w:rPr>
              <w:t>J-V-A1-1-1</w:t>
            </w:r>
            <w:r>
              <w:rPr>
                <w:rFonts w:hint="eastAsia" w:ascii="微软雅黑" w:hAnsi="微软雅黑" w:eastAsia="微软雅黑" w:cs="微软雅黑"/>
                <w:b/>
                <w:bCs/>
                <w:color w:val="000000" w:themeColor="text1"/>
                <w:sz w:val="15"/>
                <w:szCs w:val="15"/>
              </w:rPr>
              <w:t>地块规划条件》</w:t>
            </w:r>
          </w:p>
        </w:tc>
        <w:tc>
          <w:tcPr>
            <w:tcW w:w="526"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高新区核心区</w:t>
            </w:r>
            <w:r>
              <w:rPr>
                <w:rFonts w:hint="eastAsia" w:ascii="微软雅黑" w:hAnsi="微软雅黑" w:eastAsia="微软雅黑" w:cs="微软雅黑"/>
                <w:b/>
                <w:bCs/>
                <w:color w:val="000000"/>
                <w:sz w:val="15"/>
                <w:szCs w:val="15"/>
                <w:lang w:val="en-US" w:eastAsia="zh-CN"/>
              </w:rPr>
              <w:t>J-V-A1-1-1</w:t>
            </w:r>
            <w:r>
              <w:rPr>
                <w:rFonts w:hint="eastAsia" w:ascii="微软雅黑" w:hAnsi="微软雅黑" w:eastAsia="微软雅黑" w:cs="微软雅黑"/>
                <w:b/>
                <w:bCs/>
                <w:color w:val="000000" w:themeColor="text1"/>
                <w:sz w:val="15"/>
                <w:szCs w:val="15"/>
              </w:rPr>
              <w:t>地块规划条件》</w:t>
            </w:r>
          </w:p>
        </w:tc>
        <w:tc>
          <w:tcPr>
            <w:tcW w:w="252"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2300</w:t>
            </w:r>
            <w:r>
              <w:rPr>
                <w:rFonts w:hint="eastAsia" w:ascii="微软雅黑" w:hAnsi="微软雅黑" w:eastAsia="微软雅黑" w:cs="微软雅黑"/>
                <w:b/>
                <w:bCs/>
                <w:color w:val="000000" w:themeColor="text1"/>
                <w:sz w:val="15"/>
                <w:szCs w:val="15"/>
              </w:rPr>
              <w:t>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8"/>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8"/>
          <w:rFonts w:eastAsia="仿宋"/>
          <w:b/>
          <w:color w:val="000000" w:themeColor="text1"/>
          <w:sz w:val="32"/>
          <w:szCs w:val="32"/>
          <w:u w:val="none"/>
        </w:rPr>
      </w:pPr>
      <w:r>
        <w:rPr>
          <w:rStyle w:val="18"/>
          <w:rFonts w:eastAsia="仿宋"/>
          <w:color w:val="000000" w:themeColor="text1"/>
          <w:sz w:val="32"/>
          <w:szCs w:val="32"/>
          <w:u w:val="none"/>
        </w:rPr>
        <w:t>已完成用户注册的竞买申请人须在</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8</w:t>
      </w:r>
      <w:r>
        <w:rPr>
          <w:rStyle w:val="18"/>
          <w:rFonts w:eastAsia="仿宋"/>
          <w:b/>
          <w:color w:val="000000" w:themeColor="text1"/>
          <w:sz w:val="32"/>
          <w:szCs w:val="32"/>
        </w:rPr>
        <w:t>日17:00</w:t>
      </w:r>
      <w:r>
        <w:rPr>
          <w:rStyle w:val="18"/>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u w:val="none"/>
        </w:rPr>
        <w:t>http://www.dzggzy.cn</w:t>
      </w:r>
      <w:r>
        <w:rPr>
          <w:rStyle w:val="18"/>
          <w:rFonts w:eastAsia="仿宋"/>
          <w:color w:val="000000" w:themeColor="text1"/>
          <w:sz w:val="32"/>
          <w:szCs w:val="32"/>
          <w:u w:val="none"/>
        </w:rPr>
        <w:fldChar w:fldCharType="end"/>
      </w:r>
      <w:r>
        <w:rPr>
          <w:rStyle w:val="18"/>
          <w:rFonts w:eastAsia="仿宋"/>
          <w:color w:val="000000" w:themeColor="text1"/>
          <w:sz w:val="32"/>
          <w:szCs w:val="32"/>
          <w:u w:val="none"/>
        </w:rPr>
        <w:t>）通过系统提交竞买申请。通过指定账户缴纳竞买保证金，到账截止时间为</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8</w:t>
      </w:r>
      <w:r>
        <w:rPr>
          <w:rStyle w:val="18"/>
          <w:rFonts w:eastAsia="仿宋"/>
          <w:b/>
          <w:color w:val="000000" w:themeColor="text1"/>
          <w:sz w:val="32"/>
          <w:szCs w:val="32"/>
        </w:rPr>
        <w:t>日17:00时</w:t>
      </w:r>
      <w:r>
        <w:rPr>
          <w:rStyle w:val="18"/>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11</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9</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11</w:t>
      </w:r>
      <w:r>
        <w:rPr>
          <w:rFonts w:eastAsia="仿宋"/>
          <w:b/>
          <w:sz w:val="32"/>
          <w:szCs w:val="32"/>
          <w:u w:val="single"/>
        </w:rPr>
        <w:t>月</w:t>
      </w:r>
      <w:r>
        <w:rPr>
          <w:rFonts w:hint="eastAsia" w:eastAsia="仿宋"/>
          <w:b/>
          <w:sz w:val="32"/>
          <w:szCs w:val="32"/>
          <w:u w:val="single"/>
          <w:lang w:val="en-US" w:eastAsia="zh-CN"/>
        </w:rPr>
        <w:t>9</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8"/>
          <w:rFonts w:eastAsia="仿宋"/>
          <w:color w:val="000000" w:themeColor="text1"/>
          <w:sz w:val="32"/>
          <w:szCs w:val="32"/>
        </w:rPr>
        <w:t>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bookmarkStart w:id="22" w:name="_GoBack"/>
      <w:bookmarkEnd w:id="22"/>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11</w:t>
      </w:r>
      <w:r>
        <w:rPr>
          <w:rFonts w:eastAsia="仿宋"/>
          <w:b/>
          <w:sz w:val="32"/>
          <w:szCs w:val="32"/>
          <w:u w:val="single"/>
        </w:rPr>
        <w:t>月</w:t>
      </w:r>
      <w:r>
        <w:rPr>
          <w:rFonts w:hint="eastAsia" w:eastAsia="仿宋"/>
          <w:b/>
          <w:sz w:val="32"/>
          <w:szCs w:val="32"/>
          <w:u w:val="single"/>
          <w:lang w:val="en-US" w:eastAsia="zh-CN"/>
        </w:rPr>
        <w:t>9</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联系电话：0818-2377534</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hint="default" w:eastAsia="仿宋"/>
          <w:color w:val="000000" w:themeColor="text1"/>
          <w:sz w:val="32"/>
          <w:szCs w:val="32"/>
          <w:lang w:val="en-US"/>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10</w:t>
      </w:r>
      <w:r>
        <w:rPr>
          <w:rFonts w:eastAsia="仿宋"/>
          <w:color w:val="000000" w:themeColor="text1"/>
          <w:sz w:val="32"/>
          <w:szCs w:val="32"/>
        </w:rPr>
        <w:t>月</w:t>
      </w:r>
      <w:r>
        <w:rPr>
          <w:rFonts w:hint="eastAsia" w:eastAsia="仿宋"/>
          <w:color w:val="000000" w:themeColor="text1"/>
          <w:sz w:val="32"/>
          <w:szCs w:val="32"/>
          <w:lang w:val="en-US" w:eastAsia="zh-CN"/>
        </w:rPr>
        <w:t>20日</w:t>
      </w:r>
    </w:p>
    <w:p>
      <w:pPr>
        <w:pStyle w:val="2"/>
        <w:ind w:left="0" w:leftChars="0" w:firstLine="0" w:firstLineChars="0"/>
        <w:rPr>
          <w:rFonts w:ascii="Times New Roman" w:hAnsi="Times New Roman" w:eastAsia="方正小标宋简体"/>
          <w:b w:val="0"/>
          <w:color w:val="000000" w:themeColor="text1"/>
          <w:sz w:val="44"/>
          <w:szCs w:val="44"/>
        </w:rPr>
      </w:pPr>
    </w:p>
    <w:p>
      <w:pPr>
        <w:pStyle w:val="2"/>
        <w:ind w:left="0" w:leftChars="0" w:firstLine="0" w:firstLineChars="0"/>
        <w:rPr>
          <w:rFonts w:ascii="Times New Roman" w:hAnsi="Times New Roman" w:eastAsia="方正小标宋简体"/>
          <w:b w:val="0"/>
          <w:color w:val="000000" w:themeColor="text1"/>
          <w:sz w:val="44"/>
          <w:szCs w:val="44"/>
        </w:rPr>
      </w:pPr>
    </w:p>
    <w:p>
      <w:pPr>
        <w:pStyle w:val="13"/>
        <w:spacing w:before="0" w:after="0" w:line="600"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wordWrap w:val="0"/>
        <w:spacing w:line="600" w:lineRule="exact"/>
        <w:ind w:firstLine="560" w:firstLineChars="20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color w:val="000000" w:themeColor="text1"/>
          <w:sz w:val="28"/>
          <w:szCs w:val="28"/>
          <w:u w:val="single"/>
        </w:rPr>
        <w:t>高新区核心区J-V-A1-1-1地块</w:t>
      </w:r>
      <w:r>
        <w:rPr>
          <w:color w:val="000000" w:themeColor="text1"/>
          <w:sz w:val="28"/>
          <w:szCs w:val="28"/>
        </w:rPr>
        <w:t>国有建设用地使用权。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60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rPr>
        <w:t>金龙大道矿山救援队旁</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rPr>
        <w:t>《高新区核心区J-V-A1-1-1地块供地</w:t>
      </w:r>
      <w:r>
        <w:rPr>
          <w:color w:val="000000" w:themeColor="text1"/>
          <w:sz w:val="28"/>
          <w:szCs w:val="28"/>
        </w:rPr>
        <w:t>勘界图》；</w:t>
      </w:r>
    </w:p>
    <w:p>
      <w:pPr>
        <w:spacing w:line="60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lang w:val="en-US" w:eastAsia="zh-CN"/>
        </w:rPr>
        <w:t>14659</w:t>
      </w:r>
      <w:r>
        <w:rPr>
          <w:rFonts w:hint="eastAsia"/>
          <w:color w:val="000000" w:themeColor="text1"/>
          <w:sz w:val="28"/>
          <w:szCs w:val="28"/>
        </w:rPr>
        <w:t>平方米（折合</w:t>
      </w:r>
      <w:r>
        <w:rPr>
          <w:rFonts w:hint="eastAsia"/>
          <w:color w:val="000000" w:themeColor="text1"/>
          <w:sz w:val="28"/>
          <w:szCs w:val="28"/>
          <w:lang w:val="en-US" w:eastAsia="zh-CN"/>
        </w:rPr>
        <w:t>21</w:t>
      </w:r>
      <w:r>
        <w:rPr>
          <w:rFonts w:hint="eastAsia"/>
          <w:color w:val="000000" w:themeColor="text1"/>
          <w:sz w:val="28"/>
          <w:szCs w:val="28"/>
        </w:rPr>
        <w:t>.</w:t>
      </w:r>
      <w:r>
        <w:rPr>
          <w:rFonts w:hint="eastAsia"/>
          <w:color w:val="000000" w:themeColor="text1"/>
          <w:sz w:val="28"/>
          <w:szCs w:val="28"/>
          <w:lang w:val="en-US" w:eastAsia="zh-CN"/>
        </w:rPr>
        <w:t>99</w:t>
      </w:r>
      <w:r>
        <w:rPr>
          <w:rFonts w:hint="eastAsia"/>
          <w:color w:val="000000" w:themeColor="text1"/>
          <w:sz w:val="28"/>
          <w:szCs w:val="28"/>
        </w:rPr>
        <w:t>亩）</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（四）土地用途：</w:t>
      </w:r>
      <w:r>
        <w:rPr>
          <w:rFonts w:hint="eastAsia"/>
          <w:color w:val="000000" w:themeColor="text1"/>
          <w:sz w:val="28"/>
          <w:szCs w:val="28"/>
          <w:lang w:val="en-US" w:eastAsia="zh-CN"/>
        </w:rPr>
        <w:t>商务设施用地，用地用海分类为商务金融用地</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（五）出让年限：</w:t>
      </w:r>
      <w:r>
        <w:rPr>
          <w:rFonts w:hint="eastAsia"/>
          <w:color w:val="000000" w:themeColor="text1"/>
          <w:sz w:val="28"/>
          <w:szCs w:val="28"/>
          <w:lang w:val="en-US" w:eastAsia="zh-CN"/>
        </w:rPr>
        <w:t>40年</w:t>
      </w:r>
      <w:r>
        <w:rPr>
          <w:color w:val="000000" w:themeColor="text1"/>
          <w:sz w:val="28"/>
          <w:szCs w:val="28"/>
        </w:rPr>
        <w:t>；</w:t>
      </w:r>
    </w:p>
    <w:p>
      <w:pPr>
        <w:spacing w:line="620" w:lineRule="exact"/>
        <w:ind w:firstLine="560" w:firstLineChars="200"/>
        <w:rPr>
          <w:color w:val="000000" w:themeColor="text1"/>
          <w:sz w:val="28"/>
          <w:szCs w:val="28"/>
        </w:rPr>
      </w:pPr>
      <w:r>
        <w:rPr>
          <w:color w:val="000000" w:themeColor="text1"/>
          <w:sz w:val="28"/>
          <w:szCs w:val="28"/>
        </w:rPr>
        <w:t>（六）规划条件：详</w:t>
      </w:r>
      <w:r>
        <w:rPr>
          <w:rFonts w:hint="eastAsia"/>
          <w:color w:val="000000" w:themeColor="text1"/>
          <w:sz w:val="28"/>
          <w:szCs w:val="28"/>
        </w:rPr>
        <w:t>见《高新区核心区J-V-A1-1-1地块</w:t>
      </w:r>
      <w:r>
        <w:rPr>
          <w:color w:val="000000" w:themeColor="text1"/>
          <w:sz w:val="28"/>
          <w:szCs w:val="28"/>
        </w:rPr>
        <w:t>规划条件》；</w:t>
      </w:r>
    </w:p>
    <w:p>
      <w:pPr>
        <w:spacing w:line="620" w:lineRule="exact"/>
        <w:ind w:firstLine="560" w:firstLineChars="200"/>
        <w:rPr>
          <w:rFonts w:hint="eastAsia"/>
          <w:color w:val="000000" w:themeColor="text1"/>
          <w:sz w:val="28"/>
          <w:szCs w:val="28"/>
          <w:lang w:val="en-US" w:eastAsia="zh-CN"/>
        </w:rPr>
      </w:pPr>
      <w:r>
        <w:rPr>
          <w:color w:val="000000" w:themeColor="text1"/>
          <w:sz w:val="28"/>
          <w:szCs w:val="28"/>
        </w:rPr>
        <w:t>（七）</w:t>
      </w:r>
      <w:r>
        <w:rPr>
          <w:rFonts w:hint="eastAsia"/>
          <w:color w:val="000000" w:themeColor="text1"/>
          <w:sz w:val="28"/>
          <w:szCs w:val="28"/>
          <w:lang w:val="en-US" w:eastAsia="zh-CN"/>
        </w:rPr>
        <w:t>其他规划条件：</w:t>
      </w:r>
      <w:r>
        <w:rPr>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负责将生产、生活污水接入市政管网排放。</w:t>
      </w:r>
      <w:r>
        <w:rPr>
          <w:rFonts w:hint="eastAsia"/>
          <w:color w:val="000000" w:themeColor="text1"/>
          <w:sz w:val="28"/>
          <w:szCs w:val="28"/>
          <w:lang w:val="en-US" w:eastAsia="zh-CN"/>
        </w:rPr>
        <w:t>地块内建筑间距、退用地界线距离、退规划绿带距离、退规划道路距离、停车泊位等应满足《达州市国土空间规划管理技术规定（2021版）》《达州经开区核心区控制性详细规划》等规范及文件相关规定。</w:t>
      </w:r>
    </w:p>
    <w:p>
      <w:pPr>
        <w:spacing w:line="620" w:lineRule="exact"/>
        <w:ind w:firstLine="560" w:firstLineChars="200"/>
        <w:rPr>
          <w:rFonts w:hint="eastAsia"/>
          <w:color w:val="000000" w:themeColor="text1"/>
          <w:sz w:val="28"/>
          <w:szCs w:val="28"/>
        </w:rPr>
      </w:pPr>
      <w:r>
        <w:rPr>
          <w:rFonts w:hint="eastAsia"/>
          <w:color w:val="000000" w:themeColor="text1"/>
          <w:sz w:val="28"/>
          <w:szCs w:val="28"/>
          <w:lang w:eastAsia="zh-CN"/>
        </w:rPr>
        <w:t>（</w:t>
      </w:r>
      <w:r>
        <w:rPr>
          <w:rFonts w:hint="eastAsia"/>
          <w:color w:val="000000" w:themeColor="text1"/>
          <w:sz w:val="28"/>
          <w:szCs w:val="28"/>
          <w:lang w:val="en-US" w:eastAsia="zh-CN"/>
        </w:rPr>
        <w:t>八</w:t>
      </w:r>
      <w:r>
        <w:rPr>
          <w:rFonts w:hint="eastAsia"/>
          <w:color w:val="000000" w:themeColor="text1"/>
          <w:sz w:val="28"/>
          <w:szCs w:val="28"/>
          <w:lang w:eastAsia="zh-CN"/>
        </w:rPr>
        <w:t>）</w:t>
      </w:r>
      <w:r>
        <w:rPr>
          <w:rFonts w:hint="eastAsia"/>
          <w:color w:val="000000" w:themeColor="text1"/>
          <w:sz w:val="28"/>
          <w:szCs w:val="28"/>
        </w:rPr>
        <w:t>土地竞得人须严格按照</w:t>
      </w:r>
      <w:r>
        <w:rPr>
          <w:rFonts w:hint="eastAsia"/>
          <w:color w:val="000000" w:themeColor="text1"/>
          <w:sz w:val="28"/>
          <w:szCs w:val="28"/>
          <w:lang w:val="en-US" w:eastAsia="zh-CN"/>
        </w:rPr>
        <w:t>达州高新区核心区</w:t>
      </w:r>
      <w:r>
        <w:rPr>
          <w:rFonts w:hint="eastAsia"/>
          <w:color w:val="000000" w:themeColor="text1"/>
          <w:sz w:val="28"/>
          <w:szCs w:val="28"/>
        </w:rPr>
        <w:t>J-V-A1-1-1地块规划条件及要求进行开发建设；须严格按照地质灾害防治的相关要求，落实地质灾害防治措施；须严格按照生态环境保护的相关要求，开展环境影响评价，</w:t>
      </w:r>
      <w:r>
        <w:rPr>
          <w:rFonts w:hint="eastAsia"/>
          <w:color w:val="000000" w:themeColor="text1"/>
          <w:sz w:val="28"/>
          <w:szCs w:val="28"/>
          <w:lang w:val="en-US" w:eastAsia="zh-CN"/>
        </w:rPr>
        <w:t>全面</w:t>
      </w:r>
      <w:r>
        <w:rPr>
          <w:rFonts w:hint="eastAsia"/>
          <w:color w:val="000000" w:themeColor="text1"/>
          <w:sz w:val="28"/>
          <w:szCs w:val="28"/>
        </w:rPr>
        <w:t>落实生态环境保护措施。</w:t>
      </w:r>
    </w:p>
    <w:p>
      <w:pPr>
        <w:spacing w:line="62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九）在土地竞得人缴清全部土地出让价款(含滞纳金)之日起5个工作日内，按现状土地使用条件交付土地。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rFonts w:hint="eastAsia" w:eastAsia="宋体"/>
          <w:color w:val="000000" w:themeColor="text1"/>
          <w:sz w:val="28"/>
          <w:szCs w:val="28"/>
          <w:lang w:eastAsia="zh-CN"/>
        </w:rPr>
      </w:pPr>
      <w:r>
        <w:rPr>
          <w:color w:val="000000" w:themeColor="text1"/>
          <w:sz w:val="28"/>
          <w:szCs w:val="28"/>
        </w:rPr>
        <w:t>（十）</w:t>
      </w:r>
      <w:r>
        <w:rPr>
          <w:rFonts w:hint="eastAsia"/>
          <w:color w:val="000000" w:themeColor="text1"/>
          <w:sz w:val="28"/>
          <w:szCs w:val="28"/>
        </w:rPr>
        <w:t>竞买人须承诺</w:t>
      </w:r>
      <w:r>
        <w:rPr>
          <w:rFonts w:hint="eastAsia"/>
          <w:color w:val="000000" w:themeColor="text1"/>
          <w:sz w:val="28"/>
          <w:szCs w:val="28"/>
          <w:lang w:eastAsia="zh-CN"/>
        </w:rPr>
        <w:t>：</w:t>
      </w:r>
      <w:r>
        <w:rPr>
          <w:rFonts w:hint="eastAsia"/>
          <w:color w:val="000000" w:themeColor="text1"/>
          <w:sz w:val="28"/>
          <w:szCs w:val="28"/>
        </w:rPr>
        <w:t>土地所在辖区外的竞买人，若竞得土地使用权</w:t>
      </w:r>
      <w:r>
        <w:rPr>
          <w:rFonts w:hint="eastAsia"/>
          <w:color w:val="000000" w:themeColor="text1"/>
          <w:sz w:val="28"/>
          <w:szCs w:val="28"/>
          <w:lang w:eastAsia="zh-CN"/>
        </w:rPr>
        <w:t>，</w:t>
      </w:r>
      <w:r>
        <w:rPr>
          <w:rFonts w:hint="eastAsia"/>
          <w:color w:val="000000" w:themeColor="text1"/>
          <w:sz w:val="28"/>
          <w:szCs w:val="28"/>
        </w:rPr>
        <w:t>须在土地所在辖区注册成立</w:t>
      </w:r>
      <w:r>
        <w:rPr>
          <w:rFonts w:hint="eastAsia"/>
          <w:color w:val="000000" w:themeColor="text1"/>
          <w:sz w:val="28"/>
          <w:szCs w:val="28"/>
          <w:lang w:val="en-US" w:eastAsia="zh-CN"/>
        </w:rPr>
        <w:t>一</w:t>
      </w:r>
      <w:r>
        <w:rPr>
          <w:rFonts w:hint="eastAsia"/>
          <w:color w:val="000000" w:themeColor="text1"/>
          <w:sz w:val="28"/>
          <w:szCs w:val="28"/>
        </w:rPr>
        <w:t>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一</w:t>
      </w:r>
      <w:r>
        <w:rPr>
          <w:rFonts w:hint="eastAsia" w:eastAsiaTheme="minorEastAsia"/>
          <w:color w:val="000000" w:themeColor="text1"/>
          <w:sz w:val="28"/>
          <w:szCs w:val="28"/>
          <w:lang w:eastAsia="zh-CN"/>
        </w:rPr>
        <w:t>）</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lang w:eastAsia="zh-CN"/>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咨询（咨询电话：出让人电话0818-2377534 ，电话0818-2183355）。</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auto"/>
          <w:sz w:val="28"/>
          <w:szCs w:val="28"/>
          <w:u w:val="single"/>
        </w:rPr>
        <w:t>2022年</w:t>
      </w:r>
      <w:r>
        <w:rPr>
          <w:rFonts w:hint="eastAsia" w:eastAsiaTheme="minorEastAsia"/>
          <w:b/>
          <w:color w:val="auto"/>
          <w:sz w:val="28"/>
          <w:szCs w:val="28"/>
          <w:u w:val="single"/>
          <w:lang w:val="en-US" w:eastAsia="zh-CN"/>
        </w:rPr>
        <w:t>10</w:t>
      </w:r>
      <w:r>
        <w:rPr>
          <w:rFonts w:eastAsiaTheme="minorEastAsia"/>
          <w:b/>
          <w:color w:val="auto"/>
          <w:sz w:val="28"/>
          <w:szCs w:val="28"/>
          <w:u w:val="single"/>
        </w:rPr>
        <w:t>月</w:t>
      </w:r>
      <w:r>
        <w:rPr>
          <w:rFonts w:hint="eastAsia" w:eastAsiaTheme="minorEastAsia"/>
          <w:b/>
          <w:color w:val="auto"/>
          <w:sz w:val="28"/>
          <w:szCs w:val="28"/>
          <w:u w:val="single"/>
          <w:lang w:val="en-US" w:eastAsia="zh-CN"/>
        </w:rPr>
        <w:t>20</w:t>
      </w:r>
      <w:r>
        <w:rPr>
          <w:rFonts w:eastAsiaTheme="minorEastAsia"/>
          <w:b/>
          <w:color w:val="auto"/>
          <w:sz w:val="28"/>
          <w:szCs w:val="28"/>
          <w:u w:val="single"/>
        </w:rPr>
        <w:t>日至2022年</w:t>
      </w:r>
      <w:r>
        <w:rPr>
          <w:rFonts w:hint="eastAsia" w:eastAsiaTheme="minorEastAsia"/>
          <w:b/>
          <w:color w:val="auto"/>
          <w:sz w:val="28"/>
          <w:szCs w:val="28"/>
          <w:u w:val="single"/>
          <w:lang w:val="en-US" w:eastAsia="zh-CN"/>
        </w:rPr>
        <w:t>11</w:t>
      </w:r>
      <w:r>
        <w:rPr>
          <w:rFonts w:eastAsiaTheme="minorEastAsia"/>
          <w:b/>
          <w:color w:val="auto"/>
          <w:sz w:val="28"/>
          <w:szCs w:val="28"/>
          <w:u w:val="single"/>
        </w:rPr>
        <w:t>月</w:t>
      </w:r>
      <w:r>
        <w:rPr>
          <w:rFonts w:hint="eastAsia" w:eastAsiaTheme="minorEastAsia"/>
          <w:b/>
          <w:color w:val="auto"/>
          <w:sz w:val="28"/>
          <w:szCs w:val="28"/>
          <w:u w:val="single"/>
          <w:lang w:val="en-US" w:eastAsia="zh-CN"/>
        </w:rPr>
        <w:t>8</w:t>
      </w:r>
      <w:r>
        <w:rPr>
          <w:rFonts w:eastAsiaTheme="minorEastAsia"/>
          <w:b/>
          <w:color w:val="auto"/>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auto"/>
          <w:sz w:val="28"/>
          <w:szCs w:val="28"/>
          <w:u w:val="single"/>
        </w:rPr>
        <w:t>2022年</w:t>
      </w:r>
      <w:r>
        <w:rPr>
          <w:rFonts w:hint="eastAsia" w:eastAsiaTheme="minorEastAsia"/>
          <w:b/>
          <w:color w:val="auto"/>
          <w:sz w:val="28"/>
          <w:szCs w:val="28"/>
          <w:u w:val="single"/>
          <w:lang w:val="en-US" w:eastAsia="zh-CN"/>
        </w:rPr>
        <w:t>10</w:t>
      </w:r>
      <w:r>
        <w:rPr>
          <w:rFonts w:eastAsiaTheme="minorEastAsia"/>
          <w:b/>
          <w:color w:val="auto"/>
          <w:sz w:val="28"/>
          <w:szCs w:val="28"/>
          <w:u w:val="single"/>
        </w:rPr>
        <w:t>月</w:t>
      </w:r>
      <w:r>
        <w:rPr>
          <w:rFonts w:hint="eastAsia" w:eastAsiaTheme="minorEastAsia"/>
          <w:b/>
          <w:color w:val="auto"/>
          <w:sz w:val="28"/>
          <w:szCs w:val="28"/>
          <w:u w:val="single"/>
          <w:lang w:val="en-US" w:eastAsia="zh-CN"/>
        </w:rPr>
        <w:t>20</w:t>
      </w:r>
      <w:r>
        <w:rPr>
          <w:rFonts w:eastAsiaTheme="minorEastAsia"/>
          <w:b/>
          <w:color w:val="auto"/>
          <w:sz w:val="28"/>
          <w:szCs w:val="28"/>
          <w:u w:val="single"/>
        </w:rPr>
        <w:t>日至2022年</w:t>
      </w:r>
      <w:r>
        <w:rPr>
          <w:rFonts w:hint="eastAsia" w:eastAsiaTheme="minorEastAsia"/>
          <w:b/>
          <w:color w:val="auto"/>
          <w:sz w:val="28"/>
          <w:szCs w:val="28"/>
          <w:u w:val="single"/>
          <w:lang w:val="en-US" w:eastAsia="zh-CN"/>
        </w:rPr>
        <w:t>11</w:t>
      </w:r>
      <w:r>
        <w:rPr>
          <w:rFonts w:eastAsiaTheme="minorEastAsia"/>
          <w:b/>
          <w:color w:val="auto"/>
          <w:sz w:val="28"/>
          <w:szCs w:val="28"/>
          <w:u w:val="single"/>
        </w:rPr>
        <w:t>月</w:t>
      </w:r>
      <w:r>
        <w:rPr>
          <w:rFonts w:hint="eastAsia" w:eastAsiaTheme="minorEastAsia"/>
          <w:b/>
          <w:color w:val="auto"/>
          <w:sz w:val="28"/>
          <w:szCs w:val="28"/>
          <w:u w:val="single"/>
          <w:lang w:val="en-US" w:eastAsia="zh-CN"/>
        </w:rPr>
        <w:t>8</w:t>
      </w:r>
      <w:r>
        <w:rPr>
          <w:rFonts w:eastAsiaTheme="minorEastAsia"/>
          <w:b/>
          <w:color w:val="auto"/>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color w:val="auto"/>
          <w:sz w:val="28"/>
          <w:szCs w:val="28"/>
        </w:rPr>
        <w:t>（</w:t>
      </w:r>
      <w:r>
        <w:rPr>
          <w:rFonts w:eastAsiaTheme="minorEastAsia"/>
          <w:b/>
          <w:color w:val="auto"/>
          <w:sz w:val="28"/>
          <w:szCs w:val="28"/>
          <w:u w:val="single"/>
        </w:rPr>
        <w:t>2022年</w:t>
      </w:r>
      <w:r>
        <w:rPr>
          <w:rFonts w:hint="eastAsia" w:eastAsiaTheme="minorEastAsia"/>
          <w:b/>
          <w:color w:val="auto"/>
          <w:sz w:val="28"/>
          <w:szCs w:val="28"/>
          <w:u w:val="single"/>
          <w:lang w:val="en-US" w:eastAsia="zh-CN"/>
        </w:rPr>
        <w:t>11</w:t>
      </w:r>
      <w:r>
        <w:rPr>
          <w:rFonts w:eastAsiaTheme="minorEastAsia"/>
          <w:b/>
          <w:color w:val="auto"/>
          <w:sz w:val="28"/>
          <w:szCs w:val="28"/>
          <w:u w:val="single"/>
        </w:rPr>
        <w:t>月</w:t>
      </w:r>
      <w:r>
        <w:rPr>
          <w:rFonts w:hint="eastAsia" w:eastAsiaTheme="minorEastAsia"/>
          <w:b/>
          <w:color w:val="auto"/>
          <w:sz w:val="28"/>
          <w:szCs w:val="28"/>
          <w:u w:val="single"/>
          <w:lang w:val="en-US" w:eastAsia="zh-CN"/>
        </w:rPr>
        <w:t>9</w:t>
      </w:r>
      <w:r>
        <w:rPr>
          <w:rFonts w:eastAsiaTheme="minorEastAsia"/>
          <w:b/>
          <w:color w:val="auto"/>
          <w:sz w:val="28"/>
          <w:szCs w:val="28"/>
          <w:u w:val="single"/>
        </w:rPr>
        <w:t>日） 9:00</w:t>
      </w:r>
      <w:r>
        <w:rPr>
          <w:rFonts w:eastAsiaTheme="minorEastAsia"/>
          <w:color w:val="auto"/>
          <w:sz w:val="28"/>
          <w:szCs w:val="28"/>
        </w:rPr>
        <w:t>之前将竞买申请文件原</w:t>
      </w:r>
      <w:r>
        <w:rPr>
          <w:rFonts w:eastAsiaTheme="minorEastAsia"/>
          <w:color w:val="000000" w:themeColor="text1"/>
          <w:sz w:val="28"/>
          <w:szCs w:val="28"/>
        </w:rPr>
        <w:t>件提交至4B-17，未按时提交原件的视为自行放弃竞买资格。</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6"/>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6"/>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6"/>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color w:val="auto"/>
          <w:sz w:val="28"/>
          <w:szCs w:val="28"/>
          <w:u w:val="single"/>
        </w:rPr>
        <w:t>2022年</w:t>
      </w:r>
      <w:r>
        <w:rPr>
          <w:rFonts w:hint="eastAsia" w:eastAsiaTheme="minorEastAsia"/>
          <w:b/>
          <w:color w:val="auto"/>
          <w:sz w:val="28"/>
          <w:szCs w:val="28"/>
          <w:u w:val="single"/>
          <w:lang w:val="en-US" w:eastAsia="zh-CN"/>
        </w:rPr>
        <w:t>11</w:t>
      </w:r>
      <w:r>
        <w:rPr>
          <w:rFonts w:eastAsiaTheme="minorEastAsia"/>
          <w:b/>
          <w:color w:val="auto"/>
          <w:sz w:val="28"/>
          <w:szCs w:val="28"/>
          <w:u w:val="single"/>
        </w:rPr>
        <w:t>月</w:t>
      </w:r>
      <w:r>
        <w:rPr>
          <w:rFonts w:hint="eastAsia" w:eastAsiaTheme="minorEastAsia"/>
          <w:b/>
          <w:color w:val="auto"/>
          <w:sz w:val="28"/>
          <w:szCs w:val="28"/>
          <w:u w:val="single"/>
          <w:lang w:val="en-US" w:eastAsia="zh-CN"/>
        </w:rPr>
        <w:t>9</w:t>
      </w:r>
      <w:r>
        <w:rPr>
          <w:rFonts w:eastAsiaTheme="minorEastAsia"/>
          <w:b/>
          <w:color w:val="auto"/>
          <w:sz w:val="28"/>
          <w:szCs w:val="28"/>
          <w:u w:val="single"/>
        </w:rPr>
        <w:t>日 1</w:t>
      </w:r>
      <w:r>
        <w:rPr>
          <w:rFonts w:hint="eastAsia" w:eastAsiaTheme="minorEastAsia"/>
          <w:b/>
          <w:color w:val="auto"/>
          <w:sz w:val="28"/>
          <w:szCs w:val="28"/>
          <w:u w:val="single"/>
          <w:lang w:val="en-US" w:eastAsia="zh-CN"/>
        </w:rPr>
        <w:t>1</w:t>
      </w:r>
      <w:r>
        <w:rPr>
          <w:rFonts w:eastAsiaTheme="minorEastAsia"/>
          <w:b/>
          <w:color w:val="auto"/>
          <w:sz w:val="28"/>
          <w:szCs w:val="28"/>
          <w:u w:val="single"/>
        </w:rPr>
        <w:t>：</w:t>
      </w:r>
      <w:r>
        <w:rPr>
          <w:rFonts w:hint="eastAsia" w:eastAsiaTheme="minorEastAsia"/>
          <w:b/>
          <w:color w:val="auto"/>
          <w:sz w:val="28"/>
          <w:szCs w:val="28"/>
          <w:u w:val="single"/>
          <w:lang w:val="en-US" w:eastAsia="zh-CN"/>
        </w:rPr>
        <w:t>0</w:t>
      </w:r>
      <w:r>
        <w:rPr>
          <w:rFonts w:eastAsiaTheme="minorEastAsia"/>
          <w:b/>
          <w:color w:val="auto"/>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lang w:val="en-US" w:eastAsia="zh-CN"/>
        </w:rPr>
        <w:t>二</w:t>
      </w:r>
      <w:r>
        <w:rPr>
          <w:rFonts w:eastAsiaTheme="minorEastAsia"/>
          <w:color w:val="auto"/>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val="0"/>
          <w:bCs/>
          <w:color w:val="auto"/>
          <w:sz w:val="28"/>
          <w:szCs w:val="28"/>
          <w:u w:val="single"/>
        </w:rPr>
        <w:t>2022年</w:t>
      </w:r>
      <w:r>
        <w:rPr>
          <w:rFonts w:hint="eastAsia" w:eastAsiaTheme="minorEastAsia"/>
          <w:b w:val="0"/>
          <w:bCs/>
          <w:color w:val="auto"/>
          <w:sz w:val="28"/>
          <w:szCs w:val="28"/>
          <w:u w:val="single"/>
          <w:lang w:val="en-US" w:eastAsia="zh-CN"/>
        </w:rPr>
        <w:t>11</w:t>
      </w:r>
      <w:r>
        <w:rPr>
          <w:rFonts w:eastAsiaTheme="minorEastAsia"/>
          <w:b w:val="0"/>
          <w:bCs/>
          <w:color w:val="auto"/>
          <w:sz w:val="28"/>
          <w:szCs w:val="28"/>
          <w:u w:val="single"/>
        </w:rPr>
        <w:t>月</w:t>
      </w:r>
      <w:r>
        <w:rPr>
          <w:rFonts w:hint="eastAsia" w:eastAsiaTheme="minorEastAsia"/>
          <w:b w:val="0"/>
          <w:bCs/>
          <w:color w:val="auto"/>
          <w:sz w:val="28"/>
          <w:szCs w:val="28"/>
          <w:u w:val="single"/>
          <w:lang w:val="en-US" w:eastAsia="zh-CN"/>
        </w:rPr>
        <w:t>9</w:t>
      </w:r>
      <w:r>
        <w:rPr>
          <w:rFonts w:eastAsiaTheme="minorEastAsia"/>
          <w:b w:val="0"/>
          <w:bCs/>
          <w:color w:val="auto"/>
          <w:sz w:val="28"/>
          <w:szCs w:val="28"/>
          <w:u w:val="single"/>
        </w:rPr>
        <w:t>日上午</w:t>
      </w:r>
      <w:r>
        <w:rPr>
          <w:rFonts w:hint="eastAsia" w:eastAsiaTheme="minorEastAsia"/>
          <w:b w:val="0"/>
          <w:bCs/>
          <w:color w:val="auto"/>
          <w:sz w:val="28"/>
          <w:szCs w:val="28"/>
          <w:u w:val="single"/>
          <w:lang w:val="en-US" w:eastAsia="zh-CN"/>
        </w:rPr>
        <w:t>11：0</w:t>
      </w:r>
      <w:r>
        <w:rPr>
          <w:rFonts w:eastAsiaTheme="minorEastAsia"/>
          <w:b w:val="0"/>
          <w:bCs/>
          <w:color w:val="auto"/>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lang w:val="en-US" w:eastAsia="zh-CN"/>
        </w:rPr>
        <w:t>206</w:t>
      </w:r>
      <w:r>
        <w:rPr>
          <w:rFonts w:eastAsiaTheme="minorEastAsia"/>
          <w:color w:val="000000" w:themeColor="text1"/>
          <w:sz w:val="28"/>
          <w:szCs w:val="28"/>
        </w:rPr>
        <w:t>万元/亩</w:t>
      </w:r>
      <w:r>
        <w:rPr>
          <w:rFonts w:hint="eastAsia" w:eastAsiaTheme="minorEastAsia"/>
          <w:color w:val="000000" w:themeColor="text1"/>
          <w:sz w:val="28"/>
          <w:szCs w:val="28"/>
          <w:lang w:eastAsia="zh-CN"/>
        </w:rPr>
        <w:t>，</w:t>
      </w:r>
      <w:r>
        <w:rPr>
          <w:rFonts w:eastAsiaTheme="minorEastAsia"/>
          <w:color w:val="000000" w:themeColor="text1"/>
          <w:sz w:val="28"/>
          <w:szCs w:val="28"/>
        </w:rPr>
        <w:t>增价幅度为</w:t>
      </w:r>
      <w:r>
        <w:rPr>
          <w:rFonts w:hint="eastAsia" w:eastAsiaTheme="minorEastAsia"/>
          <w:color w:val="000000" w:themeColor="text1"/>
          <w:sz w:val="28"/>
          <w:szCs w:val="28"/>
          <w:lang w:val="en-US" w:eastAsia="zh-CN"/>
        </w:rPr>
        <w:t>2</w:t>
      </w:r>
      <w:r>
        <w:rPr>
          <w:rFonts w:eastAsiaTheme="minorEastAsia"/>
          <w:color w:val="000000" w:themeColor="text1"/>
          <w:sz w:val="28"/>
          <w:szCs w:val="28"/>
        </w:rPr>
        <w:t>万元/亩或</w:t>
      </w:r>
      <w:r>
        <w:rPr>
          <w:rFonts w:hint="eastAsia" w:eastAsiaTheme="minorEastAsia"/>
          <w:color w:val="000000" w:themeColor="text1"/>
          <w:sz w:val="28"/>
          <w:szCs w:val="28"/>
          <w:lang w:val="en-US" w:eastAsia="zh-CN"/>
        </w:rPr>
        <w:t>2</w:t>
      </w:r>
      <w:r>
        <w:rPr>
          <w:rFonts w:eastAsiaTheme="minorEastAsia"/>
          <w:color w:val="000000" w:themeColor="text1"/>
          <w:sz w:val="28"/>
          <w:szCs w:val="28"/>
        </w:rPr>
        <w:t>万元/亩的整倍数。成交总地价=拍卖成交最高亩价×出让面积</w:t>
      </w:r>
      <w:r>
        <w:rPr>
          <w:rFonts w:hint="eastAsia" w:eastAsiaTheme="minorEastAsia"/>
          <w:color w:val="000000" w:themeColor="text1"/>
          <w:sz w:val="28"/>
          <w:szCs w:val="28"/>
          <w:lang w:val="en-US" w:eastAsia="zh-CN"/>
        </w:rPr>
        <w:t>21</w:t>
      </w:r>
      <w:r>
        <w:rPr>
          <w:rFonts w:hint="eastAsia" w:eastAsiaTheme="minorEastAsia"/>
          <w:color w:val="000000" w:themeColor="text1"/>
          <w:sz w:val="28"/>
          <w:szCs w:val="28"/>
        </w:rPr>
        <w:t>.</w:t>
      </w:r>
      <w:r>
        <w:rPr>
          <w:rFonts w:hint="eastAsia" w:eastAsiaTheme="minorEastAsia"/>
          <w:color w:val="000000" w:themeColor="text1"/>
          <w:sz w:val="28"/>
          <w:szCs w:val="28"/>
          <w:lang w:val="en-US" w:eastAsia="zh-CN"/>
        </w:rPr>
        <w:t>99</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hint="eastAsia" w:eastAsiaTheme="minorEastAsia"/>
          <w:color w:val="000000" w:themeColor="text1"/>
          <w:sz w:val="28"/>
          <w:szCs w:val="28"/>
          <w:lang w:eastAsia="zh-CN"/>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lang w:eastAsia="zh-CN"/>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lang w:val="en-US" w:eastAsia="zh-CN"/>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十</w:t>
      </w:r>
      <w:r>
        <w:rPr>
          <w:rFonts w:hint="eastAsia" w:eastAsiaTheme="minorEastAsia"/>
          <w:color w:val="000000" w:themeColor="text1"/>
          <w:sz w:val="28"/>
          <w:szCs w:val="28"/>
          <w:lang w:eastAsia="zh-CN"/>
        </w:rPr>
        <w:t>）</w:t>
      </w:r>
      <w:r>
        <w:rPr>
          <w:rFonts w:eastAsiaTheme="minorEastAsia"/>
          <w:color w:val="000000" w:themeColor="text1"/>
          <w:sz w:val="28"/>
          <w:szCs w:val="28"/>
        </w:rPr>
        <w:t>土地交付条件及时间：在土地出让价款（含滞纳金）缴清之日起5个工作日内，按现状土地使用条件交付土地。宗地范围内的地下资源、埋藏物不属于国有建设用地使用权出让范围。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pStyle w:val="13"/>
        <w:rPr>
          <w:rFonts w:hint="eastAsia" w:eastAsia="宋体"/>
          <w:kern w:val="0"/>
          <w:sz w:val="24"/>
          <w:lang w:eastAsia="zh-CN"/>
        </w:rPr>
      </w:pPr>
      <w:bookmarkStart w:id="5" w:name="_Toc3391743"/>
      <w:bookmarkStart w:id="6" w:name="_Toc3391972"/>
      <w:r>
        <w:rPr>
          <w:rFonts w:ascii="Times New Roman" w:hAnsi="Times New Roman" w:eastAsia="黑体"/>
          <w:color w:val="000000" w:themeColor="text1"/>
          <w:sz w:val="44"/>
          <w:szCs w:val="44"/>
        </w:rPr>
        <w:t>地块规划条件相关</w:t>
      </w:r>
      <w:bookmarkEnd w:id="5"/>
      <w:bookmarkEnd w:id="6"/>
    </w:p>
    <w:p>
      <w:pPr>
        <w:pStyle w:val="13"/>
        <w:jc w:val="both"/>
      </w:pPr>
      <w:bookmarkStart w:id="7" w:name="_Toc3391973"/>
      <w:bookmarkStart w:id="8" w:name="_Toc3391744"/>
      <w:r>
        <w:drawing>
          <wp:inline distT="0" distB="0" distL="114300" distR="114300">
            <wp:extent cx="5273040" cy="6952615"/>
            <wp:effectExtent l="0" t="0" r="3810" b="6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5273040" cy="6952615"/>
                    </a:xfrm>
                    <a:prstGeom prst="rect">
                      <a:avLst/>
                    </a:prstGeom>
                    <a:noFill/>
                    <a:ln>
                      <a:noFill/>
                    </a:ln>
                  </pic:spPr>
                </pic:pic>
              </a:graphicData>
            </a:graphic>
          </wp:inline>
        </w:drawing>
      </w:r>
    </w:p>
    <w:p/>
    <w:p>
      <w:pPr>
        <w:pStyle w:val="2"/>
      </w:pPr>
    </w:p>
    <w:p>
      <w:pPr>
        <w:pStyle w:val="2"/>
      </w:pPr>
    </w:p>
    <w:p>
      <w:pPr>
        <w:pStyle w:val="2"/>
      </w:pPr>
    </w:p>
    <w:p>
      <w:pPr>
        <w:pStyle w:val="13"/>
        <w:jc w:val="both"/>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7"/>
      <w:bookmarkEnd w:id="8"/>
    </w:p>
    <w:p>
      <w:pPr>
        <w:jc w:val="center"/>
        <w:rPr>
          <w:rFonts w:hint="eastAsia" w:eastAsia="宋体"/>
          <w:lang w:eastAsia="zh-CN"/>
        </w:rPr>
      </w:pPr>
    </w:p>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9865" cy="4061460"/>
            <wp:effectExtent l="0" t="0" r="6985" b="152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6"/>
                    <a:stretch>
                      <a:fillRect/>
                    </a:stretch>
                  </pic:blipFill>
                  <pic:spPr>
                    <a:xfrm>
                      <a:off x="0" y="0"/>
                      <a:ext cx="5269865" cy="4061460"/>
                    </a:xfrm>
                    <a:prstGeom prst="rect">
                      <a:avLst/>
                    </a:prstGeom>
                    <a:noFill/>
                    <a:ln>
                      <a:noFill/>
                    </a:ln>
                  </pic:spPr>
                </pic:pic>
              </a:graphicData>
            </a:graphic>
          </wp:inline>
        </w:drawing>
      </w:r>
    </w:p>
    <w:p>
      <w:pPr>
        <w:pStyle w:val="13"/>
        <w:rPr>
          <w:rFonts w:ascii="Times New Roman" w:hAnsi="Times New Roman" w:eastAsia="黑体"/>
          <w:color w:val="000000" w:themeColor="text1"/>
          <w:sz w:val="44"/>
          <w:szCs w:val="44"/>
        </w:rPr>
      </w:pPr>
      <w:bookmarkStart w:id="9" w:name="_Toc3391974"/>
      <w:bookmarkStart w:id="10" w:name="_Toc3391745"/>
      <w:r>
        <w:rPr>
          <w:rFonts w:ascii="Times New Roman" w:hAnsi="Times New Roman" w:eastAsia="黑体"/>
          <w:color w:val="000000" w:themeColor="text1"/>
          <w:sz w:val="44"/>
          <w:szCs w:val="44"/>
        </w:rPr>
        <w:t>用地勘界图</w:t>
      </w:r>
      <w:bookmarkEnd w:id="9"/>
      <w:bookmarkEnd w:id="10"/>
    </w:p>
    <w:p>
      <w:pPr>
        <w:rPr>
          <w:rFonts w:hint="eastAsia" w:eastAsia="宋体"/>
          <w:lang w:eastAsia="zh-CN"/>
        </w:rPr>
      </w:pPr>
    </w:p>
    <w:p>
      <w:pPr>
        <w:widowControl/>
        <w:rPr>
          <w:color w:val="000000" w:themeColor="text1"/>
          <w:sz w:val="28"/>
          <w:szCs w:val="28"/>
        </w:rPr>
      </w:pPr>
    </w:p>
    <w:p>
      <w:pPr>
        <w:jc w:val="center"/>
        <w:rPr>
          <w:rFonts w:hint="eastAsia" w:eastAsia="宋体"/>
          <w:lang w:eastAsia="zh-CN"/>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6690" cy="4091940"/>
            <wp:effectExtent l="0" t="0" r="10160" b="381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7"/>
                    <a:stretch>
                      <a:fillRect/>
                    </a:stretch>
                  </pic:blipFill>
                  <pic:spPr>
                    <a:xfrm>
                      <a:off x="0" y="0"/>
                      <a:ext cx="5266690" cy="4091940"/>
                    </a:xfrm>
                    <a:prstGeom prst="rect">
                      <a:avLst/>
                    </a:prstGeom>
                    <a:noFill/>
                    <a:ln>
                      <a:noFill/>
                    </a:ln>
                  </pic:spPr>
                </pic:pic>
              </a:graphicData>
            </a:graphic>
          </wp:inline>
        </w:drawing>
      </w:r>
    </w:p>
    <w:p>
      <w:pPr>
        <w:pStyle w:val="13"/>
        <w:spacing w:before="0" w:after="0" w:line="500" w:lineRule="exact"/>
        <w:rPr>
          <w:rFonts w:ascii="Times New Roman" w:hAnsi="Times New Roman" w:eastAsia="黑体"/>
          <w:color w:val="000000" w:themeColor="text1"/>
          <w:sz w:val="44"/>
          <w:szCs w:val="44"/>
        </w:rPr>
      </w:pPr>
      <w:bookmarkStart w:id="11" w:name="_Toc3391975"/>
      <w:bookmarkStart w:id="12" w:name="_Toc3391746"/>
      <w:r>
        <w:rPr>
          <w:rFonts w:ascii="Times New Roman" w:hAnsi="Times New Roman" w:eastAsia="黑体"/>
          <w:color w:val="000000" w:themeColor="text1"/>
          <w:sz w:val="44"/>
          <w:szCs w:val="44"/>
        </w:rPr>
        <w:t>竞买申请书</w:t>
      </w:r>
      <w:bookmarkEnd w:id="11"/>
      <w:bookmarkEnd w:id="12"/>
    </w:p>
    <w:p>
      <w:pPr>
        <w:pStyle w:val="26"/>
        <w:spacing w:line="420" w:lineRule="exact"/>
        <w:rPr>
          <w:color w:val="000000" w:themeColor="text1"/>
          <w:sz w:val="24"/>
          <w:szCs w:val="24"/>
        </w:rPr>
      </w:pPr>
    </w:p>
    <w:p>
      <w:pPr>
        <w:pStyle w:val="26"/>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6"/>
        <w:spacing w:line="420" w:lineRule="exact"/>
        <w:ind w:left="0" w:firstLine="480" w:firstLineChars="20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6"/>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pPr>
        <w:pStyle w:val="26"/>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6"/>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6"/>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6"/>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pPr>
        <w:pStyle w:val="26"/>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6"/>
        <w:spacing w:line="420" w:lineRule="exact"/>
        <w:ind w:firstLine="470" w:firstLineChars="196"/>
        <w:rPr>
          <w:color w:val="000000" w:themeColor="text1"/>
          <w:sz w:val="24"/>
          <w:szCs w:val="24"/>
        </w:rPr>
      </w:pPr>
    </w:p>
    <w:p>
      <w:pPr>
        <w:pStyle w:val="26"/>
        <w:spacing w:line="420" w:lineRule="exact"/>
        <w:ind w:left="0"/>
        <w:rPr>
          <w:color w:val="000000" w:themeColor="text1"/>
          <w:sz w:val="24"/>
          <w:szCs w:val="24"/>
        </w:rPr>
      </w:pPr>
      <w:r>
        <w:rPr>
          <w:color w:val="000000" w:themeColor="text1"/>
          <w:sz w:val="24"/>
          <w:szCs w:val="24"/>
        </w:rPr>
        <w:t>竞买申请人（盖章）：</w:t>
      </w:r>
    </w:p>
    <w:p>
      <w:pPr>
        <w:pStyle w:val="26"/>
        <w:spacing w:line="420" w:lineRule="exact"/>
        <w:ind w:left="0"/>
        <w:rPr>
          <w:color w:val="000000" w:themeColor="text1"/>
          <w:sz w:val="24"/>
          <w:szCs w:val="24"/>
        </w:rPr>
      </w:pPr>
      <w:r>
        <w:rPr>
          <w:color w:val="000000" w:themeColor="text1"/>
          <w:sz w:val="24"/>
          <w:szCs w:val="24"/>
        </w:rPr>
        <w:t>法定代表人（本人签名）：</w:t>
      </w:r>
    </w:p>
    <w:p>
      <w:pPr>
        <w:pStyle w:val="26"/>
        <w:spacing w:line="420" w:lineRule="exact"/>
        <w:ind w:left="0"/>
        <w:rPr>
          <w:color w:val="000000" w:themeColor="text1"/>
          <w:sz w:val="24"/>
          <w:szCs w:val="24"/>
        </w:rPr>
      </w:pPr>
      <w:r>
        <w:rPr>
          <w:color w:val="000000" w:themeColor="text1"/>
          <w:sz w:val="24"/>
          <w:szCs w:val="24"/>
        </w:rPr>
        <w:t>联系人：</w:t>
      </w:r>
    </w:p>
    <w:p>
      <w:pPr>
        <w:pStyle w:val="26"/>
        <w:spacing w:line="420" w:lineRule="exact"/>
        <w:ind w:left="0"/>
        <w:rPr>
          <w:color w:val="000000" w:themeColor="text1"/>
          <w:sz w:val="24"/>
          <w:szCs w:val="24"/>
        </w:rPr>
      </w:pPr>
      <w:r>
        <w:rPr>
          <w:color w:val="000000" w:themeColor="text1"/>
          <w:sz w:val="24"/>
          <w:szCs w:val="24"/>
        </w:rPr>
        <w:t>地址：</w:t>
      </w:r>
    </w:p>
    <w:p>
      <w:pPr>
        <w:pStyle w:val="26"/>
        <w:spacing w:line="420" w:lineRule="exact"/>
        <w:ind w:left="0"/>
        <w:rPr>
          <w:color w:val="000000" w:themeColor="text1"/>
          <w:sz w:val="24"/>
          <w:szCs w:val="24"/>
        </w:rPr>
      </w:pPr>
      <w:r>
        <w:rPr>
          <w:color w:val="000000" w:themeColor="text1"/>
          <w:sz w:val="24"/>
          <w:szCs w:val="24"/>
        </w:rPr>
        <w:t>电话：</w:t>
      </w:r>
    </w:p>
    <w:p>
      <w:pPr>
        <w:pStyle w:val="26"/>
        <w:spacing w:line="420" w:lineRule="exact"/>
        <w:ind w:left="0"/>
        <w:rPr>
          <w:color w:val="000000" w:themeColor="text1"/>
          <w:sz w:val="24"/>
          <w:szCs w:val="24"/>
        </w:rPr>
      </w:pPr>
      <w:r>
        <w:rPr>
          <w:color w:val="000000" w:themeColor="text1"/>
          <w:sz w:val="24"/>
          <w:szCs w:val="24"/>
        </w:rPr>
        <w:t>申请日期：  年   月   日</w:t>
      </w:r>
    </w:p>
    <w:p>
      <w:pPr>
        <w:pStyle w:val="26"/>
        <w:spacing w:line="420" w:lineRule="exact"/>
        <w:ind w:left="0" w:firstLine="510"/>
        <w:rPr>
          <w:color w:val="000000" w:themeColor="text1"/>
          <w:sz w:val="24"/>
          <w:szCs w:val="24"/>
        </w:rPr>
      </w:pPr>
    </w:p>
    <w:p>
      <w:pPr>
        <w:pStyle w:val="26"/>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3"/>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3" w:name="_Toc3391976"/>
      <w:bookmarkStart w:id="14" w:name="_Toc3391747"/>
      <w:r>
        <w:rPr>
          <w:rFonts w:ascii="Times New Roman" w:hAnsi="Times New Roman" w:eastAsia="黑体"/>
          <w:color w:val="000000" w:themeColor="text1"/>
          <w:sz w:val="44"/>
          <w:szCs w:val="44"/>
        </w:rPr>
        <w:t>保证金承诺书</w:t>
      </w:r>
      <w:bookmarkEnd w:id="13"/>
      <w:bookmarkEnd w:id="14"/>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3"/>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5" w:name="_Toc3391748"/>
      <w:bookmarkStart w:id="16" w:name="_Toc3391977"/>
      <w:r>
        <w:rPr>
          <w:rFonts w:ascii="Times New Roman" w:hAnsi="Times New Roman" w:eastAsia="黑体"/>
          <w:color w:val="000000" w:themeColor="text1"/>
          <w:sz w:val="44"/>
          <w:szCs w:val="44"/>
        </w:rPr>
        <w:t>法定代表人身份证明书</w:t>
      </w:r>
      <w:bookmarkEnd w:id="15"/>
      <w:bookmarkEnd w:id="16"/>
    </w:p>
    <w:p>
      <w:pPr>
        <w:pStyle w:val="26"/>
        <w:spacing w:line="627" w:lineRule="atLeast"/>
        <w:ind w:left="0"/>
        <w:jc w:val="left"/>
        <w:rPr>
          <w:rFonts w:eastAsia="黑体"/>
          <w:color w:val="000000" w:themeColor="text1"/>
          <w:sz w:val="36"/>
          <w:szCs w:val="36"/>
        </w:rPr>
      </w:pPr>
    </w:p>
    <w:p>
      <w:pPr>
        <w:pStyle w:val="26"/>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6"/>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6"/>
        <w:spacing w:line="627" w:lineRule="atLeast"/>
        <w:ind w:firstLine="900" w:firstLineChars="300"/>
        <w:jc w:val="left"/>
        <w:rPr>
          <w:rFonts w:eastAsia="仿宋_GB2312"/>
          <w:color w:val="000000" w:themeColor="text1"/>
          <w:sz w:val="30"/>
          <w:szCs w:val="30"/>
        </w:rPr>
      </w:pPr>
    </w:p>
    <w:p>
      <w:pPr>
        <w:pStyle w:val="26"/>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left"/>
        <w:rPr>
          <w:color w:val="000000" w:themeColor="text1"/>
          <w:sz w:val="28"/>
          <w:szCs w:val="28"/>
        </w:rPr>
      </w:pPr>
    </w:p>
    <w:p>
      <w:pPr>
        <w:pStyle w:val="26"/>
        <w:spacing w:line="586" w:lineRule="atLeast"/>
        <w:jc w:val="left"/>
        <w:rPr>
          <w:color w:val="000000" w:themeColor="text1"/>
          <w:sz w:val="28"/>
          <w:szCs w:val="28"/>
        </w:rPr>
      </w:pPr>
      <w:r>
        <w:rPr>
          <w:color w:val="000000" w:themeColor="text1"/>
          <w:sz w:val="28"/>
          <w:szCs w:val="28"/>
        </w:rPr>
        <w:t>附注：</w:t>
      </w:r>
    </w:p>
    <w:p>
      <w:pPr>
        <w:pStyle w:val="26"/>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6"/>
        <w:spacing w:line="586" w:lineRule="atLeast"/>
        <w:ind w:firstLine="570"/>
        <w:jc w:val="left"/>
        <w:rPr>
          <w:color w:val="000000" w:themeColor="text1"/>
          <w:sz w:val="28"/>
          <w:szCs w:val="28"/>
        </w:rPr>
      </w:pPr>
      <w:r>
        <w:rPr>
          <w:color w:val="000000" w:themeColor="text1"/>
          <w:sz w:val="28"/>
          <w:szCs w:val="28"/>
        </w:rPr>
        <w:t>②法定代表人办公地点：；</w:t>
      </w:r>
    </w:p>
    <w:p>
      <w:pPr>
        <w:pStyle w:val="26"/>
        <w:spacing w:line="586" w:lineRule="atLeast"/>
        <w:ind w:firstLine="570"/>
        <w:jc w:val="left"/>
        <w:rPr>
          <w:color w:val="000000" w:themeColor="text1"/>
          <w:sz w:val="28"/>
          <w:szCs w:val="28"/>
        </w:rPr>
      </w:pPr>
      <w:r>
        <w:rPr>
          <w:color w:val="000000" w:themeColor="text1"/>
          <w:sz w:val="28"/>
          <w:szCs w:val="28"/>
        </w:rPr>
        <w:t>③法定代表人身份证号码：；</w:t>
      </w:r>
    </w:p>
    <w:p>
      <w:pPr>
        <w:pStyle w:val="26"/>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3"/>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7" w:name="_Toc3391749"/>
      <w:bookmarkStart w:id="18" w:name="_Toc3391978"/>
      <w:r>
        <w:rPr>
          <w:rFonts w:ascii="Times New Roman" w:hAnsi="Times New Roman" w:eastAsia="黑体"/>
          <w:color w:val="000000" w:themeColor="text1"/>
          <w:sz w:val="44"/>
          <w:szCs w:val="44"/>
        </w:rPr>
        <w:t>授权委托书</w:t>
      </w:r>
      <w:bookmarkEnd w:id="17"/>
      <w:bookmarkEnd w:id="18"/>
    </w:p>
    <w:tbl>
      <w:tblPr>
        <w:tblStyle w:val="14"/>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6"/>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lang w:val="en-US" w:eastAsia="zh-CN"/>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lang w:val="en-US" w:eastAsia="zh-CN"/>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6"/>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6"/>
        <w:spacing w:line="600" w:lineRule="exact"/>
        <w:ind w:left="0"/>
        <w:rPr>
          <w:color w:val="000000" w:themeColor="text1"/>
        </w:rPr>
      </w:pPr>
    </w:p>
    <w:p>
      <w:pPr>
        <w:pStyle w:val="26"/>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ascii="Times New Roman" w:hAnsi="Times New Roman"/>
          <w:color w:val="000000" w:themeColor="text1"/>
        </w:rPr>
      </w:pPr>
      <w:r>
        <w:rPr>
          <w:rFonts w:ascii="Times New Roman" w:hAnsi="Times New Roman"/>
          <w:color w:val="000000" w:themeColor="text1"/>
        </w:rPr>
        <w:t>电子监管号：</w:t>
      </w:r>
    </w:p>
    <w:p>
      <w:pPr>
        <w:pStyle w:val="5"/>
        <w:rPr>
          <w:rFonts w:ascii="Times New Roman" w:hAnsi="Times New Roman"/>
          <w:color w:val="000000" w:themeColor="text1"/>
        </w:rPr>
      </w:pPr>
    </w:p>
    <w:p>
      <w:pPr>
        <w:pStyle w:val="5"/>
        <w:rPr>
          <w:rFonts w:ascii="Times New Roman" w:hAnsi="Times New Roman" w:eastAsia="黑体"/>
          <w:color w:val="000000" w:themeColor="text1"/>
        </w:rPr>
      </w:pPr>
      <w:r>
        <w:rPr>
          <w:rFonts w:ascii="Times New Roman" w:hAnsi="Times New Roman" w:eastAsia="黑体"/>
          <w:color w:val="000000" w:themeColor="text1"/>
        </w:rPr>
        <w:t>（样本）</w:t>
      </w:r>
    </w:p>
    <w:p>
      <w:pPr>
        <w:pStyle w:val="5"/>
        <w:rPr>
          <w:rStyle w:val="20"/>
          <w:rFonts w:ascii="Times New Roman" w:hAnsi="Times New Roman"/>
          <w:color w:val="000000" w:themeColor="text1"/>
        </w:rPr>
      </w:pPr>
    </w:p>
    <w:p>
      <w:pPr>
        <w:pStyle w:val="5"/>
        <w:rPr>
          <w:rStyle w:val="20"/>
          <w:rFonts w:ascii="Times New Roman" w:hAnsi="Times New Roman"/>
          <w:color w:val="000000" w:themeColor="text1"/>
        </w:rPr>
      </w:pPr>
    </w:p>
    <w:p>
      <w:pPr>
        <w:pStyle w:val="3"/>
        <w:jc w:val="center"/>
        <w:rPr>
          <w:rFonts w:eastAsia="宋体"/>
          <w:color w:val="000000" w:themeColor="text1"/>
          <w:sz w:val="18"/>
          <w:szCs w:val="18"/>
        </w:rPr>
      </w:pPr>
      <w:bookmarkStart w:id="19" w:name="_Toc3391751"/>
      <w:bookmarkStart w:id="20" w:name="_Toc3391980"/>
      <w:r>
        <w:rPr>
          <w:rFonts w:eastAsia="宋体"/>
          <w:color w:val="000000" w:themeColor="text1"/>
        </w:rPr>
        <w:t>国有建设用地使用权出让合同</w:t>
      </w:r>
      <w:bookmarkEnd w:id="19"/>
      <w:bookmarkEnd w:id="20"/>
    </w:p>
    <w:p>
      <w:pPr>
        <w:pStyle w:val="5"/>
        <w:rPr>
          <w:rFonts w:ascii="Times New Roman" w:hAnsi="Times New Roman"/>
          <w:b/>
          <w:bCs/>
          <w:color w:val="000000" w:themeColor="text1"/>
          <w:sz w:val="18"/>
          <w:szCs w:val="1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ascii="Times New Roman" w:hAnsi="Times New Roman"/>
          <w:b/>
          <w:bCs/>
          <w:color w:val="000000" w:themeColor="text1"/>
          <w:sz w:val="36"/>
          <w:szCs w:val="36"/>
        </w:rPr>
      </w:pPr>
    </w:p>
    <w:p>
      <w:pPr>
        <w:pStyle w:val="5"/>
        <w:spacing w:line="578" w:lineRule="exact"/>
        <w:ind w:right="640"/>
        <w:jc w:val="right"/>
        <w:rPr>
          <w:rFonts w:ascii="Times New Roman" w:hAnsi="Times New Roman"/>
          <w:color w:val="000000" w:themeColor="text1"/>
          <w:sz w:val="28"/>
          <w:szCs w:val="28"/>
        </w:rPr>
      </w:pPr>
    </w:p>
    <w:p>
      <w:pPr>
        <w:pStyle w:val="5"/>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5"/>
        <w:spacing w:line="578" w:lineRule="exact"/>
        <w:jc w:val="center"/>
        <w:rPr>
          <w:rFonts w:ascii="Times New Roman" w:hAnsi="Times New Roman" w:eastAsia="方正小标宋简体"/>
          <w:color w:val="000000" w:themeColor="text1"/>
          <w:sz w:val="44"/>
          <w:szCs w:val="44"/>
        </w:rPr>
      </w:pPr>
    </w:p>
    <w:p>
      <w:pPr>
        <w:pStyle w:val="5"/>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5"/>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5"/>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ascii="Times New Roman" w:hAnsi="Times New Roman"/>
          <w:color w:val="000000" w:themeColor="text1"/>
          <w:kern w:val="0"/>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5"/>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5"/>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5"/>
        <w:spacing w:line="578" w:lineRule="exact"/>
        <w:ind w:firstLine="560" w:firstLineChars="200"/>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5"/>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5"/>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21" w:name="_Toc3391981"/>
      <w:r>
        <w:rPr>
          <w:rFonts w:ascii="Times New Roman" w:hAnsi="Times New Roman" w:eastAsia="黑体"/>
          <w:color w:val="000000" w:themeColor="text1"/>
          <w:sz w:val="44"/>
          <w:szCs w:val="44"/>
        </w:rPr>
        <w:t>国有建设用地交接地确认书</w:t>
      </w:r>
      <w:bookmarkEnd w:id="21"/>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4"/>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5"/>
        <w:ind w:left="-141" w:leftChars="-67" w:right="480"/>
        <w:jc w:val="center"/>
        <w:rPr>
          <w:rFonts w:ascii="Times New Roman" w:hAnsi="Times New Roman" w:eastAsia="黑体"/>
          <w:color w:val="000000" w:themeColor="text1"/>
          <w:sz w:val="44"/>
          <w:szCs w:val="44"/>
        </w:rPr>
      </w:pPr>
    </w:p>
    <w:p>
      <w:pPr>
        <w:pStyle w:val="5"/>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5"/>
        <w:ind w:left="-141" w:leftChars="-67" w:right="480"/>
        <w:jc w:val="left"/>
        <w:rPr>
          <w:rFonts w:ascii="Times New Roman" w:hAnsi="Times New Roman"/>
          <w:color w:val="000000" w:themeColor="text1"/>
        </w:rPr>
      </w:pPr>
    </w:p>
    <w:p>
      <w:pPr>
        <w:pStyle w:val="5"/>
        <w:ind w:right="480"/>
        <w:jc w:val="left"/>
        <w:rPr>
          <w:rFonts w:ascii="Times New Roman" w:hAnsi="Times New Roman"/>
          <w:color w:val="000000" w:themeColor="text1"/>
        </w:rPr>
      </w:pPr>
      <w:r>
        <w:rPr>
          <w:rFonts w:ascii="Times New Roman" w:hAnsi="Times New Roman"/>
          <w:color w:val="000000" w:themeColor="text1"/>
        </w:rPr>
        <w:t>×××局：</w:t>
      </w:r>
    </w:p>
    <w:p>
      <w:pPr>
        <w:pStyle w:val="5"/>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5"/>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5"/>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25pt;width:417.75pt;" o:ole="t" filled="f" o:preferrelative="t" stroked="f" coordsize="21600,21600">
            <v:path/>
            <v:fill on="f" focussize="0,0"/>
            <v:stroke on="f" joinstyle="miter"/>
            <v:imagedata r:id="rId30" o:title=""/>
            <o:lock v:ext="edit" aspectratio="t"/>
            <w10:wrap type="none"/>
            <w10:anchorlock/>
          </v:shape>
          <o:OLEObject Type="Embed" ProgID="Word.Document.8" ShapeID="_x0000_i1025" DrawAspect="Content" ObjectID="_1468075725" r:id="rId29">
            <o:LockedField>false</o:LockedField>
          </o:OLEObject>
        </w:object>
      </w:r>
    </w:p>
    <w:p>
      <w:pPr>
        <w:pStyle w:val="5"/>
        <w:spacing w:line="578" w:lineRule="atLeast"/>
        <w:ind w:left="-141" w:leftChars="-67" w:right="802"/>
        <w:jc w:val="right"/>
        <w:rPr>
          <w:rFonts w:ascii="Times New Roman" w:hAnsi="Times New Roman" w:eastAsia="仿宋_GB2312"/>
        </w:rPr>
      </w:pPr>
    </w:p>
    <w:p>
      <w:pPr>
        <w:pStyle w:val="5"/>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altName w:val="Segoe Print"/>
    <w:panose1 w:val="02040503050406030204"/>
    <w:charset w:val="00"/>
    <w:family w:val="roman"/>
    <w:pitch w:val="default"/>
    <w:sig w:usb0="00000000" w:usb1="00000000" w:usb2="02000000" w:usb3="00000000" w:csb0="2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swiss"/>
    <w:pitch w:val="default"/>
    <w:sig w:usb0="00000000" w:usb1="00000000" w:usb2="00000030" w:usb3="00000000" w:csb0="0008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w:r>
  </w:p>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53" o:spid="_x0000_s2053"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v:textbox>
        </v:shape>
      </w:pict>
    </w:r>
  </w:p>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044E4B"/>
    <w:rsid w:val="029972DE"/>
    <w:rsid w:val="032C24DC"/>
    <w:rsid w:val="039463AD"/>
    <w:rsid w:val="03AA19C7"/>
    <w:rsid w:val="03DE645D"/>
    <w:rsid w:val="03FD2C8C"/>
    <w:rsid w:val="0410726A"/>
    <w:rsid w:val="04384486"/>
    <w:rsid w:val="05E1083F"/>
    <w:rsid w:val="06FA7189"/>
    <w:rsid w:val="07886409"/>
    <w:rsid w:val="07C85206"/>
    <w:rsid w:val="089900B5"/>
    <w:rsid w:val="090D2E85"/>
    <w:rsid w:val="093700E7"/>
    <w:rsid w:val="09657B78"/>
    <w:rsid w:val="0B1A4AB9"/>
    <w:rsid w:val="0B76632E"/>
    <w:rsid w:val="0B8C4961"/>
    <w:rsid w:val="0BBF1C32"/>
    <w:rsid w:val="0CF92DA9"/>
    <w:rsid w:val="0CFF7400"/>
    <w:rsid w:val="0D256C4F"/>
    <w:rsid w:val="0D822374"/>
    <w:rsid w:val="0DDD6766"/>
    <w:rsid w:val="0E2D6DD1"/>
    <w:rsid w:val="103B29D8"/>
    <w:rsid w:val="10C679D7"/>
    <w:rsid w:val="10E01064"/>
    <w:rsid w:val="111725AC"/>
    <w:rsid w:val="11797BE6"/>
    <w:rsid w:val="126976EC"/>
    <w:rsid w:val="132F26C0"/>
    <w:rsid w:val="13351506"/>
    <w:rsid w:val="141D4DDA"/>
    <w:rsid w:val="14E16390"/>
    <w:rsid w:val="15912B4B"/>
    <w:rsid w:val="15CE1DD3"/>
    <w:rsid w:val="15E91C15"/>
    <w:rsid w:val="163B2879"/>
    <w:rsid w:val="16572F7C"/>
    <w:rsid w:val="16801789"/>
    <w:rsid w:val="16831C06"/>
    <w:rsid w:val="16AD0964"/>
    <w:rsid w:val="16CF777F"/>
    <w:rsid w:val="16DE7DF3"/>
    <w:rsid w:val="17694C0B"/>
    <w:rsid w:val="18D0495C"/>
    <w:rsid w:val="19A31B88"/>
    <w:rsid w:val="1B9117F5"/>
    <w:rsid w:val="1BC879CD"/>
    <w:rsid w:val="1BEA0FE8"/>
    <w:rsid w:val="1D345718"/>
    <w:rsid w:val="1D430F6E"/>
    <w:rsid w:val="1DCF1CAD"/>
    <w:rsid w:val="1E8210A1"/>
    <w:rsid w:val="1F107083"/>
    <w:rsid w:val="1F4E6181"/>
    <w:rsid w:val="1FC64311"/>
    <w:rsid w:val="20795D5C"/>
    <w:rsid w:val="207D242B"/>
    <w:rsid w:val="20C02E3B"/>
    <w:rsid w:val="20D90E52"/>
    <w:rsid w:val="20E5353A"/>
    <w:rsid w:val="220F79FB"/>
    <w:rsid w:val="22153C27"/>
    <w:rsid w:val="23C77921"/>
    <w:rsid w:val="23FF75FB"/>
    <w:rsid w:val="244943E8"/>
    <w:rsid w:val="24992D39"/>
    <w:rsid w:val="249F1FCC"/>
    <w:rsid w:val="24A50662"/>
    <w:rsid w:val="24B554F3"/>
    <w:rsid w:val="25AE12D9"/>
    <w:rsid w:val="266F0406"/>
    <w:rsid w:val="26AF0309"/>
    <w:rsid w:val="27856069"/>
    <w:rsid w:val="27AB0974"/>
    <w:rsid w:val="27B73DC6"/>
    <w:rsid w:val="285A6862"/>
    <w:rsid w:val="28AF3A48"/>
    <w:rsid w:val="29E3020E"/>
    <w:rsid w:val="2A403FBB"/>
    <w:rsid w:val="2B091C85"/>
    <w:rsid w:val="2BDC5F1D"/>
    <w:rsid w:val="2C136A03"/>
    <w:rsid w:val="2C2A5EE7"/>
    <w:rsid w:val="2C74180A"/>
    <w:rsid w:val="2C7744DE"/>
    <w:rsid w:val="2C972AC7"/>
    <w:rsid w:val="2CBC58E5"/>
    <w:rsid w:val="2CDA6E57"/>
    <w:rsid w:val="2CE65313"/>
    <w:rsid w:val="2CFF066C"/>
    <w:rsid w:val="2D500D11"/>
    <w:rsid w:val="2DFB7CF8"/>
    <w:rsid w:val="2E7F4750"/>
    <w:rsid w:val="2F246B5F"/>
    <w:rsid w:val="2FEC3571"/>
    <w:rsid w:val="300466C5"/>
    <w:rsid w:val="308710A4"/>
    <w:rsid w:val="30B22A4B"/>
    <w:rsid w:val="311E5627"/>
    <w:rsid w:val="3135787E"/>
    <w:rsid w:val="31BF6449"/>
    <w:rsid w:val="327B74C9"/>
    <w:rsid w:val="32863235"/>
    <w:rsid w:val="32CA5270"/>
    <w:rsid w:val="32DB6043"/>
    <w:rsid w:val="33396494"/>
    <w:rsid w:val="33844E91"/>
    <w:rsid w:val="34A87036"/>
    <w:rsid w:val="35462D36"/>
    <w:rsid w:val="35A13B85"/>
    <w:rsid w:val="35E24B70"/>
    <w:rsid w:val="360762D6"/>
    <w:rsid w:val="365111B7"/>
    <w:rsid w:val="366C0B20"/>
    <w:rsid w:val="370E47A0"/>
    <w:rsid w:val="37743531"/>
    <w:rsid w:val="379A16BD"/>
    <w:rsid w:val="37C71DB0"/>
    <w:rsid w:val="37DE2A16"/>
    <w:rsid w:val="37DE2AD6"/>
    <w:rsid w:val="37F678AD"/>
    <w:rsid w:val="381F43B6"/>
    <w:rsid w:val="387243E8"/>
    <w:rsid w:val="3891221D"/>
    <w:rsid w:val="39292E78"/>
    <w:rsid w:val="396D17E3"/>
    <w:rsid w:val="3A6A35C8"/>
    <w:rsid w:val="3B373BF0"/>
    <w:rsid w:val="3BC33327"/>
    <w:rsid w:val="3C77306C"/>
    <w:rsid w:val="3C774D3E"/>
    <w:rsid w:val="3CAC0CBC"/>
    <w:rsid w:val="3CF60293"/>
    <w:rsid w:val="3D066E64"/>
    <w:rsid w:val="3D1179C2"/>
    <w:rsid w:val="3DF86F11"/>
    <w:rsid w:val="3E4C593B"/>
    <w:rsid w:val="3E510064"/>
    <w:rsid w:val="3EB30628"/>
    <w:rsid w:val="3F4C5993"/>
    <w:rsid w:val="3F5A533C"/>
    <w:rsid w:val="3F8D625F"/>
    <w:rsid w:val="40D82DFB"/>
    <w:rsid w:val="419C0A8D"/>
    <w:rsid w:val="42C33F30"/>
    <w:rsid w:val="433D0074"/>
    <w:rsid w:val="437556E9"/>
    <w:rsid w:val="43962F64"/>
    <w:rsid w:val="44036F51"/>
    <w:rsid w:val="44B17B31"/>
    <w:rsid w:val="44F3127A"/>
    <w:rsid w:val="44F32D05"/>
    <w:rsid w:val="456A6AE6"/>
    <w:rsid w:val="46477E22"/>
    <w:rsid w:val="468A0DE6"/>
    <w:rsid w:val="47EF2633"/>
    <w:rsid w:val="48000CA4"/>
    <w:rsid w:val="48EC51CC"/>
    <w:rsid w:val="497E0E3E"/>
    <w:rsid w:val="49BF33D2"/>
    <w:rsid w:val="4A3416AF"/>
    <w:rsid w:val="4A527BD5"/>
    <w:rsid w:val="4AF419CA"/>
    <w:rsid w:val="4BF44EFB"/>
    <w:rsid w:val="4C072893"/>
    <w:rsid w:val="4C8B5DD4"/>
    <w:rsid w:val="4D881D6F"/>
    <w:rsid w:val="4DEC0600"/>
    <w:rsid w:val="4EB4413A"/>
    <w:rsid w:val="501A39CA"/>
    <w:rsid w:val="503B5814"/>
    <w:rsid w:val="506C2151"/>
    <w:rsid w:val="50E16708"/>
    <w:rsid w:val="511F1731"/>
    <w:rsid w:val="51E62B79"/>
    <w:rsid w:val="525A371F"/>
    <w:rsid w:val="536415F1"/>
    <w:rsid w:val="537B62B1"/>
    <w:rsid w:val="53EE4B74"/>
    <w:rsid w:val="54263430"/>
    <w:rsid w:val="547153CD"/>
    <w:rsid w:val="54BA3963"/>
    <w:rsid w:val="54DA0EF3"/>
    <w:rsid w:val="55E81647"/>
    <w:rsid w:val="56105421"/>
    <w:rsid w:val="56BD505E"/>
    <w:rsid w:val="586C5802"/>
    <w:rsid w:val="589A3193"/>
    <w:rsid w:val="592C5219"/>
    <w:rsid w:val="5B9F3B36"/>
    <w:rsid w:val="5C405B08"/>
    <w:rsid w:val="5D292956"/>
    <w:rsid w:val="5D796F08"/>
    <w:rsid w:val="5E192A8C"/>
    <w:rsid w:val="5F4A37DC"/>
    <w:rsid w:val="5F5C11C0"/>
    <w:rsid w:val="5F685A79"/>
    <w:rsid w:val="5FBF30CA"/>
    <w:rsid w:val="5FCD01EE"/>
    <w:rsid w:val="601B7A0C"/>
    <w:rsid w:val="605F5BE5"/>
    <w:rsid w:val="60A01F6A"/>
    <w:rsid w:val="60A80089"/>
    <w:rsid w:val="61563D8A"/>
    <w:rsid w:val="61963FB3"/>
    <w:rsid w:val="61AE641F"/>
    <w:rsid w:val="61CB167B"/>
    <w:rsid w:val="61E44F2C"/>
    <w:rsid w:val="6325605A"/>
    <w:rsid w:val="64C17092"/>
    <w:rsid w:val="64F01059"/>
    <w:rsid w:val="668F14E4"/>
    <w:rsid w:val="67BB0FE6"/>
    <w:rsid w:val="67ED50B4"/>
    <w:rsid w:val="682B47D1"/>
    <w:rsid w:val="687E4741"/>
    <w:rsid w:val="68C567C2"/>
    <w:rsid w:val="691E189E"/>
    <w:rsid w:val="695E7EED"/>
    <w:rsid w:val="69F978B3"/>
    <w:rsid w:val="6A3F4824"/>
    <w:rsid w:val="6B330383"/>
    <w:rsid w:val="6B7F1EA3"/>
    <w:rsid w:val="6BD12065"/>
    <w:rsid w:val="6CF21078"/>
    <w:rsid w:val="6D625C1A"/>
    <w:rsid w:val="6D9910DD"/>
    <w:rsid w:val="6DB97DE8"/>
    <w:rsid w:val="6E1F5E9D"/>
    <w:rsid w:val="6E4E27FF"/>
    <w:rsid w:val="6E696399"/>
    <w:rsid w:val="6EA30338"/>
    <w:rsid w:val="6F341910"/>
    <w:rsid w:val="6F535138"/>
    <w:rsid w:val="6FFF27F3"/>
    <w:rsid w:val="70A75B7F"/>
    <w:rsid w:val="70AC1420"/>
    <w:rsid w:val="71703F81"/>
    <w:rsid w:val="72997548"/>
    <w:rsid w:val="73837CDD"/>
    <w:rsid w:val="73CF1D2F"/>
    <w:rsid w:val="745C561E"/>
    <w:rsid w:val="745D03BD"/>
    <w:rsid w:val="752C70F1"/>
    <w:rsid w:val="75493809"/>
    <w:rsid w:val="77310B5C"/>
    <w:rsid w:val="778622A1"/>
    <w:rsid w:val="78340C7E"/>
    <w:rsid w:val="78762B59"/>
    <w:rsid w:val="7B2014A6"/>
    <w:rsid w:val="7B3D5FC0"/>
    <w:rsid w:val="7C944F83"/>
    <w:rsid w:val="7C9C5934"/>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9"/>
    <w:pPr>
      <w:keepNext/>
      <w:keepLines/>
      <w:spacing w:before="340" w:after="330" w:line="559" w:lineRule="auto"/>
      <w:outlineLvl w:val="0"/>
    </w:pPr>
    <w:rPr>
      <w:rFonts w:eastAsia="华文中宋"/>
      <w:b/>
      <w:bCs/>
      <w:kern w:val="44"/>
      <w:sz w:val="44"/>
      <w:szCs w:val="4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rFonts w:ascii="Times New Roman" w:hAnsi="Times New Roman" w:cs="Times New Roman"/>
      <w:szCs w:val="20"/>
    </w:r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27"/>
    <w:qFormat/>
    <w:uiPriority w:val="99"/>
    <w:rPr>
      <w:rFonts w:ascii="宋体" w:hAnsi="Courier New"/>
      <w:sz w:val="32"/>
      <w:szCs w:val="20"/>
    </w:rPr>
  </w:style>
  <w:style w:type="paragraph" w:styleId="6">
    <w:name w:val="Balloon Text"/>
    <w:basedOn w:val="1"/>
    <w:link w:val="21"/>
    <w:qFormat/>
    <w:uiPriority w:val="99"/>
    <w:rPr>
      <w:sz w:val="18"/>
      <w:szCs w:val="18"/>
    </w:rPr>
  </w:style>
  <w:style w:type="paragraph" w:styleId="7">
    <w:name w:val="footer"/>
    <w:basedOn w:val="1"/>
    <w:link w:val="22"/>
    <w:qFormat/>
    <w:uiPriority w:val="99"/>
    <w:pPr>
      <w:tabs>
        <w:tab w:val="center" w:pos="4153"/>
        <w:tab w:val="right" w:pos="8306"/>
      </w:tabs>
      <w:snapToGrid w:val="0"/>
      <w:jc w:val="left"/>
    </w:pPr>
    <w:rPr>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pPr>
      <w:widowControl/>
      <w:spacing w:after="100" w:line="259" w:lineRule="auto"/>
      <w:jc w:val="left"/>
    </w:pPr>
    <w:rPr>
      <w:rFonts w:ascii="Calibri" w:hAnsi="Calibri"/>
      <w:kern w:val="0"/>
      <w:sz w:val="22"/>
      <w:szCs w:val="22"/>
    </w:rPr>
  </w:style>
  <w:style w:type="paragraph" w:styleId="10">
    <w:name w:val="Subtitle"/>
    <w:basedOn w:val="1"/>
    <w:next w:val="1"/>
    <w:link w:val="24"/>
    <w:qFormat/>
    <w:uiPriority w:val="99"/>
    <w:pPr>
      <w:spacing w:before="240" w:after="60" w:line="312" w:lineRule="auto"/>
      <w:jc w:val="center"/>
      <w:outlineLvl w:val="1"/>
    </w:pPr>
    <w:rPr>
      <w:rFonts w:ascii="Calibri" w:hAnsi="Calibri"/>
      <w:b/>
      <w:bCs/>
      <w:kern w:val="28"/>
      <w:sz w:val="32"/>
      <w:szCs w:val="32"/>
    </w:rPr>
  </w:style>
  <w:style w:type="paragraph" w:styleId="11">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25"/>
    <w:qFormat/>
    <w:uiPriority w:val="99"/>
    <w:pPr>
      <w:spacing w:before="240" w:after="60"/>
      <w:jc w:val="center"/>
      <w:outlineLvl w:val="0"/>
    </w:pPr>
    <w:rPr>
      <w:rFonts w:ascii="Cambria" w:hAnsi="Cambria" w:eastAsia="华文中宋"/>
      <w:b/>
      <w:bCs/>
      <w:sz w:val="36"/>
      <w:szCs w:val="32"/>
    </w:rPr>
  </w:style>
  <w:style w:type="character" w:styleId="16">
    <w:name w:val="page number"/>
    <w:qFormat/>
    <w:uiPriority w:val="99"/>
    <w:rPr>
      <w:rFonts w:cs="Times New Roman"/>
    </w:rPr>
  </w:style>
  <w:style w:type="character" w:styleId="17">
    <w:name w:val="FollowedHyperlink"/>
    <w:basedOn w:val="15"/>
    <w:semiHidden/>
    <w:unhideWhenUsed/>
    <w:qFormat/>
    <w:locked/>
    <w:uiPriority w:val="99"/>
    <w:rPr>
      <w:color w:val="333333"/>
      <w:u w:val="none"/>
    </w:rPr>
  </w:style>
  <w:style w:type="character" w:styleId="18">
    <w:name w:val="Hyperlink"/>
    <w:qFormat/>
    <w:uiPriority w:val="99"/>
    <w:rPr>
      <w:rFonts w:cs="Times New Roman"/>
      <w:color w:val="0000FF"/>
      <w:u w:val="single"/>
    </w:rPr>
  </w:style>
  <w:style w:type="character" w:customStyle="1" w:styleId="19">
    <w:name w:val="标题 1 字符"/>
    <w:link w:val="3"/>
    <w:qFormat/>
    <w:locked/>
    <w:uiPriority w:val="99"/>
    <w:rPr>
      <w:rFonts w:eastAsia="华文中宋" w:cs="Times New Roman"/>
      <w:b/>
      <w:bCs/>
      <w:kern w:val="44"/>
      <w:sz w:val="44"/>
      <w:szCs w:val="44"/>
    </w:rPr>
  </w:style>
  <w:style w:type="character" w:customStyle="1" w:styleId="20">
    <w:name w:val="Plain Text Char"/>
    <w:qFormat/>
    <w:locked/>
    <w:uiPriority w:val="99"/>
    <w:rPr>
      <w:rFonts w:ascii="宋体" w:hAnsi="Courier New" w:cs="Times New Roman"/>
      <w:kern w:val="2"/>
      <w:sz w:val="32"/>
    </w:rPr>
  </w:style>
  <w:style w:type="character" w:customStyle="1" w:styleId="21">
    <w:name w:val="批注框文本 字符"/>
    <w:link w:val="6"/>
    <w:qFormat/>
    <w:locked/>
    <w:uiPriority w:val="99"/>
    <w:rPr>
      <w:rFonts w:cs="Times New Roman"/>
      <w:kern w:val="2"/>
      <w:sz w:val="18"/>
      <w:szCs w:val="18"/>
    </w:rPr>
  </w:style>
  <w:style w:type="character" w:customStyle="1" w:styleId="22">
    <w:name w:val="页脚 字符"/>
    <w:link w:val="7"/>
    <w:qFormat/>
    <w:locked/>
    <w:uiPriority w:val="99"/>
    <w:rPr>
      <w:rFonts w:eastAsia="宋体" w:cs="Times New Roman"/>
      <w:kern w:val="2"/>
      <w:sz w:val="18"/>
      <w:lang w:val="en-US" w:eastAsia="zh-CN"/>
    </w:rPr>
  </w:style>
  <w:style w:type="character" w:customStyle="1" w:styleId="23">
    <w:name w:val="页眉 字符"/>
    <w:link w:val="8"/>
    <w:qFormat/>
    <w:locked/>
    <w:uiPriority w:val="99"/>
    <w:rPr>
      <w:rFonts w:eastAsia="宋体" w:cs="Times New Roman"/>
      <w:kern w:val="2"/>
      <w:sz w:val="18"/>
      <w:lang w:val="en-US" w:eastAsia="zh-CN"/>
    </w:rPr>
  </w:style>
  <w:style w:type="character" w:customStyle="1" w:styleId="24">
    <w:name w:val="副标题 字符"/>
    <w:link w:val="10"/>
    <w:qFormat/>
    <w:locked/>
    <w:uiPriority w:val="99"/>
    <w:rPr>
      <w:rFonts w:ascii="Calibri" w:hAnsi="Calibri" w:eastAsia="宋体" w:cs="Times New Roman"/>
      <w:b/>
      <w:bCs/>
      <w:kern w:val="28"/>
      <w:sz w:val="32"/>
      <w:szCs w:val="32"/>
    </w:rPr>
  </w:style>
  <w:style w:type="character" w:customStyle="1" w:styleId="25">
    <w:name w:val="标题 字符"/>
    <w:link w:val="13"/>
    <w:qFormat/>
    <w:locked/>
    <w:uiPriority w:val="99"/>
    <w:rPr>
      <w:rFonts w:ascii="Cambria" w:hAnsi="Cambria" w:eastAsia="华文中宋" w:cs="Times New Roman"/>
      <w:b/>
      <w:bCs/>
      <w:kern w:val="2"/>
      <w:sz w:val="32"/>
      <w:szCs w:val="32"/>
    </w:rPr>
  </w:style>
  <w:style w:type="paragraph" w:customStyle="1" w:styleId="26">
    <w:name w:val="p0"/>
    <w:basedOn w:val="1"/>
    <w:qFormat/>
    <w:uiPriority w:val="99"/>
    <w:pPr>
      <w:widowControl/>
      <w:spacing w:line="365" w:lineRule="atLeast"/>
      <w:ind w:left="1"/>
    </w:pPr>
    <w:rPr>
      <w:kern w:val="0"/>
      <w:sz w:val="20"/>
      <w:szCs w:val="20"/>
    </w:rPr>
  </w:style>
  <w:style w:type="character" w:customStyle="1" w:styleId="27">
    <w:name w:val="纯文本 字符"/>
    <w:link w:val="5"/>
    <w:semiHidden/>
    <w:qFormat/>
    <w:locked/>
    <w:uiPriority w:val="99"/>
    <w:rPr>
      <w:rFonts w:ascii="宋体" w:hAnsi="Courier New" w:cs="Courier New"/>
      <w:sz w:val="21"/>
      <w:szCs w:val="21"/>
    </w:rPr>
  </w:style>
  <w:style w:type="character" w:customStyle="1" w:styleId="28">
    <w:name w:val="纯文本 Char1"/>
    <w:qFormat/>
    <w:uiPriority w:val="99"/>
    <w:rPr>
      <w:rFonts w:ascii="宋体" w:hAnsi="Courier New" w:cs="Courier New"/>
      <w:kern w:val="2"/>
      <w:sz w:val="21"/>
      <w:szCs w:val="21"/>
    </w:rPr>
  </w:style>
  <w:style w:type="paragraph" w:customStyle="1" w:styleId="29">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5.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3" textRotate="1"/>
    <customShpInfo spid="_x0000_s2051" textRotate="1"/>
    <customShpInfo spid="_x0000_s2052" textRotate="1"/>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44</Pages>
  <Words>16196</Words>
  <Characters>17122</Characters>
  <Lines>127</Lines>
  <Paragraphs>35</Paragraphs>
  <TotalTime>0</TotalTime>
  <ScaleCrop>false</ScaleCrop>
  <LinksUpToDate>false</LinksUpToDate>
  <CharactersWithSpaces>17514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2022-10-10T08:55:00Z</cp:lastPrinted>
  <dcterms:modified xsi:type="dcterms:W3CDTF">2022-10-19T11:23:43Z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5037D6B52DEA4745BA7048908278867A</vt:lpwstr>
  </property>
</Properties>
</file>