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ind w:left="260" w:hanging="260" w:hangingChars="50"/>
        <w:jc w:val="center"/>
        <w:rPr>
          <w:rFonts w:eastAsia="方正小标宋简体"/>
          <w:color w:val="auto"/>
          <w:sz w:val="52"/>
          <w:szCs w:val="52"/>
        </w:rPr>
      </w:pP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达州市梁家坝组团B-06-03（B区）</w:t>
      </w:r>
    </w:p>
    <w:p>
      <w:pPr>
        <w:ind w:left="260" w:hanging="260" w:hangingChars="50"/>
        <w:jc w:val="center"/>
        <w:rPr>
          <w:rFonts w:eastAsia="方正小标宋简体"/>
          <w:color w:val="auto"/>
          <w:sz w:val="52"/>
          <w:szCs w:val="52"/>
        </w:rPr>
      </w:pPr>
      <w:r>
        <w:rPr>
          <w:rFonts w:hint="eastAsia" w:eastAsia="方正小标宋简体"/>
          <w:color w:val="auto"/>
          <w:sz w:val="52"/>
          <w:szCs w:val="52"/>
          <w:lang w:val="en-US" w:eastAsia="zh-CN"/>
        </w:rPr>
        <w:t>地块</w:t>
      </w: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741"/>
      <w:bookmarkStart w:id="1" w:name="_Toc3391970"/>
      <w:bookmarkStart w:id="2" w:name="OLE_LINK1"/>
      <w:bookmarkStart w:id="3" w:name="OLE_LINK2"/>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spacing w:line="520" w:lineRule="exact"/>
        <w:ind w:firstLine="640" w:firstLineChars="200"/>
        <w:rPr>
          <w:rFonts w:eastAsia="仿宋"/>
          <w:color w:val="auto"/>
          <w:sz w:val="32"/>
          <w:szCs w:val="32"/>
        </w:rPr>
      </w:pPr>
      <w:r>
        <w:rPr>
          <w:rFonts w:eastAsia="仿宋"/>
          <w:color w:val="auto"/>
          <w:sz w:val="32"/>
          <w:szCs w:val="32"/>
          <w:u w:val="none"/>
        </w:rPr>
        <w:t>经达州市人民政府批准，达州市自然资源和规划局决定以</w:t>
      </w:r>
      <w:r>
        <w:rPr>
          <w:rFonts w:hint="eastAsia" w:eastAsia="仿宋"/>
          <w:color w:val="auto"/>
          <w:sz w:val="32"/>
          <w:szCs w:val="32"/>
          <w:u w:val="none"/>
        </w:rPr>
        <w:t>拍卖</w:t>
      </w:r>
      <w:r>
        <w:rPr>
          <w:rFonts w:eastAsia="仿宋"/>
          <w:color w:val="auto"/>
          <w:sz w:val="32"/>
          <w:szCs w:val="32"/>
          <w:u w:val="none"/>
        </w:rPr>
        <w:t>方式出让</w:t>
      </w:r>
      <w:bookmarkStart w:id="21" w:name="_GoBack"/>
      <w:r>
        <w:rPr>
          <w:rFonts w:hint="eastAsia" w:eastAsia="仿宋"/>
          <w:color w:val="auto"/>
          <w:sz w:val="32"/>
          <w:szCs w:val="32"/>
          <w:u w:val="none"/>
        </w:rPr>
        <w:t>莲花湖片区</w:t>
      </w:r>
      <w:r>
        <w:rPr>
          <w:rFonts w:hint="eastAsia" w:eastAsia="仿宋"/>
          <w:color w:val="auto"/>
          <w:sz w:val="32"/>
          <w:szCs w:val="32"/>
          <w:u w:val="none"/>
          <w:lang w:val="en-US" w:eastAsia="zh-CN"/>
        </w:rPr>
        <w:t>ⅢC6-2/1</w:t>
      </w:r>
      <w:r>
        <w:rPr>
          <w:rFonts w:hint="eastAsia" w:eastAsia="仿宋"/>
          <w:color w:val="auto"/>
          <w:sz w:val="32"/>
          <w:szCs w:val="32"/>
          <w:u w:val="none"/>
        </w:rPr>
        <w:t>等8</w:t>
      </w:r>
      <w:bookmarkEnd w:id="21"/>
      <w:r>
        <w:rPr>
          <w:rFonts w:hint="eastAsia" w:eastAsia="仿宋"/>
          <w:color w:val="auto"/>
          <w:sz w:val="32"/>
          <w:szCs w:val="32"/>
          <w:u w:val="none"/>
        </w:rPr>
        <w:t>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p>
    <w:bookmarkEnd w:id="3"/>
    <w:p>
      <w:pPr>
        <w:snapToGrid w:val="0"/>
        <w:spacing w:line="530" w:lineRule="exact"/>
        <w:ind w:firstLine="5120" w:firstLineChars="1600"/>
        <w:rPr>
          <w:rFonts w:eastAsia="仿宋"/>
          <w:color w:val="auto"/>
          <w:sz w:val="32"/>
          <w:szCs w:val="32"/>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spacing w:line="600" w:lineRule="exact"/>
        <w:ind w:firstLine="640" w:firstLineChars="200"/>
        <w:rPr>
          <w:rFonts w:hint="default" w:ascii="仿宋" w:hAnsi="仿宋" w:eastAsia="仿宋" w:cs="Times New Roman"/>
          <w:color w:val="auto"/>
          <w:sz w:val="32"/>
          <w:szCs w:val="32"/>
          <w:lang w:val="en-US" w:eastAsia="zh-CN"/>
        </w:rPr>
      </w:pPr>
      <w:r>
        <w:rPr>
          <w:rFonts w:ascii="仿宋" w:hAnsi="仿宋" w:eastAsia="仿宋"/>
          <w:color w:val="auto"/>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达州市人民政府批准,达州市自然资源和规划局决定拍卖出</w:t>
      </w:r>
      <w:r>
        <w:rPr>
          <w:rFonts w:hint="default" w:ascii="仿宋" w:hAnsi="仿宋" w:eastAsia="仿宋" w:cs="Times New Roman"/>
          <w:color w:val="auto"/>
          <w:sz w:val="32"/>
          <w:szCs w:val="32"/>
          <w:lang w:val="en-US" w:eastAsia="zh-CN"/>
        </w:rPr>
        <w:t>让</w:t>
      </w:r>
      <w:r>
        <w:rPr>
          <w:rFonts w:hint="eastAsia" w:ascii="仿宋" w:hAnsi="仿宋" w:eastAsia="仿宋" w:cs="Times New Roman"/>
          <w:color w:val="auto"/>
          <w:sz w:val="32"/>
          <w:szCs w:val="32"/>
          <w:lang w:val="en-US" w:eastAsia="zh-CN"/>
        </w:rPr>
        <w:t>达州市梁家坝组团B-06-03（B区）地块</w:t>
      </w:r>
      <w:r>
        <w:rPr>
          <w:rFonts w:hint="default" w:ascii="仿宋" w:hAnsi="仿宋" w:eastAsia="仿宋" w:cs="Times New Roman"/>
          <w:color w:val="auto"/>
          <w:sz w:val="32"/>
          <w:szCs w:val="32"/>
          <w:lang w:val="en-US" w:eastAsia="zh-CN"/>
        </w:rPr>
        <w:t>国有建设用地使用权。</w:t>
      </w:r>
    </w:p>
    <w:p>
      <w:pPr>
        <w:spacing w:line="600" w:lineRule="exact"/>
        <w:ind w:firstLine="640" w:firstLineChars="200"/>
        <w:rPr>
          <w:rFonts w:hint="default"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二、本次国有</w:t>
      </w:r>
      <w:r>
        <w:rPr>
          <w:rFonts w:hint="eastAsia" w:ascii="仿宋" w:hAnsi="仿宋" w:eastAsia="仿宋" w:cs="Times New Roman"/>
          <w:color w:val="auto"/>
          <w:sz w:val="32"/>
          <w:szCs w:val="32"/>
          <w:lang w:val="en-US" w:eastAsia="zh-CN"/>
        </w:rPr>
        <w:t>建设用地使用权拍卖出让遵循公开、公平、公正和诚实信用原则。</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三、出让地块的基本情况及相关要求</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（一）地块位置：</w:t>
      </w:r>
      <w:r>
        <w:rPr>
          <w:rFonts w:hint="default" w:ascii="仿宋" w:hAnsi="仿宋" w:eastAsia="仿宋" w:cs="Times New Roman"/>
          <w:color w:val="auto"/>
          <w:sz w:val="32"/>
          <w:szCs w:val="32"/>
          <w:lang w:val="en-US" w:eastAsia="zh-CN"/>
        </w:rPr>
        <w:t>达州市通川区复兴镇罗家坝社区</w:t>
      </w:r>
      <w:r>
        <w:rPr>
          <w:rFonts w:hint="eastAsia" w:ascii="仿宋" w:hAnsi="仿宋" w:eastAsia="仿宋" w:cs="Times New Roman"/>
          <w:color w:val="auto"/>
          <w:sz w:val="32"/>
          <w:szCs w:val="32"/>
          <w:lang w:val="en-US" w:eastAsia="zh-CN"/>
        </w:rPr>
        <w:t>。</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（二）地块范围：详见《达州市梁家坝组团B-06-03（B区）地块供地勘界图》。</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（三）出让面积：</w:t>
      </w:r>
      <w:r>
        <w:rPr>
          <w:rFonts w:hint="default" w:ascii="仿宋" w:hAnsi="仿宋" w:eastAsia="仿宋" w:cs="Times New Roman"/>
          <w:color w:val="auto"/>
          <w:sz w:val="32"/>
          <w:szCs w:val="32"/>
          <w:lang w:val="en-US" w:eastAsia="zh-CN"/>
        </w:rPr>
        <w:t>46259.69</w:t>
      </w:r>
      <w:r>
        <w:rPr>
          <w:rFonts w:hint="eastAsia" w:ascii="仿宋" w:hAnsi="仿宋" w:eastAsia="仿宋" w:cs="Times New Roman"/>
          <w:color w:val="auto"/>
          <w:sz w:val="32"/>
          <w:szCs w:val="32"/>
          <w:lang w:val="en-US" w:eastAsia="zh-CN"/>
        </w:rPr>
        <w:t>平方米（折合</w:t>
      </w:r>
      <w:r>
        <w:rPr>
          <w:rFonts w:hint="default" w:ascii="仿宋" w:hAnsi="仿宋" w:eastAsia="仿宋" w:cs="Times New Roman"/>
          <w:color w:val="auto"/>
          <w:sz w:val="32"/>
          <w:szCs w:val="32"/>
          <w:lang w:val="en-US" w:eastAsia="zh-CN"/>
        </w:rPr>
        <w:t xml:space="preserve"> 69.39 </w:t>
      </w:r>
      <w:r>
        <w:rPr>
          <w:rFonts w:hint="eastAsia" w:ascii="仿宋" w:hAnsi="仿宋" w:eastAsia="仿宋" w:cs="Times New Roman"/>
          <w:color w:val="auto"/>
          <w:sz w:val="32"/>
          <w:szCs w:val="32"/>
          <w:lang w:val="en-US" w:eastAsia="zh-CN"/>
        </w:rPr>
        <w:t xml:space="preserve"> 亩）。</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（四）土地用途：二类居住用地(R2);用地用海分类为二类城镇住宅用地。</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（五）出让年限： 商业40年、住宅70年</w:t>
      </w:r>
    </w:p>
    <w:p>
      <w:pPr>
        <w:keepNext w:val="0"/>
        <w:keepLines w:val="0"/>
        <w:widowControl/>
        <w:suppressLineNumbers w:val="0"/>
        <w:ind w:firstLine="640" w:firstLineChars="200"/>
        <w:jc w:val="left"/>
        <w:rPr>
          <w:rFonts w:hint="eastAsia" w:eastAsia="仿宋_GB2312"/>
          <w:sz w:val="32"/>
          <w:szCs w:val="32"/>
          <w:lang w:val="en-US" w:eastAsia="zh-CN"/>
        </w:rPr>
      </w:pPr>
      <w:r>
        <w:rPr>
          <w:rFonts w:hint="eastAsia" w:ascii="仿宋" w:hAnsi="仿宋" w:eastAsia="仿宋" w:cs="Times New Roman"/>
          <w:color w:val="auto"/>
          <w:sz w:val="32"/>
          <w:szCs w:val="32"/>
          <w:lang w:val="en-US" w:eastAsia="zh-CN"/>
        </w:rPr>
        <w:t>（六）规划条件：详见《达州市梁家坝组团B-06-03（B区）地块规划条件》。</w:t>
      </w:r>
    </w:p>
    <w:p>
      <w:pPr>
        <w:keepNext w:val="0"/>
        <w:keepLines w:val="0"/>
        <w:widowControl/>
        <w:suppressLineNumbers w:val="0"/>
        <w:ind w:firstLine="640" w:firstLineChars="200"/>
        <w:jc w:val="left"/>
        <w:rPr>
          <w:rFonts w:hint="eastAsia" w:eastAsia="仿宋_GB2312"/>
          <w:sz w:val="32"/>
          <w:szCs w:val="32"/>
          <w:lang w:val="en-US" w:eastAsia="zh-CN"/>
        </w:rPr>
      </w:pPr>
      <w:r>
        <w:rPr>
          <w:rFonts w:hint="eastAsia" w:eastAsia="仿宋_GB2312"/>
          <w:sz w:val="32"/>
          <w:szCs w:val="32"/>
          <w:lang w:val="en-US" w:eastAsia="zh-CN"/>
        </w:rPr>
        <w:t>（七）公共配套：</w:t>
      </w:r>
      <w:r>
        <w:rPr>
          <w:rFonts w:hint="default" w:eastAsia="仿宋_GB2312"/>
          <w:sz w:val="32"/>
          <w:szCs w:val="32"/>
          <w:lang w:val="en-US" w:eastAsia="zh-CN"/>
        </w:rPr>
        <w:t>1.</w:t>
      </w:r>
      <w:r>
        <w:rPr>
          <w:rFonts w:hint="eastAsia" w:eastAsia="仿宋_GB2312"/>
          <w:sz w:val="32"/>
          <w:szCs w:val="32"/>
          <w:lang w:val="en-US" w:eastAsia="zh-CN"/>
        </w:rPr>
        <w:t>该地块可配建不大于计容总建筑面积10%的商业服务用房。其设计方案中商业、居住须分离布局（且商业用房在设计方案中须设置商业专用烟道），其临规划主干道的建筑外立面应作公建化设计，建筑临街外立面设置阳台时应封闭。2.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3.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4.幼儿园：根据达州市通川区教育和科学技术局《关于达州市梁家坝组团B-06-03地块配建幼儿园征求意见的复函》（通区教科计函〔2022〕87号），配置12个班，建筑面积不小于4150平方米，用地面积不小于5240平方米，每班至少容纳30名学生，独立用地，建筑面积不计入项目容积率，配建幼儿园与新建居住小区同步设计、同步建设、同步验收，验收合格后无偿移交通川区教科局。</w:t>
      </w:r>
    </w:p>
    <w:p>
      <w:pPr>
        <w:spacing w:line="56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八）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退用地界线距离、退规划绿带距离、退规划道路距离、停车泊位、物业管理与服务用房应满足《城市居住区规划设计标准》（GB50180-2018）、《四川省住宅设计标准》（DBJ51/168-2021）、《达州市国土空间规划管理技术规定》（2021版）、《达州市梁家坝组团控制性详细规划》等规范及文件的相关规定。</w:t>
      </w:r>
    </w:p>
    <w:p>
      <w:pPr>
        <w:spacing w:line="600" w:lineRule="exact"/>
        <w:ind w:firstLine="640" w:firstLineChars="200"/>
        <w:rPr>
          <w:rFonts w:hint="eastAsia" w:eastAsia="仿宋_GB2312"/>
          <w:sz w:val="32"/>
          <w:szCs w:val="32"/>
          <w:lang w:eastAsia="zh-CN"/>
        </w:rPr>
      </w:pPr>
      <w:r>
        <w:rPr>
          <w:rFonts w:hint="eastAsia" w:ascii="仿宋" w:hAnsi="仿宋" w:eastAsia="仿宋" w:cs="Times New Roman"/>
          <w:color w:val="auto"/>
          <w:sz w:val="32"/>
          <w:szCs w:val="32"/>
          <w:lang w:val="en-US" w:eastAsia="zh-CN"/>
        </w:rPr>
        <w:t>（九）土地竞得人须严格按照达州市梁家坝组团B-06-03（B区）地块规划条件及要求进行开发建设；须严格按照地质灾害防治的相</w:t>
      </w:r>
      <w:r>
        <w:rPr>
          <w:rFonts w:hint="eastAsia" w:eastAsia="仿宋_GB2312"/>
          <w:sz w:val="32"/>
          <w:szCs w:val="32"/>
        </w:rPr>
        <w:t>关要求，落实地质灾害防治措施；须严格按照生态环境保护的相关要求，开展环境影响评价，落实生态环境保护措施</w:t>
      </w:r>
      <w:r>
        <w:rPr>
          <w:rFonts w:hint="eastAsia" w:eastAsia="仿宋_GB2312"/>
          <w:sz w:val="32"/>
          <w:szCs w:val="32"/>
          <w:lang w:eastAsia="zh-CN"/>
        </w:rPr>
        <w:t>。</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十</w:t>
      </w:r>
      <w:r>
        <w:rPr>
          <w:rFonts w:hint="eastAsia" w:eastAsia="仿宋_GB2312"/>
          <w:sz w:val="32"/>
          <w:szCs w:val="32"/>
          <w:lang w:eastAsia="zh-CN"/>
        </w:rPr>
        <w:t>）</w:t>
      </w:r>
      <w:r>
        <w:rPr>
          <w:rFonts w:hint="default" w:ascii="仿宋" w:hAnsi="仿宋" w:eastAsia="仿宋" w:cs="Times New Roman"/>
          <w:color w:val="auto"/>
          <w:sz w:val="32"/>
          <w:szCs w:val="32"/>
          <w:lang w:val="en-US"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eastAsia="仿宋_GB2312"/>
          <w:sz w:val="32"/>
          <w:szCs w:val="32"/>
          <w:lang w:val="en-US" w:eastAsia="zh-CN"/>
        </w:rPr>
        <w:t>228</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eastAsia" w:eastAsia="仿宋_GB2312"/>
          <w:sz w:val="32"/>
          <w:szCs w:val="32"/>
          <w:lang w:val="en-US" w:eastAsia="zh-CN"/>
        </w:rPr>
        <w:t>69.39</w:t>
      </w:r>
      <w:r>
        <w:rPr>
          <w:rFonts w:hint="default" w:ascii="仿宋" w:hAnsi="仿宋" w:eastAsia="仿宋"/>
          <w:color w:val="auto"/>
          <w:sz w:val="32"/>
          <w:szCs w:val="32"/>
        </w:rPr>
        <w:t xml:space="preserve">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hint="eastAsia" w:eastAsia="仿宋_GB2312"/>
          <w:sz w:val="32"/>
          <w:szCs w:val="32"/>
          <w:lang w:val="en-US" w:eastAsia="zh-CN"/>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color w:val="auto"/>
        </w:rPr>
      </w:pPr>
    </w:p>
    <w:p>
      <w:pPr>
        <w:pStyle w:val="2"/>
        <w:rPr>
          <w:color w:val="auto"/>
        </w:rPr>
      </w:pPr>
    </w:p>
    <w:p>
      <w:pPr>
        <w:pStyle w:val="2"/>
        <w:ind w:firstLine="0" w:firstLineChars="0"/>
        <w:rPr>
          <w:color w:val="auto"/>
        </w:rPr>
      </w:pPr>
    </w:p>
    <w:p>
      <w:pPr>
        <w:pStyle w:val="15"/>
        <w:rPr>
          <w:rFonts w:ascii="Times New Roman" w:hAnsi="Times New Roman" w:eastAsia="黑体"/>
          <w:color w:val="auto"/>
          <w:sz w:val="44"/>
          <w:szCs w:val="44"/>
        </w:rPr>
      </w:pPr>
      <w:bookmarkStart w:id="6" w:name="_Toc3391743"/>
      <w:bookmarkStart w:id="7" w:name="_Toc3391972"/>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rPr>
          <w:color w:val="auto"/>
        </w:rPr>
      </w:pPr>
    </w:p>
    <w:p>
      <w:pPr>
        <w:pStyle w:val="2"/>
        <w:rPr>
          <w:color w:val="auto"/>
        </w:rPr>
      </w:pPr>
    </w:p>
    <w:p>
      <w:pPr>
        <w:pStyle w:val="2"/>
        <w:rPr>
          <w:color w:val="auto"/>
        </w:rPr>
      </w:pPr>
      <w:r>
        <w:drawing>
          <wp:inline distT="0" distB="0" distL="114300" distR="114300">
            <wp:extent cx="5271135" cy="7406005"/>
            <wp:effectExtent l="0" t="0" r="5715"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71135" cy="7406005"/>
                    </a:xfrm>
                    <a:prstGeom prst="rect">
                      <a:avLst/>
                    </a:prstGeom>
                    <a:noFill/>
                    <a:ln>
                      <a:noFill/>
                    </a:ln>
                  </pic:spPr>
                </pic:pic>
              </a:graphicData>
            </a:graphic>
          </wp:inline>
        </w:drawing>
      </w:r>
      <w:r>
        <w:drawing>
          <wp:inline distT="0" distB="0" distL="114300" distR="114300">
            <wp:extent cx="5271135" cy="7511415"/>
            <wp:effectExtent l="0" t="0" r="5715" b="133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5271135" cy="7511415"/>
                    </a:xfrm>
                    <a:prstGeom prst="rect">
                      <a:avLst/>
                    </a:prstGeom>
                    <a:noFill/>
                    <a:ln>
                      <a:noFill/>
                    </a:ln>
                  </pic:spPr>
                </pic:pic>
              </a:graphicData>
            </a:graphic>
          </wp:inline>
        </w:drawing>
      </w:r>
    </w:p>
    <w:p>
      <w:pPr>
        <w:pStyle w:val="2"/>
        <w:rPr>
          <w:color w:val="auto"/>
        </w:rPr>
      </w:pPr>
    </w:p>
    <w:p>
      <w:pPr>
        <w:pStyle w:val="2"/>
        <w:rPr>
          <w:color w:val="auto"/>
        </w:rPr>
      </w:pPr>
    </w:p>
    <w:p>
      <w:pPr>
        <w:pStyle w:val="2"/>
        <w:rPr>
          <w:color w:val="auto"/>
        </w:rPr>
      </w:pPr>
    </w:p>
    <w:p>
      <w:pPr>
        <w:pStyle w:val="2"/>
        <w:ind w:firstLine="0" w:firstLineChars="0"/>
        <w:rPr>
          <w:color w:val="auto"/>
        </w:rPr>
      </w:pPr>
    </w:p>
    <w:p>
      <w:pPr>
        <w:widowControl/>
        <w:jc w:val="left"/>
        <w:rPr>
          <w:color w:val="auto"/>
          <w:kern w:val="0"/>
          <w:sz w:val="24"/>
        </w:rPr>
      </w:pPr>
    </w:p>
    <w:p>
      <w:pPr>
        <w:pStyle w:val="15"/>
        <w:rPr>
          <w:rFonts w:ascii="Times New Roman" w:hAnsi="Times New Roman" w:eastAsia="黑体"/>
          <w:color w:val="auto"/>
          <w:sz w:val="44"/>
          <w:szCs w:val="44"/>
        </w:rPr>
      </w:pPr>
      <w:bookmarkStart w:id="8" w:name="_Toc3391744"/>
      <w:bookmarkStart w:id="9" w:name="_Toc3391973"/>
      <w:r>
        <w:rPr>
          <w:rFonts w:ascii="Times New Roman" w:hAnsi="Times New Roman" w:eastAsia="黑体"/>
          <w:color w:val="auto"/>
          <w:sz w:val="44"/>
          <w:szCs w:val="44"/>
        </w:rPr>
        <w:t>用地红线图</w:t>
      </w:r>
      <w:bookmarkEnd w:id="8"/>
      <w:bookmarkEnd w:id="9"/>
    </w:p>
    <w:p>
      <w:pPr>
        <w:jc w:val="center"/>
        <w:rPr>
          <w:color w:val="auto"/>
        </w:rPr>
      </w:pPr>
    </w:p>
    <w:p>
      <w:pPr>
        <w:rPr>
          <w:color w:val="auto"/>
        </w:rPr>
      </w:pPr>
      <w:r>
        <w:drawing>
          <wp:inline distT="0" distB="0" distL="114300" distR="114300">
            <wp:extent cx="5268595" cy="5802630"/>
            <wp:effectExtent l="0" t="0" r="825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a:off x="0" y="0"/>
                      <a:ext cx="5268595" cy="5802630"/>
                    </a:xfrm>
                    <a:prstGeom prst="rect">
                      <a:avLst/>
                    </a:prstGeom>
                    <a:noFill/>
                    <a:ln>
                      <a:noFill/>
                    </a:ln>
                  </pic:spPr>
                </pic:pic>
              </a:graphicData>
            </a:graphic>
          </wp:inline>
        </w:drawing>
      </w:r>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r>
        <w:drawing>
          <wp:inline distT="0" distB="0" distL="114300" distR="114300">
            <wp:extent cx="5575935" cy="6233795"/>
            <wp:effectExtent l="0" t="0" r="571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5575935" cy="623379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2"/>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975"/>
      <w:bookmarkStart w:id="11" w:name="_Toc3391746"/>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ascii="仿宋" w:hAnsi="仿宋" w:eastAsia="仿宋"/>
          <w:b/>
          <w:color w:val="auto"/>
          <w:sz w:val="24"/>
          <w:szCs w:val="24"/>
          <w:u w:val="single"/>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val="en-US"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747"/>
      <w:bookmarkStart w:id="13" w:name="_Toc3391976"/>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748"/>
      <w:bookmarkStart w:id="15" w:name="_Toc3391977"/>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749"/>
      <w:bookmarkStart w:id="17" w:name="_Toc3391978"/>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980"/>
      <w:bookmarkStart w:id="19" w:name="_Toc3391751"/>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212321E"/>
    <w:rsid w:val="0296686A"/>
    <w:rsid w:val="06F72DE5"/>
    <w:rsid w:val="079E53BB"/>
    <w:rsid w:val="08C05AA0"/>
    <w:rsid w:val="0AFE2A9B"/>
    <w:rsid w:val="0C460645"/>
    <w:rsid w:val="0D6C6F7B"/>
    <w:rsid w:val="0F6D4611"/>
    <w:rsid w:val="107C759E"/>
    <w:rsid w:val="11EF4686"/>
    <w:rsid w:val="12D864FD"/>
    <w:rsid w:val="13CF7EEA"/>
    <w:rsid w:val="147F3F75"/>
    <w:rsid w:val="158C5BF9"/>
    <w:rsid w:val="173C7ACC"/>
    <w:rsid w:val="18A0649E"/>
    <w:rsid w:val="19F8100C"/>
    <w:rsid w:val="1A8C5F8C"/>
    <w:rsid w:val="1C693B1D"/>
    <w:rsid w:val="1CDE6F5E"/>
    <w:rsid w:val="1FC225B8"/>
    <w:rsid w:val="1FE46A9C"/>
    <w:rsid w:val="206750B4"/>
    <w:rsid w:val="21AE3013"/>
    <w:rsid w:val="21F916D8"/>
    <w:rsid w:val="22E52020"/>
    <w:rsid w:val="22EA0292"/>
    <w:rsid w:val="254C7485"/>
    <w:rsid w:val="275A66B9"/>
    <w:rsid w:val="27A25184"/>
    <w:rsid w:val="28B8516C"/>
    <w:rsid w:val="29BD4113"/>
    <w:rsid w:val="2B3202B6"/>
    <w:rsid w:val="2BC52323"/>
    <w:rsid w:val="2F6536D3"/>
    <w:rsid w:val="316F5531"/>
    <w:rsid w:val="33283F4F"/>
    <w:rsid w:val="33E522A4"/>
    <w:rsid w:val="35C44594"/>
    <w:rsid w:val="35ED0A47"/>
    <w:rsid w:val="379571AA"/>
    <w:rsid w:val="38977042"/>
    <w:rsid w:val="39316278"/>
    <w:rsid w:val="3B1D063B"/>
    <w:rsid w:val="3C2D70F4"/>
    <w:rsid w:val="3CD737FF"/>
    <w:rsid w:val="3E296944"/>
    <w:rsid w:val="3E670D70"/>
    <w:rsid w:val="3E880089"/>
    <w:rsid w:val="3FB93B43"/>
    <w:rsid w:val="40BA692C"/>
    <w:rsid w:val="42041CCC"/>
    <w:rsid w:val="426C32DB"/>
    <w:rsid w:val="42B50E9F"/>
    <w:rsid w:val="45FB75AB"/>
    <w:rsid w:val="45FE14C1"/>
    <w:rsid w:val="474074DF"/>
    <w:rsid w:val="491348B1"/>
    <w:rsid w:val="49EA2C24"/>
    <w:rsid w:val="4A1B7E9D"/>
    <w:rsid w:val="4B107C9D"/>
    <w:rsid w:val="4B157F4D"/>
    <w:rsid w:val="4D2E0486"/>
    <w:rsid w:val="4D68748F"/>
    <w:rsid w:val="4F9C76EB"/>
    <w:rsid w:val="525745B1"/>
    <w:rsid w:val="53510746"/>
    <w:rsid w:val="53606423"/>
    <w:rsid w:val="55E32AE2"/>
    <w:rsid w:val="573671C0"/>
    <w:rsid w:val="574720D1"/>
    <w:rsid w:val="5B6065F6"/>
    <w:rsid w:val="5C3A1F35"/>
    <w:rsid w:val="614C0CDA"/>
    <w:rsid w:val="62E33682"/>
    <w:rsid w:val="632C625A"/>
    <w:rsid w:val="636E4ABC"/>
    <w:rsid w:val="650457FC"/>
    <w:rsid w:val="6692027B"/>
    <w:rsid w:val="674F47CD"/>
    <w:rsid w:val="677F42ED"/>
    <w:rsid w:val="67C72B79"/>
    <w:rsid w:val="696D5534"/>
    <w:rsid w:val="6D0E35D3"/>
    <w:rsid w:val="6D553153"/>
    <w:rsid w:val="6DB6773E"/>
    <w:rsid w:val="6F3B19BF"/>
    <w:rsid w:val="6F555FB1"/>
    <w:rsid w:val="712A596C"/>
    <w:rsid w:val="718A5C28"/>
    <w:rsid w:val="72B26A06"/>
    <w:rsid w:val="72C24451"/>
    <w:rsid w:val="7301329C"/>
    <w:rsid w:val="75837868"/>
    <w:rsid w:val="75C138D0"/>
    <w:rsid w:val="76002116"/>
    <w:rsid w:val="77C03503"/>
    <w:rsid w:val="783807F6"/>
    <w:rsid w:val="79DE5F56"/>
    <w:rsid w:val="7A860D00"/>
    <w:rsid w:val="7A8F7564"/>
    <w:rsid w:val="7B1830CE"/>
    <w:rsid w:val="7C136915"/>
    <w:rsid w:val="7CAD6794"/>
    <w:rsid w:val="7CD82419"/>
    <w:rsid w:val="7D493466"/>
    <w:rsid w:val="7D521AC9"/>
    <w:rsid w:val="7D902C36"/>
    <w:rsid w:val="7DF80231"/>
    <w:rsid w:val="7E4F6DC4"/>
    <w:rsid w:val="7E612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1</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2023-11-22T13:49:00Z</cp:lastPrinted>
  <dcterms:modified xsi:type="dcterms:W3CDTF">2023-11-22T15:52:18Z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