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w:t>
      </w:r>
      <w:r>
        <w:rPr>
          <w:rFonts w:hint="eastAsia" w:eastAsia="黑体"/>
          <w:sz w:val="28"/>
          <w:lang w:val="en-US" w:eastAsia="zh-CN"/>
        </w:rPr>
        <w:t>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马踏洞片区中心服务区11-03b地块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rPr>
        <w:t>马踏洞片区中心服务区11-03b地块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马踏洞片区（龙马大道与龙池街交汇处）</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马踏洞片区中心服务区11-03b地块供地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40012.2平方米（折合60.02亩）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（四）土地用途：商业</w:t>
      </w:r>
      <w:r>
        <w:rPr>
          <w:rFonts w:hint="eastAsia"/>
          <w:color w:val="000000" w:themeColor="text1"/>
          <w:sz w:val="28"/>
          <w:szCs w:val="28"/>
        </w:rPr>
        <w:t>服务业</w:t>
      </w:r>
      <w:r>
        <w:rPr>
          <w:color w:val="000000" w:themeColor="text1"/>
          <w:sz w:val="28"/>
          <w:szCs w:val="28"/>
        </w:rPr>
        <w:t>设施用地</w:t>
      </w:r>
      <w:r>
        <w:rPr>
          <w:rFonts w:hint="eastAsia"/>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（五）出让年限：40年；</w:t>
      </w:r>
    </w:p>
    <w:p>
      <w:pPr>
        <w:spacing w:line="560" w:lineRule="exact"/>
        <w:ind w:firstLine="560" w:firstLineChars="200"/>
        <w:rPr>
          <w:rFonts w:asciiTheme="minorEastAsia" w:hAnsiTheme="minorEastAsia" w:eastAsiaTheme="minorEastAsia"/>
          <w:color w:val="000000" w:themeColor="text1"/>
          <w:sz w:val="28"/>
          <w:szCs w:val="28"/>
        </w:rPr>
      </w:pPr>
      <w:r>
        <w:rPr>
          <w:color w:val="000000" w:themeColor="text1"/>
          <w:sz w:val="28"/>
          <w:szCs w:val="28"/>
        </w:rPr>
        <w:t>（</w:t>
      </w:r>
      <w:r>
        <w:rPr>
          <w:rFonts w:asciiTheme="minorEastAsia" w:hAnsiTheme="minorEastAsia" w:eastAsiaTheme="minorEastAsia"/>
          <w:color w:val="000000" w:themeColor="text1"/>
          <w:sz w:val="28"/>
          <w:szCs w:val="28"/>
        </w:rPr>
        <w:t>六）规划条件：详见《</w:t>
      </w:r>
      <w:r>
        <w:rPr>
          <w:rFonts w:hint="eastAsia" w:asciiTheme="minorEastAsia" w:hAnsiTheme="minorEastAsia" w:eastAsiaTheme="minorEastAsia"/>
          <w:bCs/>
          <w:color w:val="000000" w:themeColor="text1"/>
          <w:sz w:val="28"/>
          <w:szCs w:val="28"/>
        </w:rPr>
        <w:t>马踏洞片区中心服务区11-03b</w:t>
      </w:r>
      <w:r>
        <w:rPr>
          <w:rFonts w:hint="eastAsia" w:asciiTheme="minorEastAsia" w:hAnsiTheme="minorEastAsia" w:eastAsiaTheme="minorEastAsia"/>
          <w:bCs/>
          <w:color w:val="000000"/>
          <w:sz w:val="28"/>
          <w:szCs w:val="28"/>
        </w:rPr>
        <w:t>地块</w:t>
      </w:r>
      <w:r>
        <w:rPr>
          <w:rFonts w:asciiTheme="minorEastAsia" w:hAnsiTheme="minorEastAsia" w:eastAsiaTheme="minorEastAsia"/>
          <w:color w:val="000000" w:themeColor="text1"/>
          <w:sz w:val="28"/>
          <w:szCs w:val="28"/>
        </w:rPr>
        <w:t>规划条件》；</w:t>
      </w:r>
    </w:p>
    <w:p>
      <w:pPr>
        <w:widowControl/>
        <w:spacing w:line="560" w:lineRule="exact"/>
        <w:ind w:firstLine="560" w:firstLineChars="200"/>
        <w:textAlignment w:val="center"/>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（七）</w:t>
      </w:r>
      <w:r>
        <w:rPr>
          <w:rFonts w:hint="eastAsia" w:asciiTheme="minorEastAsia" w:hAnsiTheme="minorEastAsia" w:eastAsiaTheme="minorEastAsia"/>
          <w:color w:val="000000" w:themeColor="text1"/>
          <w:sz w:val="28"/>
          <w:szCs w:val="28"/>
          <w:lang w:val="en-US" w:eastAsia="zh-CN"/>
        </w:rPr>
        <w:t>其他规划条件：</w:t>
      </w:r>
      <w:r>
        <w:rPr>
          <w:rFonts w:asciiTheme="minorEastAsia" w:hAnsiTheme="minorEastAsia" w:eastAsiaTheme="minorEastAsia"/>
          <w:kern w:val="0"/>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该地块规划设计方案应满足《达州市国土空间规划管理技术规定（2021版）》</w:t>
      </w:r>
      <w:r>
        <w:rPr>
          <w:rFonts w:hint="eastAsia" w:asciiTheme="minorEastAsia" w:hAnsiTheme="minorEastAsia" w:eastAsiaTheme="minorEastAsia"/>
          <w:kern w:val="0"/>
          <w:sz w:val="28"/>
          <w:szCs w:val="28"/>
        </w:rPr>
        <w:t>《马踏洞片区中心服务区控制性详细规划》</w:t>
      </w:r>
      <w:r>
        <w:rPr>
          <w:rFonts w:asciiTheme="minorEastAsia" w:hAnsiTheme="minorEastAsia" w:eastAsiaTheme="minorEastAsia"/>
          <w:kern w:val="0"/>
          <w:sz w:val="28"/>
          <w:szCs w:val="28"/>
        </w:rPr>
        <w:t>等规范及文件相关规定。</w:t>
      </w:r>
    </w:p>
    <w:p>
      <w:pPr>
        <w:spacing w:line="560" w:lineRule="exact"/>
        <w:ind w:firstLine="560" w:firstLineChars="200"/>
        <w:rPr>
          <w:rFonts w:asciiTheme="minorEastAsia" w:hAnsiTheme="minorEastAsia" w:eastAsiaTheme="minorEastAsia"/>
          <w:color w:val="000000" w:themeColor="text1"/>
          <w:sz w:val="28"/>
          <w:szCs w:val="28"/>
        </w:rPr>
      </w:pPr>
      <w:r>
        <w:rPr>
          <w:rFonts w:asciiTheme="minorEastAsia" w:hAnsiTheme="minorEastAsia" w:eastAsiaTheme="minorEastAsia"/>
          <w:color w:val="000000" w:themeColor="text1"/>
          <w:sz w:val="28"/>
          <w:szCs w:val="28"/>
        </w:rPr>
        <w:t>（八）</w:t>
      </w:r>
      <w:r>
        <w:rPr>
          <w:rFonts w:hint="eastAsia" w:asciiTheme="minorEastAsia" w:hAnsiTheme="minorEastAsia" w:eastAsiaTheme="minorEastAsia"/>
          <w:color w:val="000000" w:themeColor="text1"/>
          <w:sz w:val="28"/>
          <w:szCs w:val="28"/>
        </w:rPr>
        <w:t>该地块配套要求：</w:t>
      </w:r>
      <w:r>
        <w:rPr>
          <w:rFonts w:hint="eastAsia" w:asciiTheme="minorEastAsia" w:hAnsiTheme="minorEastAsia" w:eastAsiaTheme="minorEastAsia"/>
          <w:kern w:val="0"/>
          <w:sz w:val="28"/>
          <w:szCs w:val="28"/>
        </w:rPr>
        <w:t>公厕（建筑面积不小于60平方米，建成后含不动产权无偿移交环卫部门）。</w:t>
      </w:r>
    </w:p>
    <w:p>
      <w:pPr>
        <w:spacing w:line="56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（九）土地竞得人须严格按照</w:t>
      </w:r>
      <w:r>
        <w:rPr>
          <w:rFonts w:hint="eastAsia" w:asciiTheme="minorEastAsia" w:hAnsiTheme="minorEastAsia" w:eastAsiaTheme="minorEastAsia"/>
          <w:bCs/>
          <w:color w:val="000000" w:themeColor="text1"/>
          <w:sz w:val="28"/>
          <w:szCs w:val="28"/>
        </w:rPr>
        <w:t>马踏洞片区中心服务区11-03b</w:t>
      </w:r>
      <w:r>
        <w:rPr>
          <w:rFonts w:hint="eastAsia" w:asciiTheme="minorEastAsia" w:hAnsiTheme="minorEastAsia" w:eastAsiaTheme="minorEastAsia"/>
          <w:bCs/>
          <w:color w:val="000000"/>
          <w:sz w:val="28"/>
          <w:szCs w:val="28"/>
        </w:rPr>
        <w:t>地块</w:t>
      </w:r>
      <w:r>
        <w:rPr>
          <w:rFonts w:hint="eastAsia" w:asciiTheme="minorEastAsia" w:hAnsiTheme="minorEastAsia" w:eastAsiaTheme="minorEastAsia"/>
          <w:color w:val="000000" w:themeColor="text1"/>
          <w:sz w:val="28"/>
          <w:szCs w:val="28"/>
        </w:rPr>
        <w:t>规划条件及要求进行开发建设；须严格按照地质灾害防治的相关要求，落实地质灾害防治措施；须严格按照生态环境保护的相关要求，开展环境影响评价，落实生态环境保护措施。</w:t>
      </w:r>
    </w:p>
    <w:p>
      <w:pPr>
        <w:spacing w:line="560" w:lineRule="exact"/>
        <w:ind w:firstLine="560" w:firstLineChars="200"/>
        <w:rPr>
          <w:color w:val="000000" w:themeColor="text1"/>
          <w:sz w:val="28"/>
          <w:szCs w:val="28"/>
        </w:rPr>
      </w:pPr>
      <w:r>
        <w:rPr>
          <w:rFonts w:hint="eastAsia" w:asciiTheme="minorEastAsia" w:hAnsiTheme="minorEastAsia" w:eastAsiaTheme="minorEastAsia"/>
          <w:color w:val="000000" w:themeColor="text1"/>
          <w:sz w:val="28"/>
          <w:szCs w:val="28"/>
        </w:rPr>
        <w:t>（十）在土地竞得人</w:t>
      </w:r>
      <w:r>
        <w:rPr>
          <w:rFonts w:hint="eastAsia"/>
          <w:color w:val="000000" w:themeColor="text1"/>
          <w:sz w:val="28"/>
          <w:szCs w:val="28"/>
        </w:rPr>
        <w:t>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w:t>
      </w:r>
      <w:bookmarkStart w:id="22" w:name="_GoBack"/>
      <w:bookmarkEnd w:id="22"/>
      <w:r>
        <w:rPr>
          <w:rFonts w:eastAsiaTheme="minorEastAsia"/>
          <w:color w:val="000000" w:themeColor="text1"/>
          <w:sz w:val="28"/>
          <w:szCs w:val="28"/>
        </w:rPr>
        <w:t>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w:t>
      </w:r>
      <w:r>
        <w:rPr>
          <w:rFonts w:hint="eastAsia" w:eastAsiaTheme="minorEastAsia"/>
          <w:bCs/>
          <w:sz w:val="28"/>
          <w:szCs w:val="28"/>
          <w:u w:val="single"/>
          <w:lang w:val="en-US" w:eastAsia="zh-CN"/>
        </w:rPr>
        <w:t>2</w:t>
      </w:r>
      <w:r>
        <w:rPr>
          <w:rFonts w:eastAsiaTheme="minorEastAsia"/>
          <w:bCs/>
          <w:sz w:val="28"/>
          <w:szCs w:val="28"/>
          <w:u w:val="single"/>
        </w:rPr>
        <w:t>月</w:t>
      </w:r>
      <w:r>
        <w:rPr>
          <w:rFonts w:hint="eastAsia" w:eastAsiaTheme="minorEastAsia"/>
          <w:bCs/>
          <w:sz w:val="28"/>
          <w:szCs w:val="28"/>
          <w:u w:val="single"/>
          <w:lang w:val="en-US" w:eastAsia="zh-CN"/>
        </w:rPr>
        <w:t>12</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183</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w:t>
      </w:r>
      <w:r>
        <w:rPr>
          <w:rFonts w:hint="eastAsia" w:eastAsiaTheme="minorEastAsia"/>
          <w:color w:val="000000" w:themeColor="text1"/>
          <w:sz w:val="28"/>
          <w:szCs w:val="28"/>
        </w:rPr>
        <w:t>2</w:t>
      </w:r>
      <w:r>
        <w:rPr>
          <w:rFonts w:eastAsiaTheme="minorEastAsia"/>
          <w:color w:val="000000" w:themeColor="text1"/>
          <w:sz w:val="28"/>
          <w:szCs w:val="28"/>
        </w:rPr>
        <w:t>万元/亩或</w:t>
      </w:r>
      <w:r>
        <w:rPr>
          <w:rFonts w:hint="eastAsia" w:eastAsiaTheme="minorEastAsia"/>
          <w:color w:val="000000" w:themeColor="text1"/>
          <w:sz w:val="28"/>
          <w:szCs w:val="28"/>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rPr>
        <w:t>60.02</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eastAsia="宋体"/>
          <w:kern w:val="0"/>
          <w:sz w:val="24"/>
        </w:rPr>
      </w:pPr>
      <w:bookmarkStart w:id="5" w:name="_Toc3391743"/>
      <w:bookmarkStart w:id="6" w:name="_Toc3391972"/>
      <w:r>
        <w:rPr>
          <w:rFonts w:ascii="Times New Roman" w:hAnsi="Times New Roman" w:eastAsia="黑体"/>
          <w:color w:val="000000" w:themeColor="text1"/>
          <w:sz w:val="44"/>
          <w:szCs w:val="44"/>
        </w:rPr>
        <w:t>地块规划条件</w:t>
      </w:r>
      <w:bookmarkEnd w:id="5"/>
      <w:bookmarkEnd w:id="6"/>
    </w:p>
    <w:p>
      <w:pPr>
        <w:pStyle w:val="2"/>
      </w:pPr>
      <w:bookmarkStart w:id="7" w:name="_Toc3391744"/>
      <w:bookmarkStart w:id="8" w:name="_Toc3391973"/>
    </w:p>
    <w:p>
      <w:pPr>
        <w:pStyle w:val="2"/>
      </w:pPr>
      <w:r>
        <w:drawing>
          <wp:inline distT="0" distB="0" distL="114300" distR="114300">
            <wp:extent cx="5271770" cy="7110730"/>
            <wp:effectExtent l="0" t="0" r="5080"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1770" cy="7110730"/>
                    </a:xfrm>
                    <a:prstGeom prst="rect">
                      <a:avLst/>
                    </a:prstGeom>
                    <a:noFill/>
                    <a:ln>
                      <a:noFill/>
                    </a:ln>
                  </pic:spPr>
                </pic:pic>
              </a:graphicData>
            </a:graphic>
          </wp:inline>
        </w:drawing>
      </w:r>
      <w:r>
        <w:drawing>
          <wp:inline distT="0" distB="0" distL="114300" distR="114300">
            <wp:extent cx="5272405" cy="4927600"/>
            <wp:effectExtent l="0" t="0" r="4445"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5272405" cy="4927600"/>
                    </a:xfrm>
                    <a:prstGeom prst="rect">
                      <a:avLst/>
                    </a:prstGeom>
                    <a:noFill/>
                    <a:ln>
                      <a:noFill/>
                    </a:ln>
                  </pic:spPr>
                </pic:pic>
              </a:graphicData>
            </a:graphic>
          </wp:inline>
        </w:drawing>
      </w:r>
    </w:p>
    <w:p>
      <w:pPr>
        <w:pStyle w:val="2"/>
      </w:pPr>
    </w:p>
    <w:p>
      <w:pPr>
        <w:pStyle w:val="2"/>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pPr>
    </w:p>
    <w:p>
      <w:r>
        <w:drawing>
          <wp:inline distT="0" distB="0" distL="0" distR="0">
            <wp:extent cx="5274310" cy="5910580"/>
            <wp:effectExtent l="19050" t="0" r="2540" b="0"/>
            <wp:docPr id="40" name="图片 18" descr="D:\2022年出让\马踏洞片区中心服务区11-03b地块\马踏洞片区中心服务区11-03b地块用地红线图_r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D:\2022年出让\马踏洞片区中心服务区11-03b地块\马踏洞片区中心服务区11-03b地块用地红线图_recover.jpg"/>
                    <pic:cNvPicPr>
                      <a:picLocks noChangeAspect="1" noChangeArrowheads="1"/>
                    </pic:cNvPicPr>
                  </pic:nvPicPr>
                  <pic:blipFill>
                    <a:blip r:embed="rId27" cstate="print"/>
                    <a:srcRect/>
                    <a:stretch>
                      <a:fillRect/>
                    </a:stretch>
                  </pic:blipFill>
                  <pic:spPr>
                    <a:xfrm>
                      <a:off x="0" y="0"/>
                      <a:ext cx="5274310" cy="5910693"/>
                    </a:xfrm>
                    <a:prstGeom prst="rect">
                      <a:avLst/>
                    </a:prstGeom>
                    <a:noFill/>
                    <a:ln w="9525">
                      <a:noFill/>
                      <a:miter lim="800000"/>
                      <a:headEnd/>
                      <a:tailEnd/>
                    </a:ln>
                  </pic:spPr>
                </pic:pic>
              </a:graphicData>
            </a:graphic>
          </wp:inline>
        </w:drawing>
      </w:r>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9" w:name="_Toc3391745"/>
      <w:bookmarkStart w:id="10" w:name="_Toc3391974"/>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4310" cy="5456555"/>
            <wp:effectExtent l="0" t="0" r="254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74310" cy="5456555"/>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976"/>
      <w:bookmarkStart w:id="14" w:name="_Toc3391747"/>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748"/>
      <w:bookmarkStart w:id="16" w:name="_Toc3391977"/>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- 41 -</w:t>
                </w:r>
                <w:r>
                  <w:rPr>
                    <w:rFonts w:hint="eastAsia" w:ascii="宋体" w:hAnsi="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- 45 -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3554"/>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4ADA"/>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5D0"/>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2F4CE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8581D"/>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0AAD"/>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47D0"/>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B0D"/>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11D0"/>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A369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815FCA"/>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B1A4AB9"/>
    <w:rsid w:val="0B76632E"/>
    <w:rsid w:val="0B8C4961"/>
    <w:rsid w:val="0BBF1C32"/>
    <w:rsid w:val="0CF92DA9"/>
    <w:rsid w:val="0CFF7400"/>
    <w:rsid w:val="0D822374"/>
    <w:rsid w:val="0DDD6766"/>
    <w:rsid w:val="0E2D6DD1"/>
    <w:rsid w:val="103B29D8"/>
    <w:rsid w:val="10C679D7"/>
    <w:rsid w:val="10E01064"/>
    <w:rsid w:val="111725AC"/>
    <w:rsid w:val="11797BE6"/>
    <w:rsid w:val="11C00A43"/>
    <w:rsid w:val="124D6CDB"/>
    <w:rsid w:val="126976EC"/>
    <w:rsid w:val="12887C05"/>
    <w:rsid w:val="132F26C0"/>
    <w:rsid w:val="13351506"/>
    <w:rsid w:val="141D4DDA"/>
    <w:rsid w:val="14E16390"/>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F107083"/>
    <w:rsid w:val="1FC64311"/>
    <w:rsid w:val="20795D5C"/>
    <w:rsid w:val="20C02E3B"/>
    <w:rsid w:val="20D90E52"/>
    <w:rsid w:val="20E5353A"/>
    <w:rsid w:val="220F79FB"/>
    <w:rsid w:val="22153C27"/>
    <w:rsid w:val="23C77921"/>
    <w:rsid w:val="23FF75FB"/>
    <w:rsid w:val="24992D39"/>
    <w:rsid w:val="249F1FCC"/>
    <w:rsid w:val="24A50662"/>
    <w:rsid w:val="24B554F3"/>
    <w:rsid w:val="24DB3BC4"/>
    <w:rsid w:val="25AE12D9"/>
    <w:rsid w:val="266F0406"/>
    <w:rsid w:val="26AF0309"/>
    <w:rsid w:val="27856069"/>
    <w:rsid w:val="27AB0974"/>
    <w:rsid w:val="27B73DC6"/>
    <w:rsid w:val="28AF3A48"/>
    <w:rsid w:val="29E3020E"/>
    <w:rsid w:val="2A403FBB"/>
    <w:rsid w:val="2BDC5F1D"/>
    <w:rsid w:val="2C0D339F"/>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6D60D6C"/>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0766AE"/>
    <w:rsid w:val="46477E22"/>
    <w:rsid w:val="468A0DE6"/>
    <w:rsid w:val="47EF2633"/>
    <w:rsid w:val="48000CA4"/>
    <w:rsid w:val="48EC51CC"/>
    <w:rsid w:val="497E0E3E"/>
    <w:rsid w:val="49BF33D2"/>
    <w:rsid w:val="4A3416AF"/>
    <w:rsid w:val="4A527BD5"/>
    <w:rsid w:val="4AB1215C"/>
    <w:rsid w:val="4AF419CA"/>
    <w:rsid w:val="4BF44EFB"/>
    <w:rsid w:val="4C072893"/>
    <w:rsid w:val="4C8B5DD4"/>
    <w:rsid w:val="4D881D6F"/>
    <w:rsid w:val="4DEC0600"/>
    <w:rsid w:val="4EB4413A"/>
    <w:rsid w:val="4F0A6CD0"/>
    <w:rsid w:val="501A39CA"/>
    <w:rsid w:val="503B5814"/>
    <w:rsid w:val="506C2151"/>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FF27F3"/>
    <w:rsid w:val="70A75B7F"/>
    <w:rsid w:val="70AC1420"/>
    <w:rsid w:val="71703F81"/>
    <w:rsid w:val="72044BD6"/>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0"/>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Char"/>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Char"/>
    <w:link w:val="6"/>
    <w:qFormat/>
    <w:locked/>
    <w:uiPriority w:val="99"/>
    <w:rPr>
      <w:rFonts w:cs="Times New Roman"/>
      <w:kern w:val="2"/>
      <w:sz w:val="18"/>
      <w:szCs w:val="18"/>
    </w:rPr>
  </w:style>
  <w:style w:type="character" w:customStyle="1" w:styleId="22">
    <w:name w:val="页脚 Char"/>
    <w:link w:val="7"/>
    <w:qFormat/>
    <w:locked/>
    <w:uiPriority w:val="99"/>
    <w:rPr>
      <w:rFonts w:eastAsia="宋体" w:cs="Times New Roman"/>
      <w:kern w:val="2"/>
      <w:sz w:val="18"/>
      <w:lang w:val="en-US" w:eastAsia="zh-CN"/>
    </w:rPr>
  </w:style>
  <w:style w:type="character" w:customStyle="1" w:styleId="23">
    <w:name w:val="页眉 Char"/>
    <w:link w:val="8"/>
    <w:qFormat/>
    <w:locked/>
    <w:uiPriority w:val="99"/>
    <w:rPr>
      <w:rFonts w:eastAsia="宋体" w:cs="Times New Roman"/>
      <w:kern w:val="2"/>
      <w:sz w:val="18"/>
      <w:lang w:val="en-US" w:eastAsia="zh-CN"/>
    </w:rPr>
  </w:style>
  <w:style w:type="character" w:customStyle="1" w:styleId="24">
    <w:name w:val="副标题 Char"/>
    <w:link w:val="10"/>
    <w:qFormat/>
    <w:locked/>
    <w:uiPriority w:val="99"/>
    <w:rPr>
      <w:rFonts w:ascii="Calibri" w:hAnsi="Calibri" w:eastAsia="宋体" w:cs="Times New Roman"/>
      <w:b/>
      <w:bCs/>
      <w:kern w:val="28"/>
      <w:sz w:val="32"/>
      <w:szCs w:val="32"/>
    </w:rPr>
  </w:style>
  <w:style w:type="character" w:customStyle="1" w:styleId="25">
    <w:name w:val="标题 Char"/>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Char"/>
    <w:link w:val="5"/>
    <w:qFormat/>
    <w:locked/>
    <w:uiPriority w:val="0"/>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4"/>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51E7F0-7C69-4530-9A0A-99C3B4CFCB98}">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45</Pages>
  <Words>16264</Words>
  <Characters>17174</Characters>
  <Lines>134</Lines>
  <Paragraphs>37</Paragraphs>
  <TotalTime>0</TotalTime>
  <ScaleCrop>false</ScaleCrop>
  <LinksUpToDate>false</LinksUpToDate>
  <CharactersWithSpaces>17565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2022-11-20T02:58:25Z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