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lang w:val="en-US" w:eastAsia="zh-CN"/>
        </w:rPr>
      </w:pPr>
      <w:bookmarkStart w:id="0" w:name="OLE_LINK3"/>
      <w:bookmarkStart w:id="1" w:name="OLE_LINK5"/>
      <w:bookmarkStart w:id="2" w:name="OLE_LINK2"/>
      <w:bookmarkStart w:id="3" w:name="OLE_LINK4"/>
      <w:bookmarkStart w:id="4" w:name="OLE_LINK1"/>
      <w:bookmarkStart w:id="5" w:name="OLE_LINK7"/>
      <w:bookmarkStart w:id="6" w:name="OLE_LINK6"/>
      <w:bookmarkStart w:id="7" w:name="OLE_LINK9"/>
      <w:bookmarkStart w:id="8" w:name="OLE_LINK8"/>
      <w:r>
        <w:rPr>
          <w:rFonts w:hint="eastAsia" w:ascii="方正小标宋简体" w:eastAsia="方正小标宋简体"/>
          <w:sz w:val="44"/>
          <w:szCs w:val="44"/>
        </w:rPr>
        <w:t>达州市卫生和计划生育监督执法支队</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达州市公共资源交易服务中心</w:t>
      </w:r>
      <w:r>
        <w:rPr>
          <w:rFonts w:hint="eastAsia" w:ascii="方正小标宋简体" w:eastAsia="方正小标宋简体"/>
          <w:sz w:val="44"/>
          <w:szCs w:val="44"/>
        </w:rPr>
        <w:br w:type="textWrapping"/>
      </w:r>
      <w:r>
        <w:rPr>
          <w:rFonts w:hint="eastAsia" w:ascii="方正小标宋简体" w:eastAsia="方正小标宋简体"/>
          <w:sz w:val="44"/>
          <w:szCs w:val="44"/>
        </w:rPr>
        <w:t>关于固定资产报废</w:t>
      </w:r>
      <w:r>
        <w:rPr>
          <w:rFonts w:hint="eastAsia" w:ascii="方正小标宋简体" w:eastAsia="方正小标宋简体"/>
          <w:sz w:val="44"/>
          <w:szCs w:val="44"/>
          <w:lang w:val="en-US" w:eastAsia="zh-CN"/>
        </w:rPr>
        <w:t>公开竞争性</w:t>
      </w:r>
      <w:r>
        <w:rPr>
          <w:rFonts w:hint="eastAsia" w:ascii="方正小标宋简体" w:eastAsia="方正小标宋简体"/>
          <w:sz w:val="44"/>
          <w:szCs w:val="44"/>
        </w:rPr>
        <w:t>处置的公告</w:t>
      </w:r>
    </w:p>
    <w:p>
      <w:pPr>
        <w:spacing w:line="578" w:lineRule="exact"/>
        <w:ind w:firstLine="640" w:firstLineChars="200"/>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达州市卫生和计划生育监督执法支队 </w:t>
      </w:r>
      <w:r>
        <w:rPr>
          <w:rFonts w:hint="eastAsia" w:ascii="Times New Roman" w:hAnsi="Times New Roman" w:eastAsia="仿宋_GB2312"/>
          <w:sz w:val="32"/>
          <w:szCs w:val="32"/>
          <w:lang w:val="en-US" w:eastAsia="zh-CN"/>
        </w:rPr>
        <w:t>所属固定资产</w:t>
      </w:r>
      <w:r>
        <w:rPr>
          <w:rFonts w:hint="eastAsia" w:ascii="Times New Roman" w:hAnsi="Times New Roman" w:eastAsia="仿宋_GB2312"/>
          <w:sz w:val="32"/>
          <w:szCs w:val="32"/>
        </w:rPr>
        <w:t>报废</w:t>
      </w:r>
      <w:r>
        <w:rPr>
          <w:rFonts w:ascii="Times New Roman" w:hAnsi="Times New Roman" w:eastAsia="仿宋_GB2312"/>
          <w:sz w:val="32"/>
          <w:szCs w:val="32"/>
        </w:rPr>
        <w:t>资产委托达州市公共资源交易服务中心公开</w:t>
      </w:r>
      <w:r>
        <w:rPr>
          <w:rFonts w:hint="eastAsia" w:ascii="Times New Roman" w:hAnsi="Times New Roman" w:eastAsia="仿宋_GB2312"/>
          <w:sz w:val="32"/>
          <w:szCs w:val="32"/>
        </w:rPr>
        <w:t>竞争性</w:t>
      </w:r>
      <w:r>
        <w:rPr>
          <w:rFonts w:hint="eastAsia" w:ascii="Times New Roman" w:hAnsi="Times New Roman" w:eastAsia="仿宋_GB2312"/>
          <w:sz w:val="32"/>
          <w:szCs w:val="32"/>
          <w:lang w:eastAsia="zh-CN"/>
        </w:rPr>
        <w:t>处置</w:t>
      </w:r>
      <w:r>
        <w:rPr>
          <w:rFonts w:ascii="Times New Roman" w:hAnsi="Times New Roman" w:eastAsia="仿宋_GB2312"/>
          <w:sz w:val="32"/>
          <w:szCs w:val="32"/>
        </w:rPr>
        <w:t>，兹邀请符合本次公开</w:t>
      </w:r>
      <w:r>
        <w:rPr>
          <w:rFonts w:hint="eastAsia" w:ascii="Times New Roman" w:hAnsi="Times New Roman" w:eastAsia="仿宋_GB2312"/>
          <w:sz w:val="32"/>
          <w:szCs w:val="32"/>
        </w:rPr>
        <w:t>竞争性</w:t>
      </w:r>
      <w:r>
        <w:rPr>
          <w:rFonts w:hint="eastAsia" w:ascii="Times New Roman" w:hAnsi="Times New Roman" w:eastAsia="仿宋_GB2312"/>
          <w:sz w:val="32"/>
          <w:szCs w:val="32"/>
          <w:lang w:eastAsia="zh-CN"/>
        </w:rPr>
        <w:t>处置</w:t>
      </w:r>
      <w:r>
        <w:rPr>
          <w:rFonts w:ascii="Times New Roman" w:hAnsi="Times New Roman" w:eastAsia="仿宋_GB2312"/>
          <w:sz w:val="32"/>
          <w:szCs w:val="32"/>
        </w:rPr>
        <w:t>要求的意向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人参加</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，现将有关事项公告如下。</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lang w:eastAsia="zh-CN"/>
        </w:rPr>
        <w:t>竞争性处置</w:t>
      </w:r>
      <w:r>
        <w:rPr>
          <w:rFonts w:ascii="黑体" w:hAnsi="黑体" w:eastAsia="黑体"/>
          <w:sz w:val="32"/>
          <w:szCs w:val="32"/>
        </w:rPr>
        <w:t>方式</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网上竞价方式。</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特别提示：意向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人在网上竞价前，必须先登录达州市公共资源交易服务网（</w:t>
      </w:r>
      <w:r>
        <w:fldChar w:fldCharType="begin"/>
      </w:r>
      <w:r>
        <w:instrText xml:space="preserve"> HYPERLINK "http://www.dzggzy.cn/" </w:instrText>
      </w:r>
      <w:r>
        <w:fldChar w:fldCharType="separate"/>
      </w:r>
      <w:r>
        <w:rPr>
          <w:rStyle w:val="13"/>
          <w:rFonts w:ascii="Times New Roman" w:hAnsi="Times New Roman" w:eastAsia="仿宋_GB2312"/>
          <w:sz w:val="32"/>
          <w:szCs w:val="32"/>
        </w:rPr>
        <w:t>http://www.dzggzy.cn</w:t>
      </w:r>
      <w:r>
        <w:rPr>
          <w:rStyle w:val="13"/>
          <w:rFonts w:ascii="Times New Roman" w:hAnsi="Times New Roman" w:eastAsia="仿宋_GB2312"/>
          <w:sz w:val="32"/>
          <w:szCs w:val="32"/>
        </w:rPr>
        <w:fldChar w:fldCharType="end"/>
      </w:r>
      <w:r>
        <w:rPr>
          <w:rFonts w:ascii="Times New Roman" w:hAnsi="Times New Roman" w:eastAsia="仿宋_GB2312"/>
          <w:sz w:val="32"/>
          <w:szCs w:val="32"/>
        </w:rPr>
        <w:t>）“下载中心”栏目查阅“产权竞买人操作手册”完成网上注册，并按</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标的分别完成网上报名、网上缴纳</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保证金、网上递交资格申请材料等</w:t>
      </w:r>
      <w:r>
        <w:rPr>
          <w:rFonts w:hint="eastAsia" w:ascii="Times New Roman" w:hAnsi="Times New Roman" w:eastAsia="仿宋_GB2312"/>
          <w:sz w:val="32"/>
          <w:szCs w:val="32"/>
          <w:lang w:val="en-US" w:eastAsia="zh-CN"/>
        </w:rPr>
        <w:t>环节</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default" w:ascii="黑体" w:hAnsi="黑体" w:eastAsia="黑体"/>
          <w:sz w:val="32"/>
          <w:szCs w:val="32"/>
          <w:lang w:val="en-US"/>
        </w:rPr>
      </w:pPr>
      <w:r>
        <w:rPr>
          <w:rFonts w:ascii="黑体" w:hAnsi="黑体" w:eastAsia="黑体"/>
          <w:sz w:val="32"/>
          <w:szCs w:val="32"/>
        </w:rPr>
        <w:t>二、资产状况、交付标准及</w:t>
      </w:r>
      <w:r>
        <w:rPr>
          <w:rFonts w:hint="eastAsia" w:ascii="黑体" w:hAnsi="黑体" w:eastAsia="黑体"/>
          <w:sz w:val="32"/>
          <w:szCs w:val="32"/>
          <w:lang w:val="en-US" w:eastAsia="zh-CN"/>
        </w:rPr>
        <w:t>相关事项</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楷体" w:hAnsi="楷体" w:eastAsia="楷体"/>
          <w:sz w:val="32"/>
          <w:szCs w:val="32"/>
        </w:rPr>
      </w:pPr>
      <w:r>
        <w:rPr>
          <w:rFonts w:ascii="楷体" w:hAnsi="楷体" w:eastAsia="楷体"/>
          <w:sz w:val="32"/>
          <w:szCs w:val="32"/>
        </w:rPr>
        <w:t>（一）资产状况：</w:t>
      </w:r>
    </w:p>
    <w:tbl>
      <w:tblPr>
        <w:tblStyle w:val="10"/>
        <w:tblpPr w:leftFromText="180" w:rightFromText="180" w:vertAnchor="text" w:horzAnchor="page" w:tblpXSpec="center" w:tblpY="176"/>
        <w:tblOverlap w:val="never"/>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527"/>
        <w:gridCol w:w="833"/>
        <w:gridCol w:w="1346"/>
        <w:gridCol w:w="1320"/>
        <w:gridCol w:w="1468"/>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序号</w:t>
            </w:r>
          </w:p>
        </w:tc>
        <w:tc>
          <w:tcPr>
            <w:tcW w:w="15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标的名称</w:t>
            </w:r>
          </w:p>
        </w:tc>
        <w:tc>
          <w:tcPr>
            <w:tcW w:w="8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数量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lang w:val="en-US" w:eastAsia="zh-CN"/>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账面原值（元）</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竞价起始价（元）</w:t>
            </w: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竞价保证金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（元）</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5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kern w:val="2"/>
                <w:sz w:val="22"/>
                <w:szCs w:val="22"/>
                <w:vertAlign w:val="baseline"/>
                <w:lang w:val="en-US" w:eastAsia="zh-CN" w:bidi="ar-SA"/>
              </w:rPr>
            </w:pPr>
            <w:r>
              <w:rPr>
                <w:rFonts w:hint="eastAsia" w:ascii="宋体" w:hAnsi="宋体" w:cs="宋体"/>
                <w:i w:val="0"/>
                <w:iCs w:val="0"/>
                <w:color w:val="000000"/>
                <w:kern w:val="0"/>
                <w:sz w:val="22"/>
                <w:szCs w:val="22"/>
                <w:u w:val="none"/>
                <w:lang w:val="en-US" w:eastAsia="zh-CN" w:bidi="ar"/>
              </w:rPr>
              <w:t>国定资产报废处置</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批</w:t>
            </w:r>
          </w:p>
        </w:tc>
        <w:tc>
          <w:tcPr>
            <w:tcW w:w="134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274915</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both"/>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3432</w:t>
            </w: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100</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详见附件4《报废资产明细表》</w:t>
            </w:r>
          </w:p>
        </w:tc>
      </w:tr>
    </w:tbl>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楷体" w:hAnsi="楷体" w:eastAsia="楷体"/>
          <w:sz w:val="32"/>
          <w:szCs w:val="32"/>
        </w:rPr>
        <w:t>（二）交付标准：</w:t>
      </w:r>
      <w:r>
        <w:rPr>
          <w:rFonts w:ascii="Times New Roman" w:hAnsi="Times New Roman" w:eastAsia="仿宋_GB2312"/>
          <w:sz w:val="32"/>
          <w:szCs w:val="32"/>
        </w:rPr>
        <w:t>标的物一切均以实物现状为准，意向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人须自行察看和了解所</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标的物之现状。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楷体" w:hAnsi="楷体" w:eastAsia="楷体"/>
          <w:sz w:val="32"/>
          <w:szCs w:val="32"/>
        </w:rPr>
      </w:pPr>
      <w:r>
        <w:rPr>
          <w:rFonts w:ascii="楷体" w:hAnsi="楷体" w:eastAsia="楷体"/>
          <w:sz w:val="32"/>
          <w:szCs w:val="32"/>
        </w:rPr>
        <w:t>（三）</w:t>
      </w:r>
      <w:r>
        <w:rPr>
          <w:rFonts w:hint="eastAsia" w:ascii="楷体" w:hAnsi="楷体" w:eastAsia="楷体"/>
          <w:sz w:val="32"/>
          <w:szCs w:val="32"/>
          <w:lang w:val="en-US" w:eastAsia="zh-CN"/>
        </w:rPr>
        <w:t>相关事项</w:t>
      </w:r>
      <w:r>
        <w:rPr>
          <w:rFonts w:ascii="楷体" w:hAnsi="楷体" w:eastAsia="楷体"/>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1.资产现场装卸费用及运输费用等由买方承担。</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eastAsia="zh-CN"/>
        </w:rPr>
        <w:t>电子设备</w:t>
      </w:r>
      <w:r>
        <w:rPr>
          <w:rFonts w:hint="eastAsia" w:ascii="Times New Roman" w:hAnsi="Times New Roman" w:eastAsia="仿宋_GB2312"/>
          <w:sz w:val="32"/>
          <w:szCs w:val="32"/>
        </w:rPr>
        <w:t>报废后的相关手续由买方负责完成，卖方负责配合。</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.未尽事宜，由双方协商解决，如协商不成，双方有权向有管辖权的人民法院提起诉讼。</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sz w:val="32"/>
          <w:szCs w:val="32"/>
        </w:rPr>
      </w:pPr>
      <w:r>
        <w:rPr>
          <w:rFonts w:ascii="黑体" w:hAnsi="黑体" w:eastAsia="黑体"/>
          <w:sz w:val="32"/>
          <w:szCs w:val="32"/>
        </w:rPr>
        <w:t>三、意向</w:t>
      </w:r>
      <w:r>
        <w:rPr>
          <w:rFonts w:hint="eastAsia" w:ascii="黑体" w:hAnsi="黑体" w:eastAsia="黑体"/>
          <w:sz w:val="32"/>
          <w:szCs w:val="32"/>
          <w:lang w:eastAsia="zh-CN"/>
        </w:rPr>
        <w:t>竞价</w:t>
      </w:r>
      <w:r>
        <w:rPr>
          <w:rFonts w:ascii="黑体" w:hAnsi="黑体" w:eastAsia="黑体"/>
          <w:sz w:val="32"/>
          <w:szCs w:val="32"/>
        </w:rPr>
        <w:t>人应具备的条件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（一）中华人民共和国境内的自然人、法人或其他组织，并具有独立承担民事责任能力；</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default" w:eastAsia="仿宋_GB2312"/>
          <w:lang w:val="en-US"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二</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具有再生资源回收资质或经营范围；</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三</w:t>
      </w:r>
      <w:r>
        <w:rPr>
          <w:rFonts w:ascii="Times New Roman" w:hAnsi="Times New Roman" w:eastAsia="仿宋_GB2312"/>
          <w:sz w:val="32"/>
          <w:szCs w:val="32"/>
        </w:rPr>
        <w:t>）合法经营、照章纳税、独立承担经营期间的民事及相应的法律责任；</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四</w:t>
      </w:r>
      <w:r>
        <w:rPr>
          <w:rFonts w:ascii="Times New Roman" w:hAnsi="Times New Roman" w:eastAsia="仿宋_GB2312"/>
          <w:sz w:val="32"/>
          <w:szCs w:val="32"/>
        </w:rPr>
        <w:t>）纳入诚信负面清单的自然人、法人或其他组织不得参与</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五</w:t>
      </w:r>
      <w:r>
        <w:rPr>
          <w:rFonts w:ascii="Times New Roman" w:hAnsi="Times New Roman" w:eastAsia="仿宋_GB2312"/>
          <w:sz w:val="32"/>
          <w:szCs w:val="32"/>
        </w:rPr>
        <w:t>）不允许联合体</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六</w:t>
      </w:r>
      <w:r>
        <w:rPr>
          <w:rFonts w:ascii="Times New Roman" w:hAnsi="Times New Roman" w:eastAsia="仿宋_GB2312"/>
          <w:sz w:val="32"/>
          <w:szCs w:val="32"/>
        </w:rPr>
        <w:t>）意向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人报名时须缴纳</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标的对应的</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保证金（若同时参与多个标的</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，则须缴纳参与标的对应</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保证金之和；各标的</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保证金金额详见本公告第二条第一款《资产状况》）；</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七</w:t>
      </w:r>
      <w:r>
        <w:rPr>
          <w:rFonts w:ascii="Times New Roman" w:hAnsi="Times New Roman" w:eastAsia="仿宋_GB2312"/>
          <w:sz w:val="32"/>
          <w:szCs w:val="32"/>
        </w:rPr>
        <w:t>）国家法律、行政法规规定的其它条件。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sz w:val="32"/>
          <w:szCs w:val="32"/>
        </w:rPr>
      </w:pPr>
      <w:r>
        <w:rPr>
          <w:rFonts w:ascii="黑体" w:hAnsi="黑体" w:eastAsia="黑体"/>
          <w:sz w:val="32"/>
          <w:szCs w:val="32"/>
        </w:rPr>
        <w:t>四、资格审查</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楷体" w:hAnsi="楷体" w:eastAsia="楷体"/>
          <w:sz w:val="32"/>
          <w:szCs w:val="32"/>
        </w:rPr>
        <w:t>（一）资格审查时间：</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10</w:t>
      </w:r>
      <w:r>
        <w:rPr>
          <w:rFonts w:ascii="Times New Roman" w:hAnsi="Times New Roman" w:eastAsia="仿宋_GB2312"/>
          <w:sz w:val="32"/>
          <w:szCs w:val="32"/>
        </w:rPr>
        <w:t>时</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0分；</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default" w:ascii="Times New Roman" w:hAnsi="Times New Roman" w:eastAsia="仿宋_GB2312"/>
          <w:sz w:val="32"/>
          <w:szCs w:val="32"/>
          <w:lang w:val="en-US" w:eastAsia="zh-CN"/>
        </w:rPr>
      </w:pPr>
      <w:r>
        <w:rPr>
          <w:rFonts w:ascii="楷体" w:hAnsi="楷体" w:eastAsia="楷体"/>
          <w:sz w:val="32"/>
          <w:szCs w:val="32"/>
        </w:rPr>
        <w:t>（二）资格审查主体：</w:t>
      </w:r>
      <w:r>
        <w:rPr>
          <w:rFonts w:hint="eastAsia" w:ascii="Times New Roman" w:hAnsi="Times New Roman" w:eastAsia="仿宋_GB2312"/>
          <w:sz w:val="32"/>
          <w:szCs w:val="32"/>
        </w:rPr>
        <w:t>达州市</w:t>
      </w:r>
      <w:r>
        <w:rPr>
          <w:rFonts w:hint="eastAsia" w:ascii="Times New Roman" w:hAnsi="Times New Roman" w:eastAsia="仿宋_GB2312"/>
          <w:sz w:val="32"/>
          <w:szCs w:val="32"/>
          <w:lang w:eastAsia="zh-CN"/>
        </w:rPr>
        <w:t>卫生和计划生育监督执法支队</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楷体" w:hAnsi="楷体" w:eastAsia="楷体"/>
          <w:sz w:val="32"/>
          <w:szCs w:val="32"/>
        </w:rPr>
        <w:t>（三）资格审查地点：</w:t>
      </w:r>
      <w:r>
        <w:rPr>
          <w:rFonts w:ascii="Times New Roman" w:hAnsi="Times New Roman" w:eastAsia="仿宋_GB2312"/>
          <w:sz w:val="32"/>
          <w:szCs w:val="32"/>
        </w:rPr>
        <w:t>由资格审查主体组建资格审查小组，在达州市公共资源交易服务中心评审区登录达州市公共资源交易服务平台进行在线资格审查。</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楷体" w:hAnsi="楷体" w:eastAsia="楷体"/>
          <w:sz w:val="32"/>
          <w:szCs w:val="32"/>
        </w:rPr>
      </w:pPr>
      <w:r>
        <w:rPr>
          <w:rFonts w:ascii="楷体" w:hAnsi="楷体" w:eastAsia="楷体"/>
          <w:sz w:val="32"/>
          <w:szCs w:val="32"/>
        </w:rPr>
        <w:t>（四）需提交资格审查资料</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1.法人提交申请的，应提交下列资料：</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申请书（原件原色扫描件）（见附件1）；</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Times New Roman" w:hAnsi="Times New Roman" w:eastAsia="仿宋_GB2312"/>
          <w:sz w:val="32"/>
          <w:szCs w:val="32"/>
          <w:lang w:val="en-US" w:eastAsia="zh-CN"/>
        </w:rPr>
      </w:pPr>
      <w:r>
        <w:rPr>
          <w:rFonts w:ascii="Times New Roman" w:hAnsi="Times New Roman" w:eastAsia="仿宋_GB2312"/>
          <w:sz w:val="32"/>
          <w:szCs w:val="32"/>
        </w:rPr>
        <w:t>（2）</w:t>
      </w:r>
      <w:r>
        <w:rPr>
          <w:rFonts w:hint="eastAsia" w:ascii="Times New Roman" w:hAnsi="Times New Roman" w:eastAsia="仿宋_GB2312"/>
          <w:sz w:val="32"/>
          <w:szCs w:val="32"/>
        </w:rPr>
        <w:t>具有再生资源回收资质或经营范围证明文件</w:t>
      </w:r>
      <w:r>
        <w:rPr>
          <w:rFonts w:ascii="Times New Roman" w:hAnsi="Times New Roman" w:eastAsia="仿宋_GB2312"/>
          <w:sz w:val="32"/>
          <w:szCs w:val="32"/>
        </w:rPr>
        <w:t>（原件原色扫描件）</w:t>
      </w:r>
      <w:r>
        <w:rPr>
          <w:rFonts w:hint="eastAsia" w:ascii="Times New Roman" w:hAnsi="Times New Roman"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合法存续的企业法人（单位提供营业执照等相关证照原件原色扫描件）；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）法定代表人的有效身份证明文件（原件原色扫描件）；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人委托他人代为</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的，应提交授权委托书（见附件2）及委托代理人的有效身份证明文件（原件原色扫描件）；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）在达州市公共资源交易服务系统中打印</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标的的</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保证金交纳凭证（原件原色扫描件）；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）承诺</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资产的用途必须根据资产现状按照国家规定合法经营，不得用于经营黄、赌、毒及违法行业，不得用于经营影响周边生活秩序、造成环境污染的项目。（提供承诺函并加盖鲜章的原件原色扫描件）；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w:t>
      </w:r>
      <w:r>
        <w:rPr>
          <w:rFonts w:hint="eastAsia" w:ascii="Times New Roman" w:hAnsi="Times New Roman" w:eastAsia="仿宋_GB2312"/>
          <w:sz w:val="32"/>
          <w:szCs w:val="32"/>
          <w:lang w:eastAsia="zh-CN"/>
        </w:rPr>
        <w:t>资产</w:t>
      </w:r>
      <w:r>
        <w:rPr>
          <w:rFonts w:ascii="Times New Roman" w:hAnsi="Times New Roman" w:eastAsia="仿宋_GB2312"/>
          <w:sz w:val="32"/>
          <w:szCs w:val="32"/>
        </w:rPr>
        <w:t>方要求的其他条件相关资料（原件原色扫描件）。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2.其他组织提交申请的，应提交下列资料：</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申请书（原件原色扫描件）（见附件1）；</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（2）表明该组织合法存在的文件或有效证明（原件原色扫描件）；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Times New Roman" w:hAnsi="Times New Roman" w:eastAsia="仿宋_GB2312"/>
          <w:sz w:val="32"/>
          <w:szCs w:val="32"/>
          <w:lang w:val="en-US" w:eastAsia="zh-CN"/>
        </w:rPr>
      </w:pPr>
      <w:r>
        <w:rPr>
          <w:rFonts w:ascii="Times New Roman" w:hAnsi="Times New Roman" w:eastAsia="仿宋_GB2312"/>
          <w:sz w:val="32"/>
          <w:szCs w:val="32"/>
        </w:rPr>
        <w:t>（3）</w:t>
      </w:r>
      <w:r>
        <w:rPr>
          <w:rFonts w:hint="eastAsia" w:ascii="Times New Roman" w:hAnsi="Times New Roman" w:eastAsia="仿宋_GB2312"/>
          <w:sz w:val="32"/>
          <w:szCs w:val="32"/>
        </w:rPr>
        <w:t>具有再生资源回收资质或经营范围证明文件</w:t>
      </w:r>
      <w:r>
        <w:rPr>
          <w:rFonts w:ascii="Times New Roman" w:hAnsi="Times New Roman" w:eastAsia="仿宋_GB2312"/>
          <w:sz w:val="32"/>
          <w:szCs w:val="32"/>
        </w:rPr>
        <w:t>（原件原色扫描件）</w:t>
      </w:r>
      <w:r>
        <w:rPr>
          <w:rFonts w:hint="eastAsia" w:ascii="Times New Roman" w:hAnsi="Times New Roman"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lang w:eastAsia="zh-CN"/>
        </w:rPr>
        <w:t>）</w:t>
      </w:r>
      <w:r>
        <w:rPr>
          <w:rFonts w:ascii="Times New Roman" w:hAnsi="Times New Roman" w:eastAsia="仿宋_GB2312"/>
          <w:sz w:val="32"/>
          <w:szCs w:val="32"/>
        </w:rPr>
        <w:t>表明该组织负责人身份的有效证明文件（原件原色扫描件）；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人委托他人代为申请的，应提交授权委托书及委托代理人的身份证明文件（原件原色扫描件）；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）在达州市公共资源交易服务系统中打印</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标的的</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保证金交纳凭证（原件原色扫描件）；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）承诺</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资产的用途必须根据资产现状按照国家规定合法经营，不得用于经营黄、赌、毒及违法行业，不得用于经营影响周边生活秩序、造成环境污染的项目。（提供承诺函并加盖鲜章的原件原色扫描件）；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w:t>
      </w:r>
      <w:r>
        <w:rPr>
          <w:rFonts w:hint="eastAsia" w:ascii="Times New Roman" w:hAnsi="Times New Roman" w:eastAsia="仿宋_GB2312"/>
          <w:sz w:val="32"/>
          <w:szCs w:val="32"/>
          <w:lang w:eastAsia="zh-CN"/>
        </w:rPr>
        <w:t>资产</w:t>
      </w:r>
      <w:r>
        <w:rPr>
          <w:rFonts w:ascii="Times New Roman" w:hAnsi="Times New Roman" w:eastAsia="仿宋_GB2312"/>
          <w:sz w:val="32"/>
          <w:szCs w:val="32"/>
        </w:rPr>
        <w:t>方要求的其他条件相关资料（原件原色扫描件）。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楷体" w:hAnsi="楷体" w:eastAsia="楷体"/>
          <w:sz w:val="32"/>
          <w:szCs w:val="32"/>
        </w:rPr>
        <w:t>（五）资格审查资料提交截止时间：</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10</w:t>
      </w:r>
      <w:r>
        <w:rPr>
          <w:rFonts w:ascii="Times New Roman" w:hAnsi="Times New Roman" w:eastAsia="仿宋_GB2312"/>
          <w:sz w:val="32"/>
          <w:szCs w:val="32"/>
        </w:rPr>
        <w:t>时</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0分；</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资料递交要求：意向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人登录达州市公共资源交易服务平台，在【资格审查申请】菜单中按</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标的上传并提交资格审查所需资料（原件原色扫描件）。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楷体" w:hAnsi="楷体" w:eastAsia="楷体"/>
          <w:sz w:val="32"/>
          <w:szCs w:val="32"/>
        </w:rPr>
      </w:pPr>
      <w:r>
        <w:rPr>
          <w:rFonts w:ascii="楷体" w:hAnsi="楷体" w:eastAsia="楷体"/>
          <w:sz w:val="32"/>
          <w:szCs w:val="32"/>
        </w:rPr>
        <w:t>（六）</w:t>
      </w:r>
      <w:r>
        <w:rPr>
          <w:rFonts w:hint="eastAsia" w:ascii="楷体" w:hAnsi="楷体" w:eastAsia="楷体"/>
          <w:sz w:val="32"/>
          <w:szCs w:val="32"/>
          <w:lang w:eastAsia="zh-CN"/>
        </w:rPr>
        <w:t>竞价</w:t>
      </w:r>
      <w:r>
        <w:rPr>
          <w:rFonts w:ascii="楷体" w:hAnsi="楷体" w:eastAsia="楷体"/>
          <w:sz w:val="32"/>
          <w:szCs w:val="32"/>
        </w:rPr>
        <w:t>申请书一经提交，即视为意向</w:t>
      </w:r>
      <w:r>
        <w:rPr>
          <w:rFonts w:hint="eastAsia" w:ascii="楷体" w:hAnsi="楷体" w:eastAsia="楷体"/>
          <w:sz w:val="32"/>
          <w:szCs w:val="32"/>
          <w:lang w:eastAsia="zh-CN"/>
        </w:rPr>
        <w:t>竞价</w:t>
      </w:r>
      <w:r>
        <w:rPr>
          <w:rFonts w:ascii="楷体" w:hAnsi="楷体" w:eastAsia="楷体"/>
          <w:sz w:val="32"/>
          <w:szCs w:val="32"/>
        </w:rPr>
        <w:t>人对竞价规则及</w:t>
      </w:r>
      <w:r>
        <w:rPr>
          <w:rFonts w:hint="eastAsia" w:ascii="楷体" w:hAnsi="楷体" w:eastAsia="楷体"/>
          <w:sz w:val="32"/>
          <w:szCs w:val="32"/>
          <w:lang w:eastAsia="zh-CN"/>
        </w:rPr>
        <w:t>竞价</w:t>
      </w:r>
      <w:r>
        <w:rPr>
          <w:rFonts w:ascii="楷体" w:hAnsi="楷体" w:eastAsia="楷体"/>
          <w:sz w:val="32"/>
          <w:szCs w:val="32"/>
        </w:rPr>
        <w:t>资产状况无异议并全面接受，愿意遵照</w:t>
      </w:r>
      <w:r>
        <w:rPr>
          <w:rFonts w:hint="eastAsia" w:ascii="楷体" w:hAnsi="楷体" w:eastAsia="楷体"/>
          <w:sz w:val="32"/>
          <w:szCs w:val="32"/>
          <w:lang w:val="en-US" w:eastAsia="zh-CN"/>
        </w:rPr>
        <w:t>本公告</w:t>
      </w:r>
      <w:r>
        <w:rPr>
          <w:rFonts w:ascii="楷体" w:hAnsi="楷体" w:eastAsia="楷体"/>
          <w:sz w:val="32"/>
          <w:szCs w:val="32"/>
        </w:rPr>
        <w:t>内容参与</w:t>
      </w:r>
      <w:r>
        <w:rPr>
          <w:rFonts w:hint="eastAsia" w:ascii="楷体" w:hAnsi="楷体" w:eastAsia="楷体"/>
          <w:sz w:val="32"/>
          <w:szCs w:val="32"/>
          <w:lang w:eastAsia="zh-CN"/>
        </w:rPr>
        <w:t>竞价</w:t>
      </w:r>
      <w:r>
        <w:rPr>
          <w:rFonts w:ascii="楷体" w:hAnsi="楷体" w:eastAsia="楷体"/>
          <w:sz w:val="32"/>
          <w:szCs w:val="32"/>
        </w:rPr>
        <w:t>并承担因</w:t>
      </w:r>
      <w:r>
        <w:rPr>
          <w:rFonts w:hint="eastAsia" w:ascii="楷体" w:hAnsi="楷体" w:eastAsia="楷体"/>
          <w:sz w:val="32"/>
          <w:szCs w:val="32"/>
          <w:lang w:eastAsia="zh-CN"/>
        </w:rPr>
        <w:t>竞价</w:t>
      </w:r>
      <w:r>
        <w:rPr>
          <w:rFonts w:ascii="楷体" w:hAnsi="楷体" w:eastAsia="楷体"/>
          <w:sz w:val="32"/>
          <w:szCs w:val="32"/>
        </w:rPr>
        <w:t>行为产生的任何法律经济后果。</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楷体" w:hAnsi="楷体" w:eastAsia="楷体"/>
          <w:sz w:val="32"/>
          <w:szCs w:val="32"/>
        </w:rPr>
      </w:pPr>
      <w:r>
        <w:rPr>
          <w:rFonts w:ascii="楷体" w:hAnsi="楷体" w:eastAsia="楷体"/>
          <w:sz w:val="32"/>
          <w:szCs w:val="32"/>
        </w:rPr>
        <w:t>（七）意向</w:t>
      </w:r>
      <w:r>
        <w:rPr>
          <w:rFonts w:hint="eastAsia" w:ascii="楷体" w:hAnsi="楷体" w:eastAsia="楷体"/>
          <w:sz w:val="32"/>
          <w:szCs w:val="32"/>
          <w:lang w:eastAsia="zh-CN"/>
        </w:rPr>
        <w:t>竞价</w:t>
      </w:r>
      <w:r>
        <w:rPr>
          <w:rFonts w:ascii="楷体" w:hAnsi="楷体" w:eastAsia="楷体"/>
          <w:sz w:val="32"/>
          <w:szCs w:val="32"/>
        </w:rPr>
        <w:t>人有下列行为之一的，视为放弃意向</w:t>
      </w:r>
      <w:r>
        <w:rPr>
          <w:rFonts w:hint="eastAsia" w:ascii="楷体" w:hAnsi="楷体" w:eastAsia="楷体"/>
          <w:sz w:val="32"/>
          <w:szCs w:val="32"/>
          <w:lang w:eastAsia="zh-CN"/>
        </w:rPr>
        <w:t>竞价</w:t>
      </w:r>
      <w:r>
        <w:rPr>
          <w:rFonts w:ascii="楷体" w:hAnsi="楷体" w:eastAsia="楷体"/>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（1）未按要求交纳</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保证金的；</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（2）未按要求提交资格审查相关资料的；</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楷体" w:hAnsi="楷体" w:eastAsia="楷体"/>
          <w:sz w:val="32"/>
          <w:szCs w:val="32"/>
        </w:rPr>
      </w:pPr>
      <w:r>
        <w:rPr>
          <w:rFonts w:ascii="楷体" w:hAnsi="楷体" w:eastAsia="楷体"/>
          <w:sz w:val="32"/>
          <w:szCs w:val="32"/>
        </w:rPr>
        <w:t>（八）资格审查相关事宜联系方式：</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楷体" w:hAnsi="楷体" w:eastAsia="楷体"/>
          <w:sz w:val="32"/>
          <w:szCs w:val="32"/>
        </w:rPr>
      </w:pPr>
      <w:r>
        <w:rPr>
          <w:rFonts w:ascii="Times New Roman" w:hAnsi="Times New Roman" w:eastAsia="仿宋_GB2312"/>
          <w:sz w:val="32"/>
          <w:szCs w:val="32"/>
        </w:rPr>
        <w:t>交易评审科联系电话</w:t>
      </w:r>
      <w:r>
        <w:rPr>
          <w:rFonts w:hint="eastAsia" w:ascii="Times New Roman" w:hAnsi="Times New Roman" w:eastAsia="仿宋_GB2312"/>
          <w:sz w:val="32"/>
          <w:szCs w:val="32"/>
        </w:rPr>
        <w:t>：</w:t>
      </w:r>
      <w:r>
        <w:rPr>
          <w:rFonts w:ascii="Times New Roman" w:hAnsi="Times New Roman" w:eastAsia="仿宋_GB2312"/>
          <w:sz w:val="32"/>
          <w:szCs w:val="32"/>
        </w:rPr>
        <w:t xml:space="preserve"> 0818-3091347</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sz w:val="32"/>
          <w:szCs w:val="32"/>
        </w:rPr>
      </w:pPr>
      <w:r>
        <w:rPr>
          <w:rFonts w:ascii="黑体" w:hAnsi="黑体" w:eastAsia="黑体"/>
          <w:sz w:val="32"/>
          <w:szCs w:val="32"/>
        </w:rPr>
        <w:t>五、成交价款支付方式</w:t>
      </w:r>
    </w:p>
    <w:p>
      <w:pPr>
        <w:spacing w:line="578" w:lineRule="exact"/>
        <w:ind w:firstLine="640" w:firstLineChars="200"/>
        <w:jc w:val="both"/>
        <w:rPr>
          <w:rFonts w:hint="eastAsia" w:ascii="Times New Roman" w:hAnsi="Times New Roman" w:eastAsia="仿宋_GB2312"/>
          <w:sz w:val="32"/>
          <w:szCs w:val="32"/>
          <w:lang w:eastAsia="zh-CN"/>
        </w:rPr>
      </w:pPr>
      <w:r>
        <w:rPr>
          <w:rFonts w:hint="default" w:ascii="Times New Roman" w:hAnsi="Times New Roman" w:eastAsia="仿宋_GB2312"/>
          <w:sz w:val="32"/>
          <w:szCs w:val="32"/>
        </w:rPr>
        <w:t>按照《</w:t>
      </w:r>
      <w:r>
        <w:rPr>
          <w:rFonts w:hint="eastAsia" w:ascii="Times New Roman" w:hAnsi="Times New Roman" w:eastAsia="仿宋_GB2312"/>
          <w:sz w:val="32"/>
          <w:szCs w:val="32"/>
        </w:rPr>
        <w:t>达州市</w:t>
      </w:r>
      <w:r>
        <w:rPr>
          <w:rFonts w:hint="eastAsia" w:ascii="Times New Roman" w:hAnsi="Times New Roman" w:eastAsia="仿宋_GB2312"/>
          <w:sz w:val="32"/>
          <w:szCs w:val="32"/>
          <w:lang w:eastAsia="zh-CN"/>
        </w:rPr>
        <w:t>卫生和计划生育监督执法</w:t>
      </w:r>
      <w:r>
        <w:rPr>
          <w:rFonts w:hint="eastAsia" w:ascii="Times New Roman" w:hAnsi="Times New Roman" w:eastAsia="仿宋_GB2312"/>
          <w:sz w:val="32"/>
          <w:szCs w:val="32"/>
        </w:rPr>
        <w:t>支队</w:t>
      </w:r>
      <w:r>
        <w:rPr>
          <w:rFonts w:hint="eastAsia" w:ascii="Times New Roman" w:hAnsi="Times New Roman" w:eastAsia="仿宋_GB2312"/>
          <w:sz w:val="32"/>
          <w:szCs w:val="32"/>
          <w:lang w:eastAsia="zh-CN"/>
        </w:rPr>
        <w:t>固定资产</w:t>
      </w:r>
      <w:r>
        <w:rPr>
          <w:rFonts w:hint="eastAsia" w:ascii="Times New Roman" w:hAnsi="Times New Roman" w:eastAsia="仿宋_GB2312"/>
          <w:sz w:val="32"/>
          <w:szCs w:val="32"/>
        </w:rPr>
        <w:t>报废处置协议</w:t>
      </w:r>
      <w:r>
        <w:rPr>
          <w:rFonts w:hint="default" w:ascii="Times New Roman" w:hAnsi="Times New Roman" w:eastAsia="仿宋_GB2312"/>
          <w:sz w:val="32"/>
          <w:szCs w:val="32"/>
        </w:rPr>
        <w:t>》约定支付款项</w:t>
      </w:r>
      <w:r>
        <w:rPr>
          <w:rFonts w:hint="eastAsia" w:ascii="Times New Roman" w:hAnsi="Times New Roman"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sz w:val="32"/>
          <w:szCs w:val="32"/>
        </w:rPr>
      </w:pPr>
      <w:r>
        <w:rPr>
          <w:rFonts w:ascii="黑体" w:hAnsi="黑体" w:eastAsia="黑体"/>
          <w:sz w:val="32"/>
          <w:szCs w:val="32"/>
        </w:rPr>
        <w:t>六、公告期限</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公告期限：202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日至202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16</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时00分止。</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sz w:val="32"/>
          <w:szCs w:val="32"/>
        </w:rPr>
      </w:pPr>
      <w:r>
        <w:rPr>
          <w:rFonts w:ascii="黑体" w:hAnsi="黑体" w:eastAsia="黑体"/>
          <w:sz w:val="32"/>
          <w:szCs w:val="32"/>
        </w:rPr>
        <w:t>七、网上报名、</w:t>
      </w:r>
      <w:r>
        <w:rPr>
          <w:rFonts w:hint="eastAsia" w:ascii="黑体" w:hAnsi="黑体" w:eastAsia="黑体"/>
          <w:sz w:val="32"/>
          <w:szCs w:val="32"/>
          <w:lang w:eastAsia="zh-CN"/>
        </w:rPr>
        <w:t>竞价</w:t>
      </w:r>
      <w:r>
        <w:rPr>
          <w:rFonts w:ascii="黑体" w:hAnsi="黑体" w:eastAsia="黑体"/>
          <w:sz w:val="32"/>
          <w:szCs w:val="32"/>
        </w:rPr>
        <w:t>保证金缴纳截止时间及网上竞价时间、地点</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楷体" w:hAnsi="楷体" w:eastAsia="楷体"/>
          <w:sz w:val="32"/>
          <w:szCs w:val="32"/>
        </w:rPr>
        <w:t>（一）网上报名时间：</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日至202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16</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时00分止；</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楷体" w:hAnsi="楷体" w:eastAsia="楷体"/>
          <w:sz w:val="32"/>
          <w:szCs w:val="32"/>
        </w:rPr>
        <w:t>（二）</w:t>
      </w:r>
      <w:r>
        <w:rPr>
          <w:rFonts w:hint="eastAsia" w:ascii="楷体" w:hAnsi="楷体" w:eastAsia="楷体"/>
          <w:sz w:val="32"/>
          <w:szCs w:val="32"/>
          <w:lang w:eastAsia="zh-CN"/>
        </w:rPr>
        <w:t>竞价</w:t>
      </w:r>
      <w:r>
        <w:rPr>
          <w:rFonts w:ascii="楷体" w:hAnsi="楷体" w:eastAsia="楷体"/>
          <w:sz w:val="32"/>
          <w:szCs w:val="32"/>
        </w:rPr>
        <w:t>保证金缴纳截止时间：</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16</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时00分（以达州市公共资源交易服务系统确认到账为准）；</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保证金不接受现金支付，须以转账方式转入达州市公共资源交易服务中心指定账户。</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建设银行开户行：中国建设银行股份有限公司达州荷叶支行；</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户名：达州市公共资源交易服务中心交易专户；</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账号：系统自动生成。</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工商银行开户行：中国工商银行达州市分行海棠湾支行；</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户名：达州市公共资源交易服务中心交易专户；</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账号：系统自动生成。</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农业银行开户行：中国农业银行达州通川支行</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户  名：达州市公共资源交易服务中心交易专户</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账  号：系统自动生成</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楷体" w:hAnsi="楷体" w:eastAsia="楷体"/>
          <w:sz w:val="32"/>
          <w:szCs w:val="32"/>
        </w:rPr>
        <w:t>（三）网上竞价开始时间：</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10</w:t>
      </w:r>
      <w:r>
        <w:rPr>
          <w:rFonts w:ascii="Times New Roman" w:hAnsi="Times New Roman" w:eastAsia="仿宋_GB2312"/>
          <w:sz w:val="32"/>
          <w:szCs w:val="32"/>
        </w:rPr>
        <w:t>时</w:t>
      </w:r>
      <w:r>
        <w:rPr>
          <w:rFonts w:hint="eastAsia" w:ascii="Times New Roman" w:hAnsi="Times New Roman" w:eastAsia="仿宋_GB2312"/>
          <w:sz w:val="32"/>
          <w:szCs w:val="32"/>
          <w:lang w:val="en-US" w:eastAsia="zh-CN"/>
        </w:rPr>
        <w:t>00</w:t>
      </w:r>
      <w:r>
        <w:rPr>
          <w:rFonts w:ascii="Times New Roman" w:hAnsi="Times New Roman" w:eastAsia="仿宋_GB2312"/>
          <w:sz w:val="32"/>
          <w:szCs w:val="32"/>
        </w:rPr>
        <w:t>分；</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楷体" w:hAnsi="楷体" w:eastAsia="楷体"/>
          <w:sz w:val="32"/>
          <w:szCs w:val="32"/>
        </w:rPr>
      </w:pPr>
      <w:r>
        <w:rPr>
          <w:rFonts w:ascii="楷体" w:hAnsi="楷体" w:eastAsia="楷体"/>
          <w:sz w:val="32"/>
          <w:szCs w:val="32"/>
        </w:rPr>
        <w:t>（四）网上竞价开始时间可能因资格审查而延迟；</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楷体" w:hAnsi="楷体" w:eastAsia="楷体"/>
          <w:sz w:val="32"/>
          <w:szCs w:val="32"/>
        </w:rPr>
        <w:t>（五）网上竞价地点：</w:t>
      </w:r>
      <w:r>
        <w:rPr>
          <w:rFonts w:ascii="Times New Roman" w:hAnsi="Times New Roman" w:eastAsia="仿宋_GB2312"/>
          <w:sz w:val="32"/>
          <w:szCs w:val="32"/>
        </w:rPr>
        <w:t>登录达州市公共资源交易服务平台。</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sz w:val="32"/>
          <w:szCs w:val="32"/>
        </w:rPr>
      </w:pPr>
      <w:r>
        <w:rPr>
          <w:rFonts w:ascii="黑体" w:hAnsi="黑体" w:eastAsia="黑体"/>
          <w:sz w:val="32"/>
          <w:szCs w:val="32"/>
        </w:rPr>
        <w:t>八、网上竞价规则</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楷体" w:hAnsi="楷体" w:eastAsia="楷体"/>
          <w:sz w:val="32"/>
          <w:szCs w:val="32"/>
        </w:rPr>
      </w:pPr>
      <w:r>
        <w:rPr>
          <w:rFonts w:ascii="楷体" w:hAnsi="楷体" w:eastAsia="楷体"/>
          <w:sz w:val="32"/>
          <w:szCs w:val="32"/>
        </w:rPr>
        <w:t>（一）竞价方式：网上竞价</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在网上竞价当日，意向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人须登录达州市公共资源交易服务平台关注本项目竞价信息。资格审查结束后，意向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人须登录达州市公共资源交易服务平台中的【资格审查申请】菜单查看审查结果，通过资格审查的意向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人，须按时参加网上竞价。</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楷体" w:hAnsi="楷体" w:eastAsia="楷体"/>
          <w:sz w:val="32"/>
          <w:szCs w:val="32"/>
        </w:rPr>
        <w:t>（二）本次竞价采用增价方式。</w:t>
      </w:r>
      <w:r>
        <w:rPr>
          <w:rFonts w:ascii="Times New Roman" w:hAnsi="Times New Roman" w:eastAsia="仿宋_GB2312"/>
          <w:sz w:val="32"/>
          <w:szCs w:val="32"/>
        </w:rPr>
        <w:t>本次</w:t>
      </w:r>
      <w:r>
        <w:rPr>
          <w:rFonts w:hint="eastAsia" w:ascii="Times New Roman" w:hAnsi="Times New Roman" w:eastAsia="仿宋_GB2312"/>
          <w:sz w:val="32"/>
          <w:szCs w:val="32"/>
          <w:lang w:eastAsia="zh-CN"/>
        </w:rPr>
        <w:t>资产</w:t>
      </w:r>
      <w:r>
        <w:rPr>
          <w:rFonts w:hint="eastAsia" w:ascii="Times New Roman" w:hAnsi="Times New Roman" w:eastAsia="仿宋_GB2312"/>
          <w:sz w:val="32"/>
          <w:szCs w:val="32"/>
          <w:lang w:val="en-US" w:eastAsia="zh-CN"/>
        </w:rPr>
        <w:t>处置</w:t>
      </w:r>
      <w:r>
        <w:rPr>
          <w:rFonts w:ascii="Times New Roman" w:hAnsi="Times New Roman" w:eastAsia="仿宋_GB2312"/>
          <w:sz w:val="32"/>
          <w:szCs w:val="32"/>
        </w:rPr>
        <w:t>采用单独按照各标的物</w:t>
      </w:r>
      <w:r>
        <w:rPr>
          <w:rFonts w:hint="eastAsia" w:ascii="Times New Roman" w:hAnsi="Times New Roman" w:eastAsia="仿宋_GB2312"/>
          <w:sz w:val="32"/>
          <w:szCs w:val="32"/>
        </w:rPr>
        <w:t>竞价</w:t>
      </w:r>
      <w:r>
        <w:rPr>
          <w:rFonts w:ascii="Times New Roman" w:hAnsi="Times New Roman" w:eastAsia="仿宋_GB2312"/>
          <w:sz w:val="32"/>
          <w:szCs w:val="32"/>
        </w:rPr>
        <w:t>起始价进行公开竞价。资格审查合格的意向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人逐轮应价，每次加价幅度为</w:t>
      </w:r>
      <w:r>
        <w:rPr>
          <w:rFonts w:hint="eastAsia" w:ascii="Times New Roman" w:hAnsi="Times New Roman" w:eastAsia="仿宋_GB2312"/>
          <w:sz w:val="32"/>
          <w:szCs w:val="32"/>
          <w:lang w:val="en-US" w:eastAsia="zh-CN"/>
        </w:rPr>
        <w:t>100</w:t>
      </w:r>
      <w:r>
        <w:rPr>
          <w:rFonts w:ascii="Times New Roman" w:hAnsi="Times New Roman" w:eastAsia="仿宋_GB2312"/>
          <w:sz w:val="32"/>
          <w:szCs w:val="32"/>
        </w:rPr>
        <w:t>元或者其整倍数，意向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人一经应价，不可撤回。最终应价最高的意向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人成为竞得人。</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楷体" w:hAnsi="楷体" w:eastAsia="楷体"/>
          <w:sz w:val="32"/>
          <w:szCs w:val="32"/>
        </w:rPr>
        <w:t>（三）凡参加本项目</w:t>
      </w:r>
      <w:r>
        <w:rPr>
          <w:rFonts w:hint="eastAsia" w:ascii="楷体" w:hAnsi="楷体" w:eastAsia="楷体"/>
          <w:sz w:val="32"/>
          <w:szCs w:val="32"/>
          <w:lang w:eastAsia="zh-CN"/>
        </w:rPr>
        <w:t>竞价</w:t>
      </w:r>
      <w:r>
        <w:rPr>
          <w:rFonts w:ascii="楷体" w:hAnsi="楷体" w:eastAsia="楷体"/>
          <w:sz w:val="32"/>
          <w:szCs w:val="32"/>
        </w:rPr>
        <w:t>的意向</w:t>
      </w:r>
      <w:r>
        <w:rPr>
          <w:rFonts w:hint="eastAsia" w:ascii="楷体" w:hAnsi="楷体" w:eastAsia="楷体"/>
          <w:sz w:val="32"/>
          <w:szCs w:val="32"/>
          <w:lang w:eastAsia="zh-CN"/>
        </w:rPr>
        <w:t>竞价</w:t>
      </w:r>
      <w:r>
        <w:rPr>
          <w:rFonts w:ascii="楷体" w:hAnsi="楷体" w:eastAsia="楷体"/>
          <w:sz w:val="32"/>
          <w:szCs w:val="32"/>
        </w:rPr>
        <w:t>人须认可本项目</w:t>
      </w:r>
      <w:r>
        <w:rPr>
          <w:rFonts w:hint="eastAsia" w:ascii="楷体" w:hAnsi="楷体" w:eastAsia="楷体"/>
          <w:sz w:val="32"/>
          <w:szCs w:val="32"/>
          <w:lang w:val="en-US" w:eastAsia="zh-CN"/>
        </w:rPr>
        <w:t>竞价</w:t>
      </w:r>
      <w:r>
        <w:rPr>
          <w:rFonts w:ascii="楷体" w:hAnsi="楷体" w:eastAsia="楷体"/>
          <w:sz w:val="32"/>
          <w:szCs w:val="32"/>
        </w:rPr>
        <w:t>起始价。</w:t>
      </w:r>
      <w:r>
        <w:rPr>
          <w:rFonts w:ascii="Times New Roman" w:hAnsi="Times New Roman" w:eastAsia="仿宋_GB2312"/>
          <w:sz w:val="32"/>
          <w:szCs w:val="32"/>
        </w:rPr>
        <w:t>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人的</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申请书一经提交，即视为认可</w:t>
      </w:r>
      <w:r>
        <w:rPr>
          <w:rFonts w:hint="eastAsia" w:ascii="Times New Roman" w:hAnsi="Times New Roman" w:eastAsia="仿宋_GB2312"/>
          <w:sz w:val="32"/>
          <w:szCs w:val="32"/>
          <w:lang w:val="en-US" w:eastAsia="zh-CN"/>
        </w:rPr>
        <w:t>竞价</w:t>
      </w:r>
      <w:r>
        <w:rPr>
          <w:rFonts w:ascii="Times New Roman" w:hAnsi="Times New Roman" w:eastAsia="仿宋_GB2312"/>
          <w:sz w:val="32"/>
          <w:szCs w:val="32"/>
        </w:rPr>
        <w:t>起始价。</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楷体" w:hAnsi="楷体" w:eastAsia="楷体"/>
          <w:sz w:val="32"/>
          <w:szCs w:val="32"/>
        </w:rPr>
        <w:t>（四）竞价时长：30分钟。</w:t>
      </w:r>
      <w:r>
        <w:rPr>
          <w:rFonts w:ascii="Times New Roman" w:hAnsi="Times New Roman" w:eastAsia="仿宋_GB2312"/>
          <w:sz w:val="32"/>
          <w:szCs w:val="32"/>
        </w:rPr>
        <w:t>若竞价时间截止时前2分钟内（即第28分钟至第30分钟）仍有意向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人继续竞价，则在竞价时间截止时（即第30分钟）启动延时竞价，延时竞价时间为2分钟；若延时竞价内仍有意向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人继续竞价，则在延时竞价时间截止时继续启动延时竞价，每次延时竞价时间为2分钟。</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楷体" w:hAnsi="楷体" w:eastAsia="楷体"/>
          <w:sz w:val="32"/>
          <w:szCs w:val="32"/>
        </w:rPr>
      </w:pPr>
      <w:r>
        <w:rPr>
          <w:rFonts w:ascii="楷体" w:hAnsi="楷体" w:eastAsia="楷体"/>
          <w:sz w:val="32"/>
          <w:szCs w:val="32"/>
        </w:rPr>
        <w:t>（五）网上竞价相关事宜联系方式：</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交易评审科联系电话</w:t>
      </w:r>
      <w:r>
        <w:rPr>
          <w:rFonts w:hint="eastAsia" w:ascii="Times New Roman" w:hAnsi="Times New Roman" w:eastAsia="仿宋_GB2312"/>
          <w:sz w:val="32"/>
          <w:szCs w:val="32"/>
        </w:rPr>
        <w:t>：</w:t>
      </w:r>
      <w:r>
        <w:rPr>
          <w:rFonts w:ascii="Times New Roman" w:hAnsi="Times New Roman" w:eastAsia="仿宋_GB2312"/>
          <w:sz w:val="32"/>
          <w:szCs w:val="32"/>
        </w:rPr>
        <w:t xml:space="preserve"> 0818-3091347</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sz w:val="32"/>
          <w:szCs w:val="32"/>
        </w:rPr>
      </w:pPr>
      <w:r>
        <w:rPr>
          <w:rFonts w:ascii="黑体" w:hAnsi="黑体" w:eastAsia="黑体"/>
          <w:sz w:val="32"/>
          <w:szCs w:val="32"/>
        </w:rPr>
        <w:t>九、成交通知书</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网上竞价结束后，由交易系统自动生成经达州市公共资源交易服务中心签章的成交确认书，竞得人可以在达州市公共资源交易服务平台中自行下载。</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sz w:val="32"/>
          <w:szCs w:val="32"/>
        </w:rPr>
      </w:pPr>
      <w:r>
        <w:rPr>
          <w:rFonts w:ascii="黑体" w:hAnsi="黑体" w:eastAsia="黑体"/>
          <w:sz w:val="32"/>
          <w:szCs w:val="32"/>
        </w:rPr>
        <w:t>十、其他事项</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 </w:t>
      </w:r>
      <w:r>
        <w:rPr>
          <w:rFonts w:hint="eastAsia" w:ascii="Times New Roman" w:hAnsi="Times New Roman" w:eastAsia="仿宋_GB2312" w:cs="Times New Roman"/>
          <w:sz w:val="32"/>
          <w:szCs w:val="32"/>
          <w:lang w:val="en-US" w:eastAsia="zh-CN"/>
        </w:rPr>
        <w:t>若竞价成功，竞得人的竞价保证金转作标的物的履约保证金，合同执行完成该保证金全额退还；若竞价未成功，则意向竞价人竞价保证金全额原渠道无息退还。</w:t>
      </w:r>
      <w:r>
        <w:rPr>
          <w:rFonts w:ascii="Times New Roman" w:hAnsi="Times New Roman" w:eastAsia="仿宋_GB2312" w:cs="Times New Roman"/>
          <w:sz w:val="32"/>
          <w:szCs w:val="32"/>
        </w:rPr>
        <w:t>以下情形之一者，</w:t>
      </w:r>
      <w:r>
        <w:rPr>
          <w:rFonts w:hint="eastAsia" w:ascii="Times New Roman" w:hAnsi="Times New Roman" w:eastAsia="仿宋_GB2312" w:cs="Times New Roman"/>
          <w:sz w:val="32"/>
          <w:szCs w:val="32"/>
          <w:lang w:eastAsia="zh-CN"/>
        </w:rPr>
        <w:t>竞价</w:t>
      </w:r>
      <w:r>
        <w:rPr>
          <w:rFonts w:ascii="Times New Roman" w:hAnsi="Times New Roman" w:eastAsia="仿宋_GB2312" w:cs="Times New Roman"/>
          <w:sz w:val="32"/>
          <w:szCs w:val="32"/>
        </w:rPr>
        <w:t>保证金不予退还：</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人提供虚假材料的；</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人互相串通恶意压价的；</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人未认可本项目</w:t>
      </w:r>
      <w:r>
        <w:rPr>
          <w:rFonts w:hint="eastAsia" w:ascii="Times New Roman" w:hAnsi="Times New Roman" w:eastAsia="仿宋_GB2312"/>
          <w:sz w:val="32"/>
          <w:szCs w:val="32"/>
          <w:lang w:val="en-US" w:eastAsia="zh-CN"/>
        </w:rPr>
        <w:t>竞价</w:t>
      </w:r>
      <w:r>
        <w:rPr>
          <w:rFonts w:ascii="Times New Roman" w:hAnsi="Times New Roman" w:eastAsia="仿宋_GB2312"/>
          <w:sz w:val="32"/>
          <w:szCs w:val="32"/>
        </w:rPr>
        <w:t>起始价的；</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4.竞得人不按时签订</w:t>
      </w:r>
      <w:r>
        <w:rPr>
          <w:rFonts w:hint="eastAsia" w:ascii="Times New Roman" w:hAnsi="Times New Roman" w:eastAsia="仿宋_GB2312"/>
          <w:sz w:val="32"/>
          <w:szCs w:val="32"/>
          <w:lang w:val="en-US" w:eastAsia="zh-CN"/>
        </w:rPr>
        <w:t>成交</w:t>
      </w:r>
      <w:r>
        <w:rPr>
          <w:rFonts w:ascii="Times New Roman" w:hAnsi="Times New Roman" w:eastAsia="仿宋_GB2312"/>
          <w:sz w:val="32"/>
          <w:szCs w:val="32"/>
        </w:rPr>
        <w:t>合同或不按时缴纳成交价款的；</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（二）本次</w:t>
      </w:r>
      <w:r>
        <w:rPr>
          <w:rFonts w:hint="eastAsia" w:ascii="Times New Roman" w:hAnsi="Times New Roman" w:eastAsia="仿宋_GB2312"/>
          <w:sz w:val="32"/>
          <w:szCs w:val="32"/>
          <w:lang w:val="en-US" w:eastAsia="zh-CN"/>
        </w:rPr>
        <w:t>公开竞争性处置</w:t>
      </w:r>
      <w:r>
        <w:rPr>
          <w:rFonts w:ascii="Times New Roman" w:hAnsi="Times New Roman" w:eastAsia="仿宋_GB2312"/>
          <w:sz w:val="32"/>
          <w:szCs w:val="32"/>
        </w:rPr>
        <w:t>所涉及的税费由双方按国家相关法律法规处理（</w:t>
      </w:r>
      <w:r>
        <w:rPr>
          <w:rFonts w:hint="eastAsia" w:ascii="Times New Roman" w:hAnsi="Times New Roman" w:eastAsia="仿宋_GB2312"/>
          <w:sz w:val="32"/>
          <w:szCs w:val="32"/>
          <w:lang w:eastAsia="zh-CN"/>
        </w:rPr>
        <w:t>资产</w:t>
      </w:r>
      <w:r>
        <w:rPr>
          <w:rFonts w:ascii="Times New Roman" w:hAnsi="Times New Roman" w:eastAsia="仿宋_GB2312"/>
          <w:sz w:val="32"/>
          <w:szCs w:val="32"/>
        </w:rPr>
        <w:t>方不开具税务发票，可以开具</w:t>
      </w:r>
      <w:r>
        <w:rPr>
          <w:rFonts w:hint="eastAsia" w:ascii="Times New Roman" w:hAnsi="Times New Roman" w:eastAsia="仿宋_GB2312"/>
          <w:sz w:val="32"/>
          <w:szCs w:val="32"/>
          <w:lang w:eastAsia="zh-CN"/>
        </w:rPr>
        <w:t>资产</w:t>
      </w:r>
      <w:r>
        <w:rPr>
          <w:rFonts w:ascii="Times New Roman" w:hAnsi="Times New Roman" w:eastAsia="仿宋_GB2312"/>
          <w:sz w:val="32"/>
          <w:szCs w:val="32"/>
        </w:rPr>
        <w:t>方现有的合法票据）。</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（三）本次</w:t>
      </w:r>
      <w:r>
        <w:rPr>
          <w:rFonts w:hint="eastAsia" w:ascii="Times New Roman" w:hAnsi="Times New Roman" w:eastAsia="仿宋_GB2312"/>
          <w:sz w:val="32"/>
          <w:szCs w:val="32"/>
          <w:lang w:val="en-US" w:eastAsia="zh-CN"/>
        </w:rPr>
        <w:t>公开竞争性处置</w:t>
      </w:r>
      <w:r>
        <w:rPr>
          <w:rFonts w:ascii="Times New Roman" w:hAnsi="Times New Roman" w:eastAsia="仿宋_GB2312"/>
          <w:sz w:val="32"/>
          <w:szCs w:val="32"/>
        </w:rPr>
        <w:t>实行全程电子化交易方式， 通过达州市公共资源交易服务平台进行，纸质资料不予受理，具体操作方式详见“产权竞买人操作手册”。</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Times New Roman" w:hAnsi="Times New Roman" w:eastAsia="仿宋_GB2312"/>
          <w:b/>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（四）</w:t>
      </w:r>
      <w:r>
        <w:rPr>
          <w:rFonts w:hint="eastAsia" w:ascii="Times New Roman" w:hAnsi="Times New Roman" w:eastAsia="仿宋_GB2312"/>
          <w:b/>
          <w:color w:val="000000" w:themeColor="text1"/>
          <w:sz w:val="32"/>
          <w:szCs w:val="32"/>
          <w14:textFill>
            <w14:solidFill>
              <w14:schemeClr w14:val="tx1"/>
            </w14:solidFill>
          </w14:textFill>
        </w:rPr>
        <w:t>意向</w:t>
      </w:r>
      <w:r>
        <w:rPr>
          <w:rFonts w:hint="eastAsia" w:ascii="Times New Roman" w:hAnsi="Times New Roman" w:eastAsia="仿宋_GB2312"/>
          <w:b/>
          <w:color w:val="000000" w:themeColor="text1"/>
          <w:sz w:val="32"/>
          <w:szCs w:val="32"/>
          <w:lang w:eastAsia="zh-CN"/>
          <w14:textFill>
            <w14:solidFill>
              <w14:schemeClr w14:val="tx1"/>
            </w14:solidFill>
          </w14:textFill>
        </w:rPr>
        <w:t>竞价</w:t>
      </w:r>
      <w:r>
        <w:rPr>
          <w:rFonts w:hint="eastAsia" w:ascii="Times New Roman" w:hAnsi="Times New Roman" w:eastAsia="仿宋_GB2312"/>
          <w:b/>
          <w:color w:val="000000" w:themeColor="text1"/>
          <w:sz w:val="32"/>
          <w:szCs w:val="32"/>
          <w14:textFill>
            <w14:solidFill>
              <w14:schemeClr w14:val="tx1"/>
            </w14:solidFill>
          </w14:textFill>
        </w:rPr>
        <w:t>人对本公告中</w:t>
      </w:r>
      <w:r>
        <w:rPr>
          <w:rFonts w:hint="eastAsia" w:ascii="Times New Roman" w:hAnsi="Times New Roman" w:eastAsia="仿宋_GB2312"/>
          <w:b/>
          <w:color w:val="000000" w:themeColor="text1"/>
          <w:sz w:val="32"/>
          <w:szCs w:val="32"/>
          <w:lang w:eastAsia="zh-CN"/>
          <w14:textFill>
            <w14:solidFill>
              <w14:schemeClr w14:val="tx1"/>
            </w14:solidFill>
          </w14:textFill>
        </w:rPr>
        <w:t>竞争性处置</w:t>
      </w:r>
      <w:r>
        <w:rPr>
          <w:rFonts w:hint="eastAsia" w:ascii="Times New Roman" w:hAnsi="Times New Roman" w:eastAsia="仿宋_GB2312"/>
          <w:b/>
          <w:color w:val="000000" w:themeColor="text1"/>
          <w:sz w:val="32"/>
          <w:szCs w:val="32"/>
          <w14:textFill>
            <w14:solidFill>
              <w14:schemeClr w14:val="tx1"/>
            </w14:solidFill>
          </w14:textFill>
        </w:rPr>
        <w:t>方式、资产状况、交付标准及</w:t>
      </w:r>
      <w:r>
        <w:rPr>
          <w:rFonts w:hint="eastAsia" w:ascii="Times New Roman" w:hAnsi="Times New Roman" w:eastAsia="仿宋_GB2312"/>
          <w:b/>
          <w:color w:val="000000" w:themeColor="text1"/>
          <w:sz w:val="32"/>
          <w:szCs w:val="32"/>
          <w:lang w:val="en-US" w:eastAsia="zh-CN"/>
          <w14:textFill>
            <w14:solidFill>
              <w14:schemeClr w14:val="tx1"/>
            </w14:solidFill>
          </w14:textFill>
        </w:rPr>
        <w:t>相关事项</w:t>
      </w:r>
      <w:r>
        <w:rPr>
          <w:rFonts w:hint="eastAsia" w:ascii="Times New Roman" w:hAnsi="Times New Roman" w:eastAsia="仿宋_GB2312"/>
          <w:b/>
          <w:color w:val="000000" w:themeColor="text1"/>
          <w:sz w:val="32"/>
          <w:szCs w:val="32"/>
          <w14:textFill>
            <w14:solidFill>
              <w14:schemeClr w14:val="tx1"/>
            </w14:solidFill>
          </w14:textFill>
        </w:rPr>
        <w:t>、意向</w:t>
      </w:r>
      <w:r>
        <w:rPr>
          <w:rFonts w:hint="eastAsia" w:ascii="Times New Roman" w:hAnsi="Times New Roman" w:eastAsia="仿宋_GB2312"/>
          <w:b/>
          <w:color w:val="000000" w:themeColor="text1"/>
          <w:sz w:val="32"/>
          <w:szCs w:val="32"/>
          <w:lang w:eastAsia="zh-CN"/>
          <w14:textFill>
            <w14:solidFill>
              <w14:schemeClr w14:val="tx1"/>
            </w14:solidFill>
          </w14:textFill>
        </w:rPr>
        <w:t>竞价</w:t>
      </w:r>
      <w:r>
        <w:rPr>
          <w:rFonts w:hint="eastAsia" w:ascii="Times New Roman" w:hAnsi="Times New Roman" w:eastAsia="仿宋_GB2312"/>
          <w:b/>
          <w:color w:val="000000" w:themeColor="text1"/>
          <w:sz w:val="32"/>
          <w:szCs w:val="32"/>
          <w14:textFill>
            <w14:solidFill>
              <w14:schemeClr w14:val="tx1"/>
            </w14:solidFill>
          </w14:textFill>
        </w:rPr>
        <w:t>人应具备的条件、资格审查、成交价款支付方式、网上竞价规则、成交通知书、其他事项等内容及所涉交易环节有询问、异议的向</w:t>
      </w:r>
      <w:r>
        <w:rPr>
          <w:rFonts w:hint="eastAsia" w:ascii="Times New Roman" w:hAnsi="Times New Roman" w:eastAsia="仿宋_GB2312"/>
          <w:b/>
          <w:color w:val="000000" w:themeColor="text1"/>
          <w:sz w:val="32"/>
          <w:szCs w:val="32"/>
          <w:lang w:eastAsia="zh-CN"/>
          <w14:textFill>
            <w14:solidFill>
              <w14:schemeClr w14:val="tx1"/>
            </w14:solidFill>
          </w14:textFill>
        </w:rPr>
        <w:t>资产</w:t>
      </w:r>
      <w:r>
        <w:rPr>
          <w:rFonts w:hint="eastAsia" w:ascii="Times New Roman" w:hAnsi="Times New Roman" w:eastAsia="仿宋_GB2312"/>
          <w:b/>
          <w:color w:val="000000" w:themeColor="text1"/>
          <w:sz w:val="32"/>
          <w:szCs w:val="32"/>
          <w14:textFill>
            <w14:solidFill>
              <w14:schemeClr w14:val="tx1"/>
            </w14:solidFill>
          </w14:textFill>
        </w:rPr>
        <w:t>方提出；意向</w:t>
      </w:r>
      <w:r>
        <w:rPr>
          <w:rFonts w:hint="eastAsia" w:ascii="Times New Roman" w:hAnsi="Times New Roman" w:eastAsia="仿宋_GB2312"/>
          <w:b/>
          <w:color w:val="000000" w:themeColor="text1"/>
          <w:sz w:val="32"/>
          <w:szCs w:val="32"/>
          <w:lang w:eastAsia="zh-CN"/>
          <w14:textFill>
            <w14:solidFill>
              <w14:schemeClr w14:val="tx1"/>
            </w14:solidFill>
          </w14:textFill>
        </w:rPr>
        <w:t>竞价</w:t>
      </w:r>
      <w:r>
        <w:rPr>
          <w:rFonts w:hint="eastAsia" w:ascii="Times New Roman" w:hAnsi="Times New Roman" w:eastAsia="仿宋_GB2312"/>
          <w:b/>
          <w:color w:val="000000" w:themeColor="text1"/>
          <w:sz w:val="32"/>
          <w:szCs w:val="32"/>
          <w14:textFill>
            <w14:solidFill>
              <w14:schemeClr w14:val="tx1"/>
            </w14:solidFill>
          </w14:textFill>
        </w:rPr>
        <w:t>人对公告期限、网上报名、</w:t>
      </w:r>
      <w:r>
        <w:rPr>
          <w:rFonts w:hint="eastAsia" w:ascii="Times New Roman" w:hAnsi="Times New Roman" w:eastAsia="仿宋_GB2312"/>
          <w:b/>
          <w:color w:val="000000" w:themeColor="text1"/>
          <w:sz w:val="32"/>
          <w:szCs w:val="32"/>
          <w:lang w:eastAsia="zh-CN"/>
          <w14:textFill>
            <w14:solidFill>
              <w14:schemeClr w14:val="tx1"/>
            </w14:solidFill>
          </w14:textFill>
        </w:rPr>
        <w:t>竞价</w:t>
      </w:r>
      <w:r>
        <w:rPr>
          <w:rFonts w:hint="eastAsia" w:ascii="Times New Roman" w:hAnsi="Times New Roman" w:eastAsia="仿宋_GB2312"/>
          <w:b/>
          <w:color w:val="000000" w:themeColor="text1"/>
          <w:sz w:val="32"/>
          <w:szCs w:val="32"/>
          <w14:textFill>
            <w14:solidFill>
              <w14:schemeClr w14:val="tx1"/>
            </w14:solidFill>
          </w14:textFill>
        </w:rPr>
        <w:t>保证金缴纳截止时间及网上竞价时间、地点</w:t>
      </w:r>
      <w:r>
        <w:rPr>
          <w:rFonts w:hint="eastAsia" w:ascii="Times New Roman" w:hAnsi="Times New Roman" w:eastAsia="仿宋_GB2312"/>
          <w:b/>
          <w:color w:val="000000" w:themeColor="text1"/>
          <w:sz w:val="32"/>
          <w:szCs w:val="32"/>
          <w:lang w:eastAsia="zh-CN"/>
          <w14:textFill>
            <w14:solidFill>
              <w14:schemeClr w14:val="tx1"/>
            </w14:solidFill>
          </w14:textFill>
        </w:rPr>
        <w:t>、</w:t>
      </w:r>
      <w:r>
        <w:rPr>
          <w:rFonts w:hint="eastAsia" w:ascii="Times New Roman" w:hAnsi="Times New Roman" w:eastAsia="仿宋_GB2312"/>
          <w:b/>
          <w:color w:val="000000" w:themeColor="text1"/>
          <w:sz w:val="32"/>
          <w:szCs w:val="32"/>
          <w14:textFill>
            <w14:solidFill>
              <w14:schemeClr w14:val="tx1"/>
            </w14:solidFill>
          </w14:textFill>
        </w:rPr>
        <w:t>交易服务平台技术方面的询问、异议向交易机构提出。</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人提出的询问、异议，应当明确询问、异议事项。鼓励询问主体对于不损害国家及社会利益或自身合法权益的问题或情形采用询问方式处理解决（包含但不限于文字错误、标点符号）。</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认为竞价过程、成交结果使自己的权益受到损害的，可以在知道或者应知其权益受到损害之日起3个工作日内，以书面形式向</w:t>
      </w:r>
      <w:r>
        <w:rPr>
          <w:rFonts w:hint="eastAsia" w:ascii="Times New Roman" w:hAnsi="Times New Roman" w:eastAsia="仿宋_GB2312"/>
          <w:sz w:val="32"/>
          <w:szCs w:val="32"/>
          <w:lang w:eastAsia="zh-CN"/>
        </w:rPr>
        <w:t>资产</w:t>
      </w:r>
      <w:r>
        <w:rPr>
          <w:rFonts w:ascii="Times New Roman" w:hAnsi="Times New Roman" w:eastAsia="仿宋_GB2312"/>
          <w:sz w:val="32"/>
          <w:szCs w:val="32"/>
        </w:rPr>
        <w:t>方提出异议。</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人应在异议期内一次性提出针对同一交易程序环节的异议。意向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人应知其权益受到损害之日是指：</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1.对可以异议的交易文件提出异议的，为收到交易文件之日或者交易文件公告期限届满之日；</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2.对交易过程提出异议的，为各交易程序环节结束之日；</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3.对成交结果提出异议的，为成交结果公告期限届满之日。</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（五）本项目不接受在线提交异议，意向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人通过书面形式线下向</w:t>
      </w:r>
      <w:r>
        <w:rPr>
          <w:rFonts w:hint="eastAsia" w:ascii="Times New Roman" w:hAnsi="Times New Roman" w:eastAsia="仿宋_GB2312"/>
          <w:sz w:val="32"/>
          <w:szCs w:val="32"/>
          <w:lang w:eastAsia="zh-CN"/>
        </w:rPr>
        <w:t>资产</w:t>
      </w:r>
      <w:r>
        <w:rPr>
          <w:rFonts w:ascii="Times New Roman" w:hAnsi="Times New Roman" w:eastAsia="仿宋_GB2312"/>
          <w:sz w:val="32"/>
          <w:szCs w:val="32"/>
        </w:rPr>
        <w:t>方提交异议资料。</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人提出异议时应当准备的资料</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1.异议函正本1份（法定代表人或主要负责人签字并加盖公章；若意向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人为自然人，则须签字）；（格式自拟）</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2.法定代表人或主要负责人授权委托书1份（委托代理人办理异议事宜的需提供）；</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3.法定代表人或主要负责人身份证复印件1份；若意向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人为自然人，则提供本人身份证复印件；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4.委托代理人身份证复印件1份（委托代理人办理异议事宜的需提供）；</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5.在达州市公共资源交易服务系统中打印</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标的的</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保证金交纳凭证（原件原色扫描件）；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6.针对异议事项必要的证明材料。</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（七）联系方式：</w:t>
      </w:r>
    </w:p>
    <w:p>
      <w:pPr>
        <w:spacing w:line="579" w:lineRule="exact"/>
        <w:ind w:firstLine="640" w:firstLineChars="200"/>
        <w:jc w:val="both"/>
        <w:rPr>
          <w:rFonts w:hint="eastAsia" w:ascii="仿宋" w:hAnsi="仿宋" w:eastAsia="仿宋"/>
          <w:sz w:val="32"/>
          <w:szCs w:val="32"/>
          <w:lang w:val="en-US" w:eastAsia="zh-CN"/>
        </w:rPr>
      </w:pPr>
      <w:r>
        <w:rPr>
          <w:rFonts w:hint="eastAsia" w:ascii="Times New Roman" w:hAnsi="Times New Roman" w:eastAsia="仿宋_GB2312"/>
          <w:sz w:val="32"/>
          <w:szCs w:val="32"/>
          <w:lang w:val="en-US" w:eastAsia="zh-CN"/>
        </w:rPr>
        <w:t>资产方：达州市卫生和计划生育监督执法支队</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default" w:ascii="Times New Roman" w:hAnsi="Times New Roman" w:eastAsia="仿宋_GB2312"/>
          <w:sz w:val="32"/>
          <w:szCs w:val="32"/>
          <w:lang w:val="en-US"/>
        </w:rPr>
      </w:pPr>
      <w:r>
        <w:rPr>
          <w:rFonts w:hint="eastAsia" w:ascii="Times New Roman" w:hAnsi="Times New Roman" w:eastAsia="仿宋_GB2312"/>
          <w:sz w:val="32"/>
          <w:szCs w:val="32"/>
          <w:lang w:val="en-US" w:eastAsia="zh-CN"/>
        </w:rPr>
        <w:t>联系人：宋老师</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default" w:ascii="Times New Roman" w:hAnsi="Times New Roman" w:eastAsia="仿宋_GB2312"/>
          <w:sz w:val="32"/>
          <w:szCs w:val="32"/>
          <w:lang w:val="en-US"/>
        </w:rPr>
      </w:pPr>
      <w:r>
        <w:rPr>
          <w:rFonts w:hint="eastAsia" w:ascii="Times New Roman" w:hAnsi="Times New Roman" w:eastAsia="仿宋_GB2312"/>
          <w:sz w:val="32"/>
          <w:szCs w:val="32"/>
          <w:lang w:val="en-US" w:eastAsia="zh-CN"/>
        </w:rPr>
        <w:t>联系电话：15808181888</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交易机构询问联系电话：交易组织科</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联系电话: 0818-</w:t>
      </w:r>
      <w:r>
        <w:rPr>
          <w:rFonts w:hint="eastAsia" w:ascii="Times New Roman" w:hAnsi="Times New Roman" w:eastAsia="仿宋_GB2312"/>
          <w:sz w:val="32"/>
          <w:szCs w:val="32"/>
          <w:lang w:val="en-US" w:eastAsia="zh-CN"/>
        </w:rPr>
        <w:t>3091346</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交易机构异议联系电话：现场监督科</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联系电话: 0818-3091350</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达州市公共资源交易服务平台技术联系电话：0818-3091353</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sz w:val="32"/>
          <w:szCs w:val="32"/>
        </w:rPr>
      </w:pPr>
      <w:r>
        <w:rPr>
          <w:rFonts w:ascii="黑体" w:hAnsi="黑体" w:eastAsia="黑体"/>
          <w:sz w:val="32"/>
          <w:szCs w:val="32"/>
        </w:rPr>
        <w:t>十一、特别提示：</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人应授权专人负责，以便及时处理竞价过程中可能出现的异常情况。否则，后果由意向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人承担。</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人应认真阅读《产权竞买人操作手册》，如有疑问，请联系0818-3091353，提供必要的技术咨询。</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3.建议供应商配置：操作系统建议使用Windows 7及以上版本操作系统，1366*768及以上分辨率，配备2G以上内存，2M以上有线宽带网络。</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定期对浏览器进行插件扫描，卸载不必要的插件。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定期对系统进行病毒检测。</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建议将竞价地址设置为浏览器可信站点，并严格按照CA安装手册等要求完成环境设置及测试。</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建议在竞价过程中，调低将系统安装的防火墙软件的安全保护级别至不影响系统性能的级别。</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在竞价过程中，请关闭其他与本次竞价无关的应用软件，特别是迅雷、BT等下载软件。</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竞价进入延时阶段后，报价请尽量提前，以免突发网络异常情况造成报价不成功而最终导致竞买失败。</w:t>
      </w:r>
    </w:p>
    <w:p>
      <w:pPr>
        <w:spacing w:line="579" w:lineRule="exact"/>
        <w:rPr>
          <w:rFonts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p>
    <w:p>
      <w:pPr>
        <w:spacing w:line="579" w:lineRule="exact"/>
        <w:ind w:firstLine="2880" w:firstLineChars="900"/>
        <w:rPr>
          <w:rFonts w:hint="eastAsia" w:ascii="微软雅黑" w:hAnsi="微软雅黑" w:eastAsia="微软雅黑" w:cs="微软雅黑"/>
          <w:color w:val="6E622E"/>
          <w:sz w:val="21"/>
          <w:szCs w:val="21"/>
        </w:rPr>
      </w:pPr>
      <w:r>
        <w:rPr>
          <w:rFonts w:ascii="Times New Roman" w:hAnsi="Times New Roman" w:eastAsia="仿宋_GB2312"/>
          <w:sz w:val="32"/>
          <w:szCs w:val="32"/>
        </w:rPr>
        <w:t>达州市卫生和计划生育监督执法支队</w:t>
      </w:r>
      <w:r>
        <w:rPr>
          <w:rFonts w:hint="eastAsia" w:ascii="Times New Roman" w:hAnsi="Times New Roman" w:eastAsia="仿宋_GB2312"/>
          <w:sz w:val="32"/>
          <w:szCs w:val="32"/>
        </w:rPr>
        <w:t xml:space="preserve"> </w:t>
      </w:r>
    </w:p>
    <w:p>
      <w:pPr>
        <w:spacing w:line="579" w:lineRule="exact"/>
        <w:ind w:firstLine="3520" w:firstLineChars="1100"/>
        <w:rPr>
          <w:rFonts w:ascii="Times New Roman" w:hAnsi="Times New Roman" w:eastAsia="仿宋_GB2312"/>
          <w:sz w:val="32"/>
          <w:szCs w:val="32"/>
        </w:rPr>
      </w:pPr>
      <w:r>
        <w:rPr>
          <w:rFonts w:ascii="Times New Roman" w:hAnsi="Times New Roman" w:eastAsia="仿宋_GB2312"/>
          <w:sz w:val="32"/>
          <w:szCs w:val="32"/>
        </w:rPr>
        <w:t>达州市公共资源交易服务中心</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日</w:t>
      </w:r>
    </w:p>
    <w:p>
      <w:pPr>
        <w:spacing w:line="578" w:lineRule="exact"/>
        <w:ind w:firstLine="640" w:firstLineChars="200"/>
        <w:rPr>
          <w:rFonts w:ascii="仿宋_GB2312" w:eastAsia="仿宋_GB2312"/>
          <w:sz w:val="32"/>
          <w:szCs w:val="32"/>
        </w:rPr>
        <w:sectPr>
          <w:footerReference r:id="rId3" w:type="default"/>
          <w:pgSz w:w="11906" w:h="16838"/>
          <w:pgMar w:top="1440" w:right="1800" w:bottom="1440" w:left="1800" w:header="851" w:footer="992" w:gutter="0"/>
          <w:pgNumType w:start="1"/>
          <w:cols w:space="720" w:num="1"/>
          <w:docGrid w:type="lines" w:linePitch="312" w:charSpace="0"/>
        </w:sectPr>
      </w:pPr>
      <w:bookmarkStart w:id="9" w:name="_GoBack"/>
      <w:bookmarkEnd w:id="9"/>
    </w:p>
    <w:p>
      <w:pPr>
        <w:spacing w:line="578" w:lineRule="exact"/>
        <w:rPr>
          <w:rFonts w:ascii="仿宋_GB2312" w:eastAsia="仿宋_GB2312"/>
          <w:sz w:val="32"/>
          <w:szCs w:val="32"/>
        </w:rPr>
      </w:pPr>
      <w:r>
        <w:rPr>
          <w:rFonts w:hint="eastAsia" w:ascii="仿宋_GB2312" w:eastAsia="仿宋_GB2312"/>
          <w:sz w:val="32"/>
          <w:szCs w:val="32"/>
        </w:rPr>
        <w:t>附件1</w:t>
      </w:r>
    </w:p>
    <w:p>
      <w:pPr>
        <w:spacing w:line="578" w:lineRule="exact"/>
        <w:jc w:val="center"/>
        <w:rPr>
          <w:rFonts w:ascii="仿宋_GB2312" w:eastAsia="仿宋_GB2312"/>
          <w:sz w:val="32"/>
          <w:szCs w:val="32"/>
        </w:rPr>
      </w:pPr>
      <w:r>
        <w:rPr>
          <w:rFonts w:hint="eastAsia" w:ascii="方正小标宋简体" w:eastAsia="方正小标宋简体"/>
          <w:sz w:val="44"/>
          <w:szCs w:val="44"/>
          <w:lang w:eastAsia="zh-CN"/>
        </w:rPr>
        <w:t>竞价</w:t>
      </w:r>
      <w:r>
        <w:rPr>
          <w:rFonts w:hint="eastAsia" w:ascii="方正小标宋简体" w:eastAsia="方正小标宋简体"/>
          <w:sz w:val="44"/>
          <w:szCs w:val="44"/>
        </w:rPr>
        <w:t>申请书（样本）</w:t>
      </w:r>
    </w:p>
    <w:p>
      <w:pPr>
        <w:spacing w:line="578" w:lineRule="exact"/>
        <w:rPr>
          <w:rFonts w:ascii="仿宋_GB2312" w:eastAsia="仿宋_GB2312"/>
          <w:sz w:val="32"/>
          <w:szCs w:val="32"/>
        </w:rPr>
      </w:pPr>
      <w:r>
        <w:rPr>
          <w:rFonts w:hint="eastAsia" w:ascii="仿宋_GB2312" w:eastAsia="仿宋_GB2312"/>
          <w:sz w:val="32"/>
          <w:szCs w:val="32"/>
        </w:rPr>
        <w:t>达州市公共资源交易服务中心：</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 xml:space="preserve"> 经认真阅读关于</w:t>
      </w:r>
      <w:r>
        <w:rPr>
          <w:rFonts w:hint="eastAsia" w:ascii="仿宋_GB2312" w:eastAsia="仿宋_GB2312"/>
          <w:sz w:val="32"/>
          <w:szCs w:val="32"/>
          <w:lang w:val="en-US" w:eastAsia="zh-CN"/>
        </w:rPr>
        <w:t>XXX资产</w:t>
      </w:r>
      <w:r>
        <w:rPr>
          <w:rFonts w:hint="eastAsia" w:ascii="仿宋_GB2312" w:eastAsia="仿宋_GB2312"/>
          <w:sz w:val="32"/>
          <w:szCs w:val="32"/>
        </w:rPr>
        <w:t>公开</w:t>
      </w:r>
      <w:r>
        <w:rPr>
          <w:rFonts w:hint="eastAsia" w:ascii="仿宋_GB2312" w:eastAsia="仿宋_GB2312"/>
          <w:sz w:val="32"/>
          <w:szCs w:val="32"/>
          <w:lang w:val="en-US" w:eastAsia="zh-CN"/>
        </w:rPr>
        <w:t>竞争性</w:t>
      </w:r>
      <w:r>
        <w:rPr>
          <w:rFonts w:hint="eastAsia" w:ascii="仿宋_GB2312" w:eastAsia="仿宋_GB2312"/>
          <w:sz w:val="32"/>
          <w:szCs w:val="32"/>
          <w:lang w:eastAsia="zh-CN"/>
        </w:rPr>
        <w:t>处置</w:t>
      </w:r>
      <w:r>
        <w:rPr>
          <w:rFonts w:hint="eastAsia" w:ascii="仿宋_GB2312" w:eastAsia="仿宋_GB2312"/>
          <w:sz w:val="32"/>
          <w:szCs w:val="32"/>
        </w:rPr>
        <w:t>相关资料并对其中</w:t>
      </w:r>
      <w:r>
        <w:rPr>
          <w:rFonts w:hint="eastAsia" w:ascii="仿宋_GB2312" w:eastAsia="仿宋_GB2312"/>
          <w:sz w:val="32"/>
          <w:szCs w:val="32"/>
          <w:lang w:eastAsia="zh-CN"/>
        </w:rPr>
        <w:t>竞价</w:t>
      </w:r>
      <w:r>
        <w:rPr>
          <w:rFonts w:hint="eastAsia" w:ascii="仿宋_GB2312" w:eastAsia="仿宋_GB2312"/>
          <w:sz w:val="32"/>
          <w:szCs w:val="32"/>
        </w:rPr>
        <w:t>资产实地察看后，我方完全接受并愿意遵守公告中的规定和要求，对公告及标的现状无异议。</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 xml:space="preserve"> 我方已按要求登录达州市公共资源交易服务中心网完成网上注册、网上报名, 网上递交资格申请材料，我方愿意按</w:t>
      </w:r>
      <w:r>
        <w:rPr>
          <w:rFonts w:hint="eastAsia" w:ascii="仿宋_GB2312" w:eastAsia="仿宋_GB2312"/>
          <w:sz w:val="32"/>
          <w:szCs w:val="32"/>
          <w:lang w:eastAsia="zh-CN"/>
        </w:rPr>
        <w:t>处置</w:t>
      </w:r>
      <w:r>
        <w:rPr>
          <w:rFonts w:hint="eastAsia" w:ascii="仿宋_GB2312" w:eastAsia="仿宋_GB2312"/>
          <w:sz w:val="32"/>
          <w:szCs w:val="32"/>
        </w:rPr>
        <w:t>公告的规定，交纳</w:t>
      </w:r>
      <w:r>
        <w:rPr>
          <w:rFonts w:hint="eastAsia" w:ascii="仿宋_GB2312" w:eastAsia="仿宋_GB2312"/>
          <w:sz w:val="32"/>
          <w:szCs w:val="32"/>
          <w:lang w:eastAsia="zh-CN"/>
        </w:rPr>
        <w:t>竞价</w:t>
      </w:r>
      <w:r>
        <w:rPr>
          <w:rFonts w:hint="eastAsia" w:ascii="仿宋_GB2312" w:eastAsia="仿宋_GB2312"/>
          <w:sz w:val="32"/>
          <w:szCs w:val="32"/>
        </w:rPr>
        <w:t>标的（名称：XXX）的</w:t>
      </w:r>
      <w:r>
        <w:rPr>
          <w:rFonts w:hint="eastAsia" w:ascii="仿宋_GB2312" w:eastAsia="仿宋_GB2312"/>
          <w:sz w:val="32"/>
          <w:szCs w:val="32"/>
          <w:lang w:eastAsia="zh-CN"/>
        </w:rPr>
        <w:t>竞价</w:t>
      </w:r>
      <w:r>
        <w:rPr>
          <w:rFonts w:hint="eastAsia" w:ascii="仿宋_GB2312" w:eastAsia="仿宋_GB2312"/>
          <w:sz w:val="32"/>
          <w:szCs w:val="32"/>
        </w:rPr>
        <w:t>保证金￥万元(大写人民币万元整)、</w:t>
      </w:r>
      <w:r>
        <w:rPr>
          <w:rFonts w:hint="eastAsia" w:ascii="仿宋_GB2312" w:eastAsia="仿宋_GB2312"/>
          <w:sz w:val="32"/>
          <w:szCs w:val="32"/>
          <w:lang w:eastAsia="zh-CN"/>
        </w:rPr>
        <w:t>竞价</w:t>
      </w:r>
      <w:r>
        <w:rPr>
          <w:rFonts w:hint="eastAsia" w:ascii="仿宋_GB2312" w:eastAsia="仿宋_GB2312"/>
          <w:sz w:val="32"/>
          <w:szCs w:val="32"/>
        </w:rPr>
        <w:t>标的（名称：XXX）的</w:t>
      </w:r>
      <w:r>
        <w:rPr>
          <w:rFonts w:hint="eastAsia" w:ascii="仿宋_GB2312" w:eastAsia="仿宋_GB2312"/>
          <w:sz w:val="32"/>
          <w:szCs w:val="32"/>
          <w:lang w:eastAsia="zh-CN"/>
        </w:rPr>
        <w:t>竞价</w:t>
      </w:r>
      <w:r>
        <w:rPr>
          <w:rFonts w:hint="eastAsia" w:ascii="仿宋_GB2312" w:eastAsia="仿宋_GB2312"/>
          <w:sz w:val="32"/>
          <w:szCs w:val="32"/>
        </w:rPr>
        <w:t>保证金￥万元(大写人民币万元整)……。现我方正式申请参加于年月日上午时分（北京时间）在达州市公共资源交易服务平台举行的公开</w:t>
      </w:r>
      <w:r>
        <w:rPr>
          <w:rFonts w:hint="eastAsia" w:ascii="仿宋_GB2312" w:eastAsia="仿宋_GB2312"/>
          <w:sz w:val="32"/>
          <w:szCs w:val="32"/>
          <w:lang w:val="en-US" w:eastAsia="zh-CN"/>
        </w:rPr>
        <w:t>竞争性</w:t>
      </w:r>
      <w:r>
        <w:rPr>
          <w:rFonts w:hint="eastAsia" w:ascii="仿宋_GB2312" w:eastAsia="仿宋_GB2312"/>
          <w:sz w:val="32"/>
          <w:szCs w:val="32"/>
          <w:lang w:eastAsia="zh-CN"/>
        </w:rPr>
        <w:t>处置</w:t>
      </w:r>
      <w:r>
        <w:rPr>
          <w:rFonts w:hint="eastAsia" w:ascii="仿宋_GB2312" w:eastAsia="仿宋_GB2312"/>
          <w:sz w:val="32"/>
          <w:szCs w:val="32"/>
        </w:rPr>
        <w:t>网上竞价。</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我方保证严格遵守网上竞价规定和完全履行</w:t>
      </w:r>
      <w:r>
        <w:rPr>
          <w:rFonts w:hint="eastAsia" w:ascii="仿宋_GB2312" w:eastAsia="仿宋_GB2312"/>
          <w:sz w:val="32"/>
          <w:szCs w:val="32"/>
          <w:lang w:eastAsia="zh-CN"/>
        </w:rPr>
        <w:t>处置</w:t>
      </w:r>
      <w:r>
        <w:rPr>
          <w:rFonts w:hint="eastAsia" w:ascii="仿宋_GB2312" w:eastAsia="仿宋_GB2312"/>
          <w:sz w:val="32"/>
          <w:szCs w:val="32"/>
        </w:rPr>
        <w:t>公告所载意向</w:t>
      </w:r>
      <w:r>
        <w:rPr>
          <w:rFonts w:hint="eastAsia" w:ascii="仿宋_GB2312" w:eastAsia="仿宋_GB2312"/>
          <w:sz w:val="32"/>
          <w:szCs w:val="32"/>
          <w:lang w:eastAsia="zh-CN"/>
        </w:rPr>
        <w:t>竞价</w:t>
      </w:r>
      <w:r>
        <w:rPr>
          <w:rFonts w:hint="eastAsia" w:ascii="仿宋_GB2312" w:eastAsia="仿宋_GB2312"/>
          <w:sz w:val="32"/>
          <w:szCs w:val="32"/>
        </w:rPr>
        <w:t>人的全部义务。若我方在公开</w:t>
      </w:r>
      <w:r>
        <w:rPr>
          <w:rFonts w:hint="eastAsia" w:ascii="仿宋_GB2312" w:eastAsia="仿宋_GB2312"/>
          <w:sz w:val="32"/>
          <w:szCs w:val="32"/>
          <w:lang w:eastAsia="zh-CN"/>
        </w:rPr>
        <w:t>处置</w:t>
      </w:r>
      <w:r>
        <w:rPr>
          <w:rFonts w:hint="eastAsia" w:ascii="仿宋_GB2312" w:eastAsia="仿宋_GB2312"/>
          <w:sz w:val="32"/>
          <w:szCs w:val="32"/>
        </w:rPr>
        <w:t>中以及网上竞价成交后，出现不能按期付款或有其他违约行为，我方愿意承担全部法律责任，并赔偿由此产生的全部损失。</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特此申请。</w:t>
      </w: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r>
        <w:rPr>
          <w:rFonts w:hint="eastAsia" w:ascii="仿宋_GB2312" w:eastAsia="仿宋_GB2312"/>
          <w:sz w:val="32"/>
          <w:szCs w:val="32"/>
        </w:rPr>
        <w:t>意向</w:t>
      </w:r>
      <w:r>
        <w:rPr>
          <w:rFonts w:hint="eastAsia" w:ascii="仿宋_GB2312" w:eastAsia="仿宋_GB2312"/>
          <w:sz w:val="32"/>
          <w:szCs w:val="32"/>
          <w:lang w:eastAsia="zh-CN"/>
        </w:rPr>
        <w:t>竞价</w:t>
      </w:r>
      <w:r>
        <w:rPr>
          <w:rFonts w:hint="eastAsia" w:ascii="仿宋_GB2312" w:eastAsia="仿宋_GB2312"/>
          <w:sz w:val="32"/>
          <w:szCs w:val="32"/>
        </w:rPr>
        <w:t>人：（签章）</w:t>
      </w: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联系电话：</w:t>
      </w: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                  年</w:t>
      </w:r>
      <w:r>
        <w:rPr>
          <w:rFonts w:hint="eastAsia" w:eastAsia="仿宋_GB2312"/>
          <w:sz w:val="32"/>
          <w:szCs w:val="32"/>
        </w:rPr>
        <w:t>  </w:t>
      </w:r>
      <w:r>
        <w:rPr>
          <w:rFonts w:hint="eastAsia" w:ascii="仿宋_GB2312" w:eastAsia="仿宋_GB2312"/>
          <w:sz w:val="32"/>
          <w:szCs w:val="32"/>
        </w:rPr>
        <w:t xml:space="preserve"> 月</w:t>
      </w:r>
      <w:r>
        <w:rPr>
          <w:rFonts w:hint="eastAsia" w:eastAsia="仿宋_GB2312"/>
          <w:sz w:val="32"/>
          <w:szCs w:val="32"/>
        </w:rPr>
        <w:t>  </w:t>
      </w:r>
      <w:r>
        <w:rPr>
          <w:rFonts w:hint="eastAsia" w:ascii="仿宋_GB2312" w:eastAsia="仿宋_GB2312"/>
          <w:sz w:val="32"/>
          <w:szCs w:val="32"/>
        </w:rPr>
        <w:t xml:space="preserve"> 日    </w:t>
      </w:r>
    </w:p>
    <w:p>
      <w:pPr>
        <w:widowControl/>
        <w:jc w:val="left"/>
        <w:rPr>
          <w:rFonts w:ascii="仿宋_GB2312" w:eastAsia="仿宋_GB2312"/>
          <w:sz w:val="32"/>
          <w:szCs w:val="32"/>
        </w:rPr>
      </w:pPr>
      <w:r>
        <w:rPr>
          <w:rFonts w:ascii="仿宋_GB2312" w:eastAsia="仿宋_GB2312"/>
          <w:sz w:val="32"/>
          <w:szCs w:val="32"/>
        </w:rPr>
        <w:br w:type="page"/>
      </w:r>
    </w:p>
    <w:p>
      <w:pPr>
        <w:spacing w:line="578" w:lineRule="exact"/>
        <w:rPr>
          <w:rFonts w:ascii="仿宋_GB2312" w:eastAsia="仿宋_GB2312"/>
          <w:sz w:val="32"/>
          <w:szCs w:val="32"/>
        </w:rPr>
      </w:pPr>
      <w:r>
        <w:rPr>
          <w:rFonts w:hint="eastAsia" w:ascii="仿宋_GB2312" w:eastAsia="仿宋_GB2312"/>
          <w:sz w:val="32"/>
          <w:szCs w:val="32"/>
        </w:rPr>
        <w:t>附件2</w:t>
      </w:r>
      <w:r>
        <w:rPr>
          <w:rFonts w:hint="eastAsia" w:eastAsia="仿宋_GB2312"/>
          <w:sz w:val="32"/>
          <w:szCs w:val="32"/>
        </w:rPr>
        <w:t> </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授 权 委 托 书</w:t>
      </w: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本授权声明：</w:t>
      </w:r>
      <w:r>
        <w:rPr>
          <w:rFonts w:hint="eastAsia" w:eastAsia="仿宋_GB2312"/>
          <w:sz w:val="32"/>
          <w:szCs w:val="32"/>
        </w:rPr>
        <w:t>               </w:t>
      </w:r>
      <w:r>
        <w:rPr>
          <w:rFonts w:hint="eastAsia" w:ascii="仿宋_GB2312" w:eastAsia="仿宋_GB2312"/>
          <w:sz w:val="32"/>
          <w:szCs w:val="32"/>
        </w:rPr>
        <w:t>（意向</w:t>
      </w:r>
      <w:r>
        <w:rPr>
          <w:rFonts w:hint="eastAsia" w:ascii="仿宋_GB2312" w:eastAsia="仿宋_GB2312"/>
          <w:sz w:val="32"/>
          <w:szCs w:val="32"/>
          <w:lang w:eastAsia="zh-CN"/>
        </w:rPr>
        <w:t>竞价</w:t>
      </w:r>
      <w:r>
        <w:rPr>
          <w:rFonts w:hint="eastAsia" w:ascii="仿宋_GB2312" w:eastAsia="仿宋_GB2312"/>
          <w:sz w:val="32"/>
          <w:szCs w:val="32"/>
        </w:rPr>
        <w:t>人名称）</w:t>
      </w:r>
      <w:r>
        <w:rPr>
          <w:rFonts w:hint="eastAsia" w:eastAsia="仿宋_GB2312"/>
          <w:sz w:val="32"/>
          <w:szCs w:val="32"/>
        </w:rPr>
        <w:t>          </w:t>
      </w:r>
      <w:r>
        <w:rPr>
          <w:rFonts w:hint="eastAsia" w:ascii="仿宋_GB2312" w:eastAsia="仿宋_GB2312"/>
          <w:sz w:val="32"/>
          <w:szCs w:val="32"/>
        </w:rPr>
        <w:t>（法定代表人（负责人）姓名、职务）授权</w:t>
      </w:r>
      <w:r>
        <w:rPr>
          <w:rFonts w:hint="eastAsia" w:eastAsia="仿宋_GB2312"/>
          <w:sz w:val="32"/>
          <w:szCs w:val="32"/>
        </w:rPr>
        <w:t>                </w:t>
      </w:r>
      <w:r>
        <w:rPr>
          <w:rFonts w:hint="eastAsia" w:ascii="仿宋_GB2312" w:eastAsia="仿宋_GB2312"/>
          <w:sz w:val="32"/>
          <w:szCs w:val="32"/>
        </w:rPr>
        <w:t>（被授权人姓名、职务）为我方</w:t>
      </w:r>
      <w:r>
        <w:rPr>
          <w:rFonts w:hint="eastAsia" w:eastAsia="仿宋_GB2312"/>
          <w:sz w:val="32"/>
          <w:szCs w:val="32"/>
        </w:rPr>
        <w:t> </w:t>
      </w:r>
      <w:r>
        <w:rPr>
          <w:rFonts w:hint="eastAsia" w:ascii="仿宋_GB2312" w:eastAsia="仿宋_GB2312"/>
          <w:sz w:val="32"/>
          <w:szCs w:val="32"/>
        </w:rPr>
        <w:t>“</w:t>
      </w:r>
      <w:r>
        <w:rPr>
          <w:rFonts w:hint="eastAsia" w:eastAsia="仿宋_GB2312"/>
          <w:sz w:val="32"/>
          <w:szCs w:val="32"/>
        </w:rPr>
        <w:t>              </w:t>
      </w:r>
      <w:r>
        <w:rPr>
          <w:rFonts w:hint="eastAsia" w:ascii="仿宋_GB2312" w:eastAsia="仿宋_GB2312"/>
          <w:sz w:val="32"/>
          <w:szCs w:val="32"/>
        </w:rPr>
        <w:t>” 项目网上竞价的合法代表，以我方名义全权处理该项目有关网上竞价、签订成交确认书、</w:t>
      </w:r>
      <w:r>
        <w:rPr>
          <w:rFonts w:hint="eastAsia" w:ascii="仿宋_GB2312" w:eastAsia="仿宋_GB2312"/>
          <w:sz w:val="32"/>
          <w:szCs w:val="32"/>
          <w:lang w:val="en-US" w:eastAsia="zh-CN"/>
        </w:rPr>
        <w:t>成交</w:t>
      </w:r>
      <w:r>
        <w:rPr>
          <w:rFonts w:hint="eastAsia" w:ascii="仿宋_GB2312" w:eastAsia="仿宋_GB2312"/>
          <w:sz w:val="32"/>
          <w:szCs w:val="32"/>
        </w:rPr>
        <w:t>合同以及执行合同等一切事宜。</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特此声明。</w:t>
      </w:r>
    </w:p>
    <w:p>
      <w:pPr>
        <w:spacing w:line="578" w:lineRule="exact"/>
        <w:ind w:firstLine="640" w:firstLineChars="200"/>
        <w:rPr>
          <w:rFonts w:ascii="仿宋_GB2312" w:eastAsia="仿宋_GB2312"/>
          <w:sz w:val="32"/>
          <w:szCs w:val="32"/>
        </w:rPr>
      </w:pP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法定代表人（负责人）：</w:t>
      </w:r>
      <w:r>
        <w:rPr>
          <w:rFonts w:hint="eastAsia" w:eastAsia="仿宋_GB2312"/>
          <w:sz w:val="32"/>
          <w:szCs w:val="32"/>
        </w:rPr>
        <w:t>   </w:t>
      </w:r>
      <w:r>
        <w:rPr>
          <w:rFonts w:hint="eastAsia" w:ascii="仿宋_GB2312" w:eastAsia="仿宋_GB2312"/>
          <w:sz w:val="32"/>
          <w:szCs w:val="32"/>
        </w:rPr>
        <w:t>（签章）</w:t>
      </w: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授权代表：</w:t>
      </w:r>
      <w:r>
        <w:rPr>
          <w:rFonts w:hint="eastAsia" w:eastAsia="仿宋_GB2312"/>
          <w:sz w:val="32"/>
          <w:szCs w:val="32"/>
        </w:rPr>
        <w:t>     </w:t>
      </w:r>
      <w:r>
        <w:rPr>
          <w:rFonts w:hint="eastAsia" w:ascii="仿宋_GB2312" w:eastAsia="仿宋_GB2312"/>
          <w:sz w:val="32"/>
          <w:szCs w:val="32"/>
        </w:rPr>
        <w:t>（签章）</w:t>
      </w: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日</w:t>
      </w:r>
      <w:r>
        <w:rPr>
          <w:rFonts w:hint="eastAsia" w:eastAsia="仿宋_GB2312"/>
          <w:sz w:val="32"/>
          <w:szCs w:val="32"/>
        </w:rPr>
        <w:t>  </w:t>
      </w:r>
      <w:r>
        <w:rPr>
          <w:rFonts w:hint="eastAsia" w:ascii="仿宋_GB2312" w:eastAsia="仿宋_GB2312"/>
          <w:sz w:val="32"/>
          <w:szCs w:val="32"/>
        </w:rPr>
        <w:t>期：年月日</w:t>
      </w: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p>
    <w:bookmarkEnd w:id="0"/>
    <w:bookmarkEnd w:id="1"/>
    <w:bookmarkEnd w:id="2"/>
    <w:bookmarkEnd w:id="3"/>
    <w:bookmarkEnd w:id="4"/>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p>
    <w:p>
      <w:pPr>
        <w:spacing w:line="578" w:lineRule="exact"/>
        <w:rPr>
          <w:rFonts w:ascii="仿宋_GB2312" w:eastAsia="仿宋_GB2312"/>
          <w:sz w:val="32"/>
          <w:szCs w:val="32"/>
        </w:rPr>
      </w:pPr>
    </w:p>
    <w:p>
      <w:pPr>
        <w:spacing w:line="578" w:lineRule="exact"/>
        <w:rPr>
          <w:rFonts w:ascii="仿宋_GB2312" w:eastAsia="仿宋_GB2312"/>
          <w:sz w:val="32"/>
          <w:szCs w:val="32"/>
        </w:rPr>
      </w:pPr>
      <w:r>
        <w:rPr>
          <w:rFonts w:hint="eastAsia" w:ascii="仿宋_GB2312" w:eastAsia="仿宋_GB2312"/>
          <w:sz w:val="32"/>
          <w:szCs w:val="32"/>
        </w:rPr>
        <w:t>附件3</w:t>
      </w:r>
    </w:p>
    <w:bookmarkEnd w:id="5"/>
    <w:bookmarkEnd w:id="6"/>
    <w:bookmarkEnd w:id="7"/>
    <w:bookmarkEnd w:id="8"/>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达州市</w:t>
      </w:r>
      <w:r>
        <w:rPr>
          <w:rFonts w:hint="eastAsia" w:ascii="方正小标宋简体" w:eastAsia="方正小标宋简体"/>
          <w:sz w:val="44"/>
          <w:szCs w:val="44"/>
          <w:lang w:eastAsia="zh-CN"/>
        </w:rPr>
        <w:t>卫生和计划生育监督执法</w:t>
      </w:r>
      <w:r>
        <w:rPr>
          <w:rFonts w:hint="eastAsia" w:ascii="方正小标宋简体" w:eastAsia="方正小标宋简体"/>
          <w:sz w:val="44"/>
          <w:szCs w:val="44"/>
        </w:rPr>
        <w:t>支队</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lang w:eastAsia="zh-CN"/>
        </w:rPr>
        <w:t>固定资产</w:t>
      </w:r>
      <w:r>
        <w:rPr>
          <w:rFonts w:hint="eastAsia" w:ascii="方正小标宋简体" w:eastAsia="方正小标宋简体"/>
          <w:sz w:val="44"/>
          <w:szCs w:val="44"/>
        </w:rPr>
        <w:t>报废处置协议</w:t>
      </w:r>
    </w:p>
    <w:p>
      <w:pPr>
        <w:pStyle w:val="4"/>
        <w:adjustRightInd w:val="0"/>
        <w:snapToGrid w:val="0"/>
        <w:spacing w:line="578" w:lineRule="exact"/>
        <w:rPr>
          <w:rFonts w:ascii="仿宋" w:hAnsi="仿宋" w:eastAsia="仿宋"/>
          <w:color w:val="0D0D0D" w:themeColor="text1" w:themeTint="F2"/>
          <w:sz w:val="30"/>
          <w:szCs w:val="30"/>
          <w14:textFill>
            <w14:solidFill>
              <w14:schemeClr w14:val="tx1">
                <w14:lumMod w14:val="95000"/>
                <w14:lumOff w14:val="5000"/>
              </w14:schemeClr>
            </w14:solidFill>
          </w14:textFill>
        </w:rPr>
      </w:pPr>
    </w:p>
    <w:p>
      <w:pPr>
        <w:adjustRightInd w:val="0"/>
        <w:snapToGrid w:val="0"/>
        <w:spacing w:line="578" w:lineRule="exact"/>
        <w:ind w:right="-19" w:rightChars="-9"/>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甲方：</w:t>
      </w:r>
      <w:r>
        <w:rPr>
          <w:rFonts w:hint="eastAsia" w:ascii="仿宋" w:hAnsi="仿宋" w:eastAsia="仿宋"/>
          <w:color w:val="0D0D0D" w:themeColor="text1" w:themeTint="F2"/>
          <w:sz w:val="30"/>
          <w:szCs w:val="30"/>
          <w:lang w:eastAsia="zh-CN"/>
          <w14:textFill>
            <w14:solidFill>
              <w14:schemeClr w14:val="tx1">
                <w14:lumMod w14:val="95000"/>
                <w14:lumOff w14:val="5000"/>
              </w14:schemeClr>
            </w14:solidFill>
          </w14:textFill>
        </w:rPr>
        <w:t>达州市卫生和计划生育监督执法支队</w:t>
      </w:r>
      <w:r>
        <w:rPr>
          <w:rFonts w:ascii="仿宋" w:hAnsi="仿宋" w:eastAsia="仿宋"/>
          <w:color w:val="0D0D0D" w:themeColor="text1" w:themeTint="F2"/>
          <w:sz w:val="30"/>
          <w:szCs w:val="30"/>
          <w14:textFill>
            <w14:solidFill>
              <w14:schemeClr w14:val="tx1">
                <w14:lumMod w14:val="95000"/>
                <w14:lumOff w14:val="5000"/>
              </w14:schemeClr>
            </w14:solidFill>
          </w14:textFill>
        </w:rPr>
        <w:t>（简称：出售人）</w:t>
      </w:r>
    </w:p>
    <w:p>
      <w:pPr>
        <w:adjustRightInd w:val="0"/>
        <w:snapToGrid w:val="0"/>
        <w:spacing w:line="578" w:lineRule="exact"/>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乙方：                    （简称：买受人）</w:t>
      </w:r>
    </w:p>
    <w:p>
      <w:pPr>
        <w:adjustRightInd w:val="0"/>
        <w:snapToGrid w:val="0"/>
        <w:spacing w:line="578" w:lineRule="exact"/>
        <w:rPr>
          <w:rFonts w:ascii="仿宋" w:hAnsi="仿宋" w:eastAsia="仿宋"/>
          <w:color w:val="0D0D0D" w:themeColor="text1" w:themeTint="F2"/>
          <w:sz w:val="30"/>
          <w:szCs w:val="30"/>
          <w:u w:val="single"/>
          <w14:textFill>
            <w14:solidFill>
              <w14:schemeClr w14:val="tx1">
                <w14:lumMod w14:val="95000"/>
                <w14:lumOff w14:val="5000"/>
              </w14:schemeClr>
            </w14:solidFill>
          </w14:textFill>
        </w:rPr>
      </w:pPr>
    </w:p>
    <w:p>
      <w:pPr>
        <w:adjustRightInd w:val="0"/>
        <w:snapToGrid w:val="0"/>
        <w:spacing w:line="578" w:lineRule="exact"/>
        <w:ind w:firstLine="600" w:firstLineChars="2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年</w:t>
      </w:r>
      <w:r>
        <w:rPr>
          <w:rFonts w:hint="eastAsia" w:ascii="仿宋" w:hAnsi="仿宋" w:eastAsia="仿宋"/>
          <w:color w:val="0D0D0D" w:themeColor="text1" w:themeTint="F2"/>
          <w:sz w:val="30"/>
          <w:szCs w:val="30"/>
          <w14:textFill>
            <w14:solidFill>
              <w14:schemeClr w14:val="tx1">
                <w14:lumMod w14:val="95000"/>
                <w14:lumOff w14:val="5000"/>
              </w14:schemeClr>
            </w14:solidFill>
          </w14:textFill>
        </w:rPr>
        <w:t xml:space="preserve">  </w:t>
      </w:r>
      <w:r>
        <w:rPr>
          <w:rFonts w:ascii="仿宋" w:hAnsi="仿宋" w:eastAsia="仿宋"/>
          <w:color w:val="0D0D0D" w:themeColor="text1" w:themeTint="F2"/>
          <w:sz w:val="30"/>
          <w:szCs w:val="30"/>
          <w14:textFill>
            <w14:solidFill>
              <w14:schemeClr w14:val="tx1">
                <w14:lumMod w14:val="95000"/>
                <w14:lumOff w14:val="5000"/>
              </w14:schemeClr>
            </w14:solidFill>
          </w14:textFill>
        </w:rPr>
        <w:t>月</w:t>
      </w:r>
      <w:r>
        <w:rPr>
          <w:rFonts w:hint="eastAsia" w:ascii="仿宋" w:hAnsi="仿宋" w:eastAsia="仿宋"/>
          <w:color w:val="0D0D0D" w:themeColor="text1" w:themeTint="F2"/>
          <w:sz w:val="30"/>
          <w:szCs w:val="30"/>
          <w14:textFill>
            <w14:solidFill>
              <w14:schemeClr w14:val="tx1">
                <w14:lumMod w14:val="95000"/>
                <w14:lumOff w14:val="5000"/>
              </w14:schemeClr>
            </w14:solidFill>
          </w14:textFill>
        </w:rPr>
        <w:t xml:space="preserve">  </w:t>
      </w:r>
      <w:r>
        <w:rPr>
          <w:rFonts w:ascii="仿宋" w:hAnsi="仿宋" w:eastAsia="仿宋"/>
          <w:color w:val="0D0D0D" w:themeColor="text1" w:themeTint="F2"/>
          <w:sz w:val="30"/>
          <w:szCs w:val="30"/>
          <w14:textFill>
            <w14:solidFill>
              <w14:schemeClr w14:val="tx1">
                <w14:lumMod w14:val="95000"/>
                <w14:lumOff w14:val="5000"/>
              </w14:schemeClr>
            </w14:solidFill>
          </w14:textFill>
        </w:rPr>
        <w:t>日在达州市公共资源交易服务中心进行电子竞价，乙方以最高应价且达到保留价成为买受人。双方本着诚实守信，协商一致的原则，达成如下协议。</w:t>
      </w:r>
    </w:p>
    <w:p>
      <w:pPr>
        <w:adjustRightInd w:val="0"/>
        <w:snapToGrid w:val="0"/>
        <w:spacing w:line="578" w:lineRule="exact"/>
        <w:rPr>
          <w:rFonts w:ascii="仿宋" w:hAnsi="仿宋" w:eastAsia="仿宋" w:cs="方正黑体简体"/>
          <w:color w:val="0D0D0D" w:themeColor="text1" w:themeTint="F2"/>
          <w:sz w:val="30"/>
          <w:szCs w:val="30"/>
          <w14:textFill>
            <w14:solidFill>
              <w14:schemeClr w14:val="tx1">
                <w14:lumMod w14:val="95000"/>
                <w14:lumOff w14:val="5000"/>
              </w14:schemeClr>
            </w14:solidFill>
          </w14:textFill>
        </w:rPr>
      </w:pPr>
      <w:r>
        <w:rPr>
          <w:rFonts w:hint="eastAsia" w:ascii="仿宋" w:hAnsi="仿宋" w:eastAsia="仿宋" w:cs="方正黑体简体"/>
          <w:color w:val="0D0D0D" w:themeColor="text1" w:themeTint="F2"/>
          <w:sz w:val="30"/>
          <w:szCs w:val="30"/>
          <w14:textFill>
            <w14:solidFill>
              <w14:schemeClr w14:val="tx1">
                <w14:lumMod w14:val="95000"/>
                <w14:lumOff w14:val="5000"/>
              </w14:schemeClr>
            </w14:solidFill>
          </w14:textFill>
        </w:rPr>
        <w:t xml:space="preserve">   一、标的名称</w:t>
      </w:r>
    </w:p>
    <w:p>
      <w:pPr>
        <w:pStyle w:val="14"/>
        <w:spacing w:line="578" w:lineRule="exact"/>
        <w:ind w:left="420" w:firstLine="0" w:firstLineChars="0"/>
        <w:jc w:val="left"/>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hint="eastAsia" w:ascii="仿宋" w:hAnsi="仿宋" w:eastAsia="仿宋"/>
          <w:color w:val="0D0D0D" w:themeColor="text1" w:themeTint="F2"/>
          <w:sz w:val="30"/>
          <w:szCs w:val="30"/>
          <w14:textFill>
            <w14:solidFill>
              <w14:schemeClr w14:val="tx1">
                <w14:lumMod w14:val="95000"/>
                <w14:lumOff w14:val="5000"/>
              </w14:schemeClr>
            </w14:solidFill>
          </w14:textFill>
        </w:rPr>
        <w:t>二、</w:t>
      </w:r>
      <w:r>
        <w:rPr>
          <w:rFonts w:hint="eastAsia" w:ascii="仿宋" w:hAnsi="仿宋" w:eastAsia="仿宋"/>
          <w:color w:val="0D0D0D" w:themeColor="text1" w:themeTint="F2"/>
          <w:sz w:val="30"/>
          <w:szCs w:val="30"/>
          <w:lang w:eastAsia="zh-CN"/>
          <w14:textFill>
            <w14:solidFill>
              <w14:schemeClr w14:val="tx1">
                <w14:lumMod w14:val="95000"/>
                <w14:lumOff w14:val="5000"/>
              </w14:schemeClr>
            </w14:solidFill>
          </w14:textFill>
        </w:rPr>
        <w:t>达州市卫生和计划生育监督执法支队电子设备</w:t>
      </w:r>
      <w:r>
        <w:rPr>
          <w:rFonts w:hint="eastAsia" w:ascii="仿宋" w:hAnsi="仿宋" w:eastAsia="仿宋"/>
          <w:color w:val="0D0D0D" w:themeColor="text1" w:themeTint="F2"/>
          <w:sz w:val="30"/>
          <w:szCs w:val="30"/>
          <w14:textFill>
            <w14:solidFill>
              <w14:schemeClr w14:val="tx1">
                <w14:lumMod w14:val="95000"/>
                <w14:lumOff w14:val="5000"/>
              </w14:schemeClr>
            </w14:solidFill>
          </w14:textFill>
        </w:rPr>
        <w:t>报废处置</w:t>
      </w:r>
    </w:p>
    <w:p>
      <w:pPr>
        <w:pStyle w:val="14"/>
        <w:spacing w:line="578" w:lineRule="exact"/>
        <w:ind w:left="420" w:firstLine="0" w:firstLineChars="0"/>
        <w:jc w:val="left"/>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hint="eastAsia" w:ascii="仿宋" w:hAnsi="仿宋" w:eastAsia="仿宋" w:cs="方正黑体简体"/>
          <w:color w:val="0D0D0D" w:themeColor="text1" w:themeTint="F2"/>
          <w:sz w:val="30"/>
          <w:szCs w:val="30"/>
          <w14:textFill>
            <w14:solidFill>
              <w14:schemeClr w14:val="tx1">
                <w14:lumMod w14:val="95000"/>
                <w14:lumOff w14:val="5000"/>
              </w14:schemeClr>
            </w14:solidFill>
          </w14:textFill>
        </w:rPr>
        <w:t>三、成交价款及支付方式</w:t>
      </w:r>
    </w:p>
    <w:p>
      <w:pPr>
        <w:adjustRightInd w:val="0"/>
        <w:snapToGrid w:val="0"/>
        <w:spacing w:line="578" w:lineRule="exact"/>
        <w:ind w:firstLine="300" w:firstLineChars="1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（一）乙方竞买的（标的）成交价款为：万元（大写：）。并不得以实际移交时的质量、数量及形状的差异而增减成交价款。</w:t>
      </w:r>
    </w:p>
    <w:p>
      <w:pPr>
        <w:adjustRightInd w:val="0"/>
        <w:snapToGrid w:val="0"/>
        <w:spacing w:line="578" w:lineRule="exact"/>
        <w:ind w:firstLine="300" w:firstLineChars="1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（二）付款方式：合同生效后</w:t>
      </w:r>
      <w:r>
        <w:rPr>
          <w:rFonts w:hint="eastAsia" w:ascii="仿宋" w:hAnsi="仿宋" w:eastAsia="仿宋"/>
          <w:color w:val="0D0D0D" w:themeColor="text1" w:themeTint="F2"/>
          <w:sz w:val="30"/>
          <w:szCs w:val="30"/>
          <w14:textFill>
            <w14:solidFill>
              <w14:schemeClr w14:val="tx1">
                <w14:lumMod w14:val="95000"/>
                <w14:lumOff w14:val="5000"/>
              </w14:schemeClr>
            </w14:solidFill>
          </w14:textFill>
        </w:rPr>
        <w:t>5</w:t>
      </w:r>
      <w:r>
        <w:rPr>
          <w:rFonts w:ascii="仿宋" w:hAnsi="仿宋" w:eastAsia="仿宋"/>
          <w:color w:val="0D0D0D" w:themeColor="text1" w:themeTint="F2"/>
          <w:sz w:val="30"/>
          <w:szCs w:val="30"/>
          <w14:textFill>
            <w14:solidFill>
              <w14:schemeClr w14:val="tx1">
                <w14:lumMod w14:val="95000"/>
                <w14:lumOff w14:val="5000"/>
              </w14:schemeClr>
            </w14:solidFill>
          </w14:textFill>
        </w:rPr>
        <w:t>个工作日内，买受人须将标的全部成交价款交到甲方指定账上，如逾期视为违约，竞价保证金不退还。</w:t>
      </w:r>
    </w:p>
    <w:p>
      <w:pPr>
        <w:adjustRightInd w:val="0"/>
        <w:snapToGrid w:val="0"/>
        <w:spacing w:line="578" w:lineRule="exact"/>
        <w:ind w:firstLine="300" w:firstLineChars="100"/>
        <w:rPr>
          <w:rFonts w:ascii="仿宋" w:hAnsi="仿宋" w:eastAsia="仿宋" w:cs="方正黑体简体"/>
          <w:color w:val="0D0D0D" w:themeColor="text1" w:themeTint="F2"/>
          <w:sz w:val="30"/>
          <w:szCs w:val="30"/>
          <w14:textFill>
            <w14:solidFill>
              <w14:schemeClr w14:val="tx1">
                <w14:lumMod w14:val="95000"/>
                <w14:lumOff w14:val="5000"/>
              </w14:schemeClr>
            </w14:solidFill>
          </w14:textFill>
        </w:rPr>
      </w:pPr>
      <w:r>
        <w:rPr>
          <w:rFonts w:hint="eastAsia" w:ascii="仿宋" w:hAnsi="仿宋" w:eastAsia="仿宋" w:cs="方正黑体简体"/>
          <w:color w:val="0D0D0D" w:themeColor="text1" w:themeTint="F2"/>
          <w:sz w:val="30"/>
          <w:szCs w:val="30"/>
          <w14:textFill>
            <w14:solidFill>
              <w14:schemeClr w14:val="tx1">
                <w14:lumMod w14:val="95000"/>
                <w14:lumOff w14:val="5000"/>
              </w14:schemeClr>
            </w14:solidFill>
          </w14:textFill>
        </w:rPr>
        <w:t>三、标的移交事宜</w:t>
      </w:r>
    </w:p>
    <w:p>
      <w:pPr>
        <w:adjustRightInd w:val="0"/>
        <w:snapToGrid w:val="0"/>
        <w:spacing w:line="578" w:lineRule="exact"/>
        <w:ind w:firstLine="300" w:firstLineChars="1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（一）甲方在乙方将标的的全额成交价款付清后</w:t>
      </w:r>
      <w:r>
        <w:rPr>
          <w:rFonts w:hint="eastAsia" w:ascii="仿宋" w:hAnsi="仿宋" w:eastAsia="仿宋"/>
          <w:color w:val="0D0D0D" w:themeColor="text1" w:themeTint="F2"/>
          <w:sz w:val="30"/>
          <w:szCs w:val="30"/>
          <w14:textFill>
            <w14:solidFill>
              <w14:schemeClr w14:val="tx1">
                <w14:lumMod w14:val="95000"/>
                <w14:lumOff w14:val="5000"/>
              </w14:schemeClr>
            </w14:solidFill>
          </w14:textFill>
        </w:rPr>
        <w:t>5</w:t>
      </w:r>
      <w:r>
        <w:rPr>
          <w:rFonts w:ascii="仿宋" w:hAnsi="仿宋" w:eastAsia="仿宋"/>
          <w:color w:val="0D0D0D" w:themeColor="text1" w:themeTint="F2"/>
          <w:sz w:val="30"/>
          <w:szCs w:val="30"/>
          <w14:textFill>
            <w14:solidFill>
              <w14:schemeClr w14:val="tx1">
                <w14:lumMod w14:val="95000"/>
                <w14:lumOff w14:val="5000"/>
              </w14:schemeClr>
            </w14:solidFill>
          </w14:textFill>
        </w:rPr>
        <w:t>个工作日于标的所在地（详见清单）移交标的。</w:t>
      </w:r>
    </w:p>
    <w:p>
      <w:pPr>
        <w:adjustRightInd w:val="0"/>
        <w:snapToGrid w:val="0"/>
        <w:spacing w:line="578" w:lineRule="exact"/>
        <w:ind w:firstLine="300" w:firstLineChars="1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 xml:space="preserve">（二）甲、乙双方约定 </w:t>
      </w:r>
    </w:p>
    <w:p>
      <w:pPr>
        <w:adjustRightInd w:val="0"/>
        <w:snapToGrid w:val="0"/>
        <w:spacing w:line="578" w:lineRule="exact"/>
        <w:ind w:firstLine="300" w:firstLineChars="1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（1）乙方必须聘请公司，对甲方现场人员指定的标的物进行拆卸和搬迁，拆卸和搬迁全部费用由乙方负责；</w:t>
      </w:r>
    </w:p>
    <w:p>
      <w:pPr>
        <w:adjustRightInd w:val="0"/>
        <w:snapToGrid w:val="0"/>
        <w:spacing w:line="578" w:lineRule="exact"/>
        <w:ind w:firstLine="300" w:firstLineChars="1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（2）乙方保证做到文明拆卸和搬迁，所有人员及运输车辆必须严格遵守甲方安全管理指导</w:t>
      </w:r>
      <w:r>
        <w:rPr>
          <w:rFonts w:hint="eastAsia" w:ascii="仿宋" w:hAnsi="仿宋" w:eastAsia="仿宋"/>
          <w:color w:val="0D0D0D" w:themeColor="text1" w:themeTint="F2"/>
          <w:sz w:val="30"/>
          <w:szCs w:val="30"/>
          <w14:textFill>
            <w14:solidFill>
              <w14:schemeClr w14:val="tx1">
                <w14:lumMod w14:val="95000"/>
                <w14:lumOff w14:val="5000"/>
              </w14:schemeClr>
            </w14:solidFill>
          </w14:textFill>
        </w:rPr>
        <w:t>。</w:t>
      </w:r>
    </w:p>
    <w:p>
      <w:pPr>
        <w:adjustRightInd w:val="0"/>
        <w:snapToGrid w:val="0"/>
        <w:spacing w:line="578" w:lineRule="exact"/>
        <w:ind w:firstLine="300" w:firstLineChars="1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（3）在拆卸和搬迁标的过程中不得破坏现有库房、场地及其他有关设施，若有损坏，须照价赔偿或按原状修复；</w:t>
      </w:r>
    </w:p>
    <w:p>
      <w:pPr>
        <w:adjustRightInd w:val="0"/>
        <w:snapToGrid w:val="0"/>
        <w:spacing w:line="578" w:lineRule="exact"/>
        <w:ind w:firstLine="300" w:firstLineChars="1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（4）乙方必须在 5个工作日内将标的拆卸和搬迁完毕并清场，不得遗留垃圾，逾期造成的损失概由乙方负责，且视为乙方放弃标的所有权，甲方有权收回标的另行处理，并不退还合同价款。</w:t>
      </w:r>
    </w:p>
    <w:p>
      <w:pPr>
        <w:adjustRightInd w:val="0"/>
        <w:snapToGrid w:val="0"/>
        <w:spacing w:line="578" w:lineRule="exact"/>
        <w:ind w:firstLine="600" w:firstLineChars="200"/>
        <w:rPr>
          <w:rFonts w:ascii="仿宋" w:hAnsi="仿宋" w:eastAsia="仿宋" w:cs="方正黑体简体"/>
          <w:color w:val="0D0D0D" w:themeColor="text1" w:themeTint="F2"/>
          <w:sz w:val="30"/>
          <w:szCs w:val="30"/>
          <w14:textFill>
            <w14:solidFill>
              <w14:schemeClr w14:val="tx1">
                <w14:lumMod w14:val="95000"/>
                <w14:lumOff w14:val="5000"/>
              </w14:schemeClr>
            </w14:solidFill>
          </w14:textFill>
        </w:rPr>
      </w:pPr>
      <w:r>
        <w:rPr>
          <w:rFonts w:hint="eastAsia" w:ascii="仿宋" w:hAnsi="仿宋" w:eastAsia="仿宋" w:cs="方正黑体简体"/>
          <w:color w:val="0D0D0D" w:themeColor="text1" w:themeTint="F2"/>
          <w:sz w:val="30"/>
          <w:szCs w:val="30"/>
          <w14:textFill>
            <w14:solidFill>
              <w14:schemeClr w14:val="tx1">
                <w14:lumMod w14:val="95000"/>
                <w14:lumOff w14:val="5000"/>
              </w14:schemeClr>
            </w14:solidFill>
          </w14:textFill>
        </w:rPr>
        <w:t>四、税费缴纳</w:t>
      </w:r>
    </w:p>
    <w:p>
      <w:pPr>
        <w:adjustRightInd w:val="0"/>
        <w:snapToGrid w:val="0"/>
        <w:spacing w:line="578" w:lineRule="exact"/>
        <w:ind w:firstLine="600" w:firstLineChars="2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甲、乙双方按国家相关政策规定各自承担标的出售转让发生的税费。</w:t>
      </w:r>
    </w:p>
    <w:p>
      <w:pPr>
        <w:adjustRightInd w:val="0"/>
        <w:snapToGrid w:val="0"/>
        <w:spacing w:line="578" w:lineRule="exact"/>
        <w:ind w:firstLine="600" w:firstLineChars="200"/>
        <w:rPr>
          <w:rFonts w:ascii="仿宋" w:hAnsi="仿宋" w:eastAsia="仿宋" w:cs="方正黑体简体"/>
          <w:color w:val="0D0D0D" w:themeColor="text1" w:themeTint="F2"/>
          <w:sz w:val="30"/>
          <w:szCs w:val="30"/>
          <w14:textFill>
            <w14:solidFill>
              <w14:schemeClr w14:val="tx1">
                <w14:lumMod w14:val="95000"/>
                <w14:lumOff w14:val="5000"/>
              </w14:schemeClr>
            </w14:solidFill>
          </w14:textFill>
        </w:rPr>
      </w:pPr>
      <w:r>
        <w:rPr>
          <w:rFonts w:hint="eastAsia" w:ascii="仿宋" w:hAnsi="仿宋" w:eastAsia="仿宋" w:cs="方正黑体简体"/>
          <w:color w:val="0D0D0D" w:themeColor="text1" w:themeTint="F2"/>
          <w:sz w:val="30"/>
          <w:szCs w:val="30"/>
          <w14:textFill>
            <w14:solidFill>
              <w14:schemeClr w14:val="tx1">
                <w14:lumMod w14:val="95000"/>
                <w14:lumOff w14:val="5000"/>
              </w14:schemeClr>
            </w14:solidFill>
          </w14:textFill>
        </w:rPr>
        <w:t>五、违约责任</w:t>
      </w:r>
    </w:p>
    <w:p>
      <w:pPr>
        <w:adjustRightInd w:val="0"/>
        <w:snapToGrid w:val="0"/>
        <w:spacing w:line="578" w:lineRule="exact"/>
        <w:ind w:firstLine="300" w:firstLineChars="1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（一）拍卖成交后</w:t>
      </w:r>
      <w:r>
        <w:rPr>
          <w:rFonts w:hint="eastAsia" w:ascii="仿宋" w:hAnsi="仿宋" w:eastAsia="仿宋"/>
          <w:color w:val="0D0D0D" w:themeColor="text1" w:themeTint="F2"/>
          <w:sz w:val="30"/>
          <w:szCs w:val="30"/>
          <w14:textFill>
            <w14:solidFill>
              <w14:schemeClr w14:val="tx1">
                <w14:lumMod w14:val="95000"/>
                <w14:lumOff w14:val="5000"/>
              </w14:schemeClr>
            </w14:solidFill>
          </w14:textFill>
        </w:rPr>
        <w:t>5</w:t>
      </w:r>
      <w:r>
        <w:rPr>
          <w:rFonts w:ascii="仿宋" w:hAnsi="仿宋" w:eastAsia="仿宋"/>
          <w:color w:val="0D0D0D" w:themeColor="text1" w:themeTint="F2"/>
          <w:sz w:val="30"/>
          <w:szCs w:val="30"/>
          <w14:textFill>
            <w14:solidFill>
              <w14:schemeClr w14:val="tx1">
                <w14:lumMod w14:val="95000"/>
                <w14:lumOff w14:val="5000"/>
              </w14:schemeClr>
            </w14:solidFill>
          </w14:textFill>
        </w:rPr>
        <w:t>个工作日内，若乙方未付清全部价款，视为违约，所交保证金不予退还(含拍卖佣金)。</w:t>
      </w:r>
    </w:p>
    <w:p>
      <w:pPr>
        <w:adjustRightInd w:val="0"/>
        <w:snapToGrid w:val="0"/>
        <w:spacing w:line="578" w:lineRule="exact"/>
        <w:ind w:firstLine="300" w:firstLineChars="1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（二）如果乙方违反本协议任一条约定，拍卖人有权征得甲方同意后（且无须另行通知乙方），将拍卖标的再行拍卖。由此造成的损失（含再次拍卖的价差损失、甲乙双方应付的拍卖佣金等）由乙方全部承担。</w:t>
      </w:r>
    </w:p>
    <w:p>
      <w:pPr>
        <w:adjustRightInd w:val="0"/>
        <w:snapToGrid w:val="0"/>
        <w:spacing w:line="578" w:lineRule="exact"/>
        <w:ind w:firstLine="300" w:firstLineChars="1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（三）如甲方违约，甲方承担乙方所交成交价款的银行同期贷款利息。</w:t>
      </w:r>
    </w:p>
    <w:p>
      <w:pPr>
        <w:adjustRightInd w:val="0"/>
        <w:snapToGrid w:val="0"/>
        <w:spacing w:line="578" w:lineRule="exact"/>
        <w:ind w:firstLine="600" w:firstLineChars="200"/>
        <w:rPr>
          <w:rFonts w:ascii="仿宋" w:hAnsi="仿宋" w:eastAsia="仿宋" w:cs="方正黑体简体"/>
          <w:color w:val="0D0D0D" w:themeColor="text1" w:themeTint="F2"/>
          <w:sz w:val="30"/>
          <w:szCs w:val="30"/>
          <w14:textFill>
            <w14:solidFill>
              <w14:schemeClr w14:val="tx1">
                <w14:lumMod w14:val="95000"/>
                <w14:lumOff w14:val="5000"/>
              </w14:schemeClr>
            </w14:solidFill>
          </w14:textFill>
        </w:rPr>
      </w:pPr>
      <w:r>
        <w:rPr>
          <w:rFonts w:hint="eastAsia" w:ascii="仿宋" w:hAnsi="仿宋" w:eastAsia="仿宋" w:cs="方正黑体简体"/>
          <w:color w:val="0D0D0D" w:themeColor="text1" w:themeTint="F2"/>
          <w:sz w:val="30"/>
          <w:szCs w:val="30"/>
          <w14:textFill>
            <w14:solidFill>
              <w14:schemeClr w14:val="tx1">
                <w14:lumMod w14:val="95000"/>
                <w14:lumOff w14:val="5000"/>
              </w14:schemeClr>
            </w14:solidFill>
          </w14:textFill>
        </w:rPr>
        <w:t>六、其它约定</w:t>
      </w:r>
    </w:p>
    <w:p>
      <w:pPr>
        <w:adjustRightInd w:val="0"/>
        <w:snapToGrid w:val="0"/>
        <w:spacing w:line="578" w:lineRule="exact"/>
        <w:ind w:firstLine="300" w:firstLineChars="1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（一）甲、乙双方约定本次拍卖为现状拍卖，拍卖成交总价不因实际交付标的数量增减、成色新旧、完好程度等情况变化而影响。该标的移交范围的解释权归甲方。</w:t>
      </w:r>
    </w:p>
    <w:p>
      <w:pPr>
        <w:adjustRightInd w:val="0"/>
        <w:snapToGrid w:val="0"/>
        <w:spacing w:line="578" w:lineRule="exact"/>
        <w:ind w:firstLine="300" w:firstLineChars="1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（二）乙方必须服从甲方现场工作人员的统一指挥，按照甲方人员指定的材料或设备类别清点、装车、过磅移交。资产移交后发生的毁损由乙方负责。</w:t>
      </w:r>
    </w:p>
    <w:p>
      <w:pPr>
        <w:adjustRightInd w:val="0"/>
        <w:snapToGrid w:val="0"/>
        <w:spacing w:line="578" w:lineRule="exact"/>
        <w:ind w:firstLine="600" w:firstLineChars="200"/>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ascii="仿宋" w:hAnsi="仿宋" w:eastAsia="仿宋"/>
          <w:color w:val="0D0D0D" w:themeColor="text1" w:themeTint="F2"/>
          <w:sz w:val="30"/>
          <w:szCs w:val="30"/>
          <w14:textFill>
            <w14:solidFill>
              <w14:schemeClr w14:val="tx1">
                <w14:lumMod w14:val="95000"/>
                <w14:lumOff w14:val="5000"/>
              </w14:schemeClr>
            </w14:solidFill>
          </w14:textFill>
        </w:rPr>
        <w:t>七、此协议一式  份，甲方执份，乙方执份，经双发法定代表人（或授权代表签字并加盖双方公章，或合同专用章）之日起生效。</w:t>
      </w:r>
    </w:p>
    <w:p>
      <w:pPr>
        <w:pStyle w:val="4"/>
        <w:rPr>
          <w:rFonts w:ascii="仿宋" w:hAnsi="仿宋" w:eastAsia="仿宋"/>
          <w:color w:val="0D0D0D" w:themeColor="text1" w:themeTint="F2"/>
          <w:sz w:val="30"/>
          <w:szCs w:val="30"/>
          <w14:textFill>
            <w14:solidFill>
              <w14:schemeClr w14:val="tx1">
                <w14:lumMod w14:val="95000"/>
                <w14:lumOff w14:val="5000"/>
              </w14:schemeClr>
            </w14:solidFill>
          </w14:textFill>
        </w:rPr>
      </w:pPr>
    </w:p>
    <w:p>
      <w:pPr>
        <w:adjustRightInd w:val="0"/>
        <w:snapToGrid w:val="0"/>
        <w:spacing w:line="578" w:lineRule="exact"/>
        <w:ind w:firstLine="600" w:firstLineChars="200"/>
        <w:rPr>
          <w:rFonts w:ascii="仿宋" w:hAnsi="仿宋" w:eastAsia="仿宋"/>
          <w:color w:val="0D0D0D" w:themeColor="text1" w:themeTint="F2"/>
          <w:sz w:val="30"/>
          <w:szCs w:val="30"/>
          <w14:textFill>
            <w14:solidFill>
              <w14:schemeClr w14:val="tx1">
                <w14:lumMod w14:val="95000"/>
                <w14:lumOff w14:val="5000"/>
              </w14:schemeClr>
            </w14:solidFill>
          </w14:textFill>
        </w:rPr>
      </w:pPr>
    </w:p>
    <w:p>
      <w:pPr>
        <w:pStyle w:val="2"/>
      </w:pPr>
    </w:p>
    <w:p>
      <w:pPr>
        <w:pStyle w:val="4"/>
        <w:adjustRightInd w:val="0"/>
        <w:snapToGrid w:val="0"/>
        <w:spacing w:line="578" w:lineRule="exact"/>
        <w:rPr>
          <w:rFonts w:ascii="仿宋" w:hAnsi="仿宋" w:eastAsia="仿宋"/>
          <w:color w:val="0D0D0D" w:themeColor="text1" w:themeTint="F2"/>
          <w:sz w:val="30"/>
          <w:szCs w:val="30"/>
          <w14:textFill>
            <w14:solidFill>
              <w14:schemeClr w14:val="tx1">
                <w14:lumMod w14:val="95000"/>
                <w14:lumOff w14:val="5000"/>
              </w14:schemeClr>
            </w14:solidFill>
          </w14:textFill>
        </w:rPr>
      </w:pPr>
    </w:p>
    <w:p>
      <w:pPr>
        <w:adjustRightInd w:val="0"/>
        <w:snapToGrid w:val="0"/>
        <w:spacing w:line="578" w:lineRule="exact"/>
        <w:rPr>
          <w:rFonts w:ascii="仿宋" w:hAnsi="仿宋" w:eastAsia="仿宋"/>
          <w:color w:val="0D0D0D" w:themeColor="text1" w:themeTint="F2"/>
          <w:sz w:val="30"/>
          <w:szCs w:val="30"/>
          <w14:textFill>
            <w14:solidFill>
              <w14:schemeClr w14:val="tx1">
                <w14:lumMod w14:val="95000"/>
                <w14:lumOff w14:val="5000"/>
              </w14:schemeClr>
            </w14:solidFill>
          </w14:textFill>
        </w:rPr>
      </w:pPr>
      <w:r>
        <w:rPr>
          <w:rFonts w:hint="eastAsia" w:ascii="仿宋" w:hAnsi="仿宋" w:eastAsia="仿宋"/>
          <w:color w:val="0D0D0D" w:themeColor="text1" w:themeTint="F2"/>
          <w:sz w:val="30"/>
          <w:szCs w:val="30"/>
          <w14:textFill>
            <w14:solidFill>
              <w14:schemeClr w14:val="tx1">
                <w14:lumMod w14:val="95000"/>
                <w14:lumOff w14:val="5000"/>
              </w14:schemeClr>
            </w14:solidFill>
          </w14:textFill>
        </w:rPr>
        <w:t xml:space="preserve">      </w:t>
      </w:r>
      <w:r>
        <w:rPr>
          <w:rFonts w:ascii="仿宋" w:hAnsi="仿宋" w:eastAsia="仿宋"/>
          <w:color w:val="0D0D0D" w:themeColor="text1" w:themeTint="F2"/>
          <w:sz w:val="30"/>
          <w:szCs w:val="30"/>
          <w14:textFill>
            <w14:solidFill>
              <w14:schemeClr w14:val="tx1">
                <w14:lumMod w14:val="95000"/>
                <w14:lumOff w14:val="5000"/>
              </w14:schemeClr>
            </w14:solidFill>
          </w14:textFill>
        </w:rPr>
        <w:t>甲方：                    乙方:</w:t>
      </w:r>
    </w:p>
    <w:p>
      <w:pPr>
        <w:pStyle w:val="7"/>
      </w:pPr>
      <w:r>
        <w:rPr>
          <w:rFonts w:ascii="仿宋" w:hAnsi="仿宋" w:eastAsia="仿宋"/>
          <w:color w:val="0D0D0D" w:themeColor="text1" w:themeTint="F2"/>
          <w:sz w:val="30"/>
          <w:szCs w:val="30"/>
          <w14:textFill>
            <w14:solidFill>
              <w14:schemeClr w14:val="tx1">
                <w14:lumMod w14:val="95000"/>
                <w14:lumOff w14:val="5000"/>
              </w14:schemeClr>
            </w14:solidFill>
          </w14:textFill>
        </w:rPr>
        <w:t xml:space="preserve">  年    月    日               年    月    日</w:t>
      </w:r>
    </w:p>
    <w:p>
      <w:pPr>
        <w:pStyle w:val="2"/>
        <w:ind w:left="0" w:leftChars="0" w:firstLine="0" w:firstLineChars="0"/>
        <w:rPr>
          <w:rFonts w:ascii="仿宋" w:hAnsi="仿宋" w:eastAsia="仿宋"/>
        </w:rPr>
      </w:pPr>
    </w:p>
    <w:p>
      <w:pPr>
        <w:spacing w:line="578" w:lineRule="exact"/>
        <w:rPr>
          <w:rFonts w:ascii="仿宋_GB2312" w:eastAsia="仿宋_GB2312"/>
          <w:sz w:val="32"/>
          <w:szCs w:val="32"/>
        </w:rPr>
      </w:pPr>
    </w:p>
    <w:p>
      <w:pPr>
        <w:spacing w:line="578" w:lineRule="exact"/>
        <w:rPr>
          <w:rFonts w:ascii="仿宋_GB2312" w:eastAsia="仿宋_GB2312"/>
          <w:sz w:val="32"/>
          <w:szCs w:val="32"/>
        </w:rPr>
      </w:pPr>
    </w:p>
    <w:p>
      <w:pPr>
        <w:spacing w:line="578" w:lineRule="exact"/>
        <w:rPr>
          <w:rFonts w:ascii="仿宋_GB2312" w:eastAsia="仿宋_GB2312"/>
          <w:sz w:val="32"/>
          <w:szCs w:val="32"/>
        </w:rPr>
      </w:pPr>
    </w:p>
    <w:p>
      <w:pPr>
        <w:spacing w:line="578" w:lineRule="exact"/>
        <w:rPr>
          <w:rFonts w:ascii="仿宋_GB2312" w:eastAsia="仿宋_GB2312"/>
          <w:sz w:val="32"/>
          <w:szCs w:val="32"/>
        </w:rPr>
      </w:pPr>
    </w:p>
    <w:p>
      <w:pPr>
        <w:spacing w:line="578" w:lineRule="exact"/>
        <w:rPr>
          <w:rFonts w:ascii="仿宋_GB2312" w:eastAsia="仿宋_GB2312"/>
          <w:sz w:val="32"/>
          <w:szCs w:val="32"/>
        </w:rPr>
      </w:pPr>
    </w:p>
    <w:p>
      <w:pPr>
        <w:spacing w:line="578" w:lineRule="exact"/>
        <w:rPr>
          <w:rFonts w:ascii="仿宋_GB2312" w:eastAsia="仿宋_GB2312"/>
          <w:sz w:val="32"/>
          <w:szCs w:val="32"/>
        </w:rPr>
      </w:pPr>
    </w:p>
    <w:p>
      <w:pPr>
        <w:spacing w:line="578" w:lineRule="exact"/>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4</w:t>
      </w:r>
    </w:p>
    <w:p>
      <w:pPr>
        <w:spacing w:line="578" w:lineRule="exact"/>
        <w:jc w:val="center"/>
        <w:rPr>
          <w:rFonts w:hint="eastAsia" w:ascii="仿宋_GB2312" w:eastAsia="仿宋_GB2312"/>
          <w:sz w:val="44"/>
          <w:szCs w:val="44"/>
          <w:lang w:val="en-US" w:eastAsia="zh-CN"/>
        </w:rPr>
      </w:pPr>
      <w:r>
        <w:rPr>
          <w:rFonts w:hint="eastAsia" w:ascii="仿宋_GB2312" w:hAnsi="仿宋_GB2312" w:eastAsia="仿宋_GB2312" w:cs="仿宋_GB2312"/>
          <w:sz w:val="44"/>
          <w:szCs w:val="44"/>
          <w:lang w:val="en-US" w:eastAsia="zh-CN"/>
        </w:rPr>
        <w:t>报废资产明细表</w:t>
      </w:r>
    </w:p>
    <w:tbl>
      <w:tblPr>
        <w:tblStyle w:val="9"/>
        <w:tblpPr w:leftFromText="180" w:rightFromText="180" w:vertAnchor="text" w:horzAnchor="page" w:tblpX="1424" w:tblpY="573"/>
        <w:tblOverlap w:val="never"/>
        <w:tblW w:w="97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5"/>
        <w:gridCol w:w="1309"/>
        <w:gridCol w:w="1105"/>
        <w:gridCol w:w="1183"/>
        <w:gridCol w:w="736"/>
        <w:gridCol w:w="614"/>
        <w:gridCol w:w="982"/>
        <w:gridCol w:w="914"/>
        <w:gridCol w:w="899"/>
        <w:gridCol w:w="996"/>
        <w:gridCol w:w="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资产编号</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资产名称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账面原值（元）</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竞价起始价</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（元）</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竞价保证金</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（元）</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加价幅度（元/次）</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TY2014000002</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联想电脑</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M4360-D101</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5,890.00 </w:t>
            </w:r>
          </w:p>
        </w:tc>
        <w:tc>
          <w:tcPr>
            <w:tcW w:w="914" w:type="dxa"/>
            <w:vMerge w:val="restart"/>
            <w:tcBorders>
              <w:top w:val="single" w:color="000000" w:sz="4" w:space="0"/>
              <w:left w:val="single" w:color="000000" w:sz="4" w:space="0"/>
              <w:right w:val="single" w:color="000000" w:sz="4" w:space="0"/>
            </w:tcBorders>
            <w:shd w:val="clear" w:color="auto" w:fill="auto"/>
            <w:noWrap/>
            <w:vAlign w:val="top"/>
          </w:tcPr>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3432</w:t>
            </w:r>
          </w:p>
        </w:tc>
        <w:tc>
          <w:tcPr>
            <w:tcW w:w="899" w:type="dxa"/>
            <w:vMerge w:val="restart"/>
            <w:tcBorders>
              <w:top w:val="single" w:color="000000" w:sz="4" w:space="0"/>
              <w:left w:val="single" w:color="000000" w:sz="4" w:space="0"/>
              <w:right w:val="single" w:color="000000" w:sz="4" w:space="0"/>
            </w:tcBorders>
            <w:shd w:val="clear" w:color="auto" w:fill="auto"/>
            <w:noWrap/>
            <w:vAlign w:val="top"/>
          </w:tcPr>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100</w:t>
            </w:r>
          </w:p>
        </w:tc>
        <w:tc>
          <w:tcPr>
            <w:tcW w:w="996" w:type="dxa"/>
            <w:vMerge w:val="restart"/>
            <w:tcBorders>
              <w:top w:val="single" w:color="000000" w:sz="4" w:space="0"/>
              <w:left w:val="single" w:color="000000" w:sz="4" w:space="0"/>
              <w:right w:val="single" w:color="000000" w:sz="4" w:space="0"/>
            </w:tcBorders>
            <w:shd w:val="clear" w:color="auto" w:fill="auto"/>
            <w:noWrap/>
            <w:vAlign w:val="top"/>
          </w:tcPr>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100</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TY2014000001</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M4360-D101</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5,890.00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TY2016000004</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便携式计算机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联想SL410K</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4,440.00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TY2016000002</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联想M4550-000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TY2016000001</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联想M1160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TY2016000003</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方正N720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TY2015000001</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联想M2570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5,350.00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TY2015000003</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联想M2570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5,350.00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TY2015000005</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联想M2570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5,350.00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TY2015000004</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华碩7KZMTEX</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5,350.00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FF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FF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FF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TY2015000002</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联想M2570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5,350.00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TY2015000006</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联想M2570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5,350.00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13</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TY2015000007</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联想M2570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5,350.00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14</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TY2015000008</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联想RD450X</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5,350.00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15</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TY2013000008</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N720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16</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000000129</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苹果笔记本电脑</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a1297</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15,005.00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17</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TY2013000001</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苹果台式机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macmini</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18</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TY2016000007</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打印设备</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LBP2900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19</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TY2016000008</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打印设备</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HP1015</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TY2016000006</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打印设备</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DPK760K</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21</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TY2014000004</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激光打印机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1020PLUS</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1,385.00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22</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TY2014000003</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激光打印机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1020PLUS</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1,385.00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23</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TY2013000003</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复印机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S181000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19,300.00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24</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000000124</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空调器</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KFR-35W/D</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9,600.00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25</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TY2007000011</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格力空调</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KFR-23GW/k</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26</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TY2007000010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格力空调</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KFR-23GW/k</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27</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TY2007000009</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格力空调</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KFR-50522FNAB-A3</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28</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000000069</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录音棒</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VHF</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29</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000000067</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录音棒</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SHDZ</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TY2006000001</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扫描仪</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G750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31</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000000068</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扫描仪</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G4050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32</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TY2013000007</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照相机及器材</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70-200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15,500.00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33</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TY2013000005</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照相机及器材</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D40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34</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TY2013000006</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照相机及器材</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18-55</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35</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TY2013000002</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照相机及器材</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佳能数码相机</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36</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000000133</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佳期能相机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5D-3</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19,400.00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37</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000000132</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数码相机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佳能MV700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38</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TY2012000003</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数码相机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T150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39</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TY2012000001</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数码相机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尼康d200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TY2012000002</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数码相机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T110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41</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TY2012000014</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索尼相机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T110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42</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TY2012000018</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索尼相机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T110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43</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000000127</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索尼相机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wx-100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44</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TY2012000015</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索尼相机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wx-120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45</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TY2012000019</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索尼相机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T110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46</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TY2012000017</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索尼相机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T110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47</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TY2012000016</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索尼相机</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T110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48</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000000056</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变焦镜头</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尼康18-200</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49</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000000106</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变焦镜头</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COATED</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8,670.00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TY2013000004</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投影仪</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vt675</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51</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JJ2007000298</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活动柜</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52</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JJ2007000297</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衣柜</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53</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JJ2007000296</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沙发类</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54</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JJ2007000273</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茶水柜</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55</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JJ2007000272</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茶水柜</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56</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JJ2007000271</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茶几</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57</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JJ2007000270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茶几</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58</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JJ2007000269</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茶几</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59</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JJ2007000268</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茶几</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JJ2007000267</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茶几</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61</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JJ2007000266</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茶几</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62</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JJ2007000265</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茶几</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63</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JJ2007000264</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单人沙发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64</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JJ2007000263</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单人沙发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65</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JJ2007000262</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单人沙发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66</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JJ2007000261</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单人沙发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67</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JJ2007000260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单人沙发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68</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JJ2007000259</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单人沙发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69</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JJ2007000258</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单人沙发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JJ2007000257</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单人沙发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71</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JJ2007000256</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档案柜</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72</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JJ2007000255</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档案柜</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73</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JJ2007000254</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档案柜</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74</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JJ2007000253</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档案柜</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75</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JJ2007000252</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档案柜</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76</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JJ2007000251</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档案柜</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77</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JJ2007000250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会议椅</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78</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JJ2007000249</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会议椅</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79</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JJ2007000248</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会议椅</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JJ2007000247</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会议椅</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81</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JJ2007000246</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会议椅</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82</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JJ2007000245</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会议椅</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 </w:t>
            </w:r>
          </w:p>
        </w:tc>
        <w:tc>
          <w:tcPr>
            <w:tcW w:w="914"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83</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JJ2007000244</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会议椅</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 </w:t>
            </w:r>
          </w:p>
        </w:tc>
        <w:tc>
          <w:tcPr>
            <w:tcW w:w="914" w:type="dxa"/>
            <w:vMerge w:val="continue"/>
            <w:tcBorders>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vMerge w:val="continue"/>
            <w:tcBorders>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vMerge w:val="continue"/>
            <w:tcBorders>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80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83</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274915</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r>
    </w:tbl>
    <w:p>
      <w:pPr>
        <w:spacing w:line="578" w:lineRule="exact"/>
        <w:rPr>
          <w:rFonts w:hint="default" w:ascii="仿宋_GB2312" w:eastAsia="仿宋_GB2312"/>
          <w:sz w:val="32"/>
          <w:szCs w:val="32"/>
          <w:lang w:val="en-US" w:eastAsia="zh-CN"/>
        </w:rPr>
      </w:pPr>
    </w:p>
    <w:p>
      <w:pPr>
        <w:spacing w:line="578" w:lineRule="exact"/>
        <w:rPr>
          <w:rFonts w:ascii="仿宋_GB2312" w:eastAsia="仿宋_GB2312"/>
          <w:sz w:val="32"/>
          <w:szCs w:val="32"/>
        </w:rPr>
      </w:pPr>
    </w:p>
    <w:sectPr>
      <w:footerReference r:id="rId4" w:type="default"/>
      <w:pgSz w:w="11906" w:h="16838"/>
      <w:pgMar w:top="2098" w:right="1474" w:bottom="1985"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黑体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ZGIwYWNlYmY2MDgwMGY3NjkwZmM5M2JlNjhmYjkifQ=="/>
  </w:docVars>
  <w:rsids>
    <w:rsidRoot w:val="3E4F00B8"/>
    <w:rsid w:val="00064173"/>
    <w:rsid w:val="000C4578"/>
    <w:rsid w:val="000F19BA"/>
    <w:rsid w:val="00174478"/>
    <w:rsid w:val="001A1519"/>
    <w:rsid w:val="001F4B95"/>
    <w:rsid w:val="00225038"/>
    <w:rsid w:val="0025060C"/>
    <w:rsid w:val="002B616F"/>
    <w:rsid w:val="00331879"/>
    <w:rsid w:val="00346CF0"/>
    <w:rsid w:val="00367CA7"/>
    <w:rsid w:val="00384460"/>
    <w:rsid w:val="00437B3E"/>
    <w:rsid w:val="004F6127"/>
    <w:rsid w:val="00502ECC"/>
    <w:rsid w:val="00550B66"/>
    <w:rsid w:val="00583027"/>
    <w:rsid w:val="005A083F"/>
    <w:rsid w:val="005C183C"/>
    <w:rsid w:val="0060235C"/>
    <w:rsid w:val="00621C02"/>
    <w:rsid w:val="0062413E"/>
    <w:rsid w:val="00634D54"/>
    <w:rsid w:val="00647409"/>
    <w:rsid w:val="007E7480"/>
    <w:rsid w:val="008A61BC"/>
    <w:rsid w:val="00943EC7"/>
    <w:rsid w:val="00953C64"/>
    <w:rsid w:val="009D3E13"/>
    <w:rsid w:val="009F04F1"/>
    <w:rsid w:val="00A75466"/>
    <w:rsid w:val="00B461F3"/>
    <w:rsid w:val="00B539BA"/>
    <w:rsid w:val="00B6389D"/>
    <w:rsid w:val="00B64F56"/>
    <w:rsid w:val="00B815A5"/>
    <w:rsid w:val="00BE0988"/>
    <w:rsid w:val="00BE5570"/>
    <w:rsid w:val="00C06823"/>
    <w:rsid w:val="00C110D4"/>
    <w:rsid w:val="00CB0D46"/>
    <w:rsid w:val="00CD069A"/>
    <w:rsid w:val="00D22202"/>
    <w:rsid w:val="00D419BF"/>
    <w:rsid w:val="00D45563"/>
    <w:rsid w:val="00D950B9"/>
    <w:rsid w:val="00DB2285"/>
    <w:rsid w:val="00DF25A9"/>
    <w:rsid w:val="00E35D81"/>
    <w:rsid w:val="00EA57ED"/>
    <w:rsid w:val="00EB6AF4"/>
    <w:rsid w:val="00EE026B"/>
    <w:rsid w:val="00EE4D2C"/>
    <w:rsid w:val="00F2109A"/>
    <w:rsid w:val="00F31190"/>
    <w:rsid w:val="00F62319"/>
    <w:rsid w:val="00F66FBB"/>
    <w:rsid w:val="00FD4F00"/>
    <w:rsid w:val="016330E7"/>
    <w:rsid w:val="03A639D9"/>
    <w:rsid w:val="03F15591"/>
    <w:rsid w:val="05485D1A"/>
    <w:rsid w:val="05A266C9"/>
    <w:rsid w:val="060A00C1"/>
    <w:rsid w:val="0778092A"/>
    <w:rsid w:val="08184EA5"/>
    <w:rsid w:val="08FD4D95"/>
    <w:rsid w:val="09E638BB"/>
    <w:rsid w:val="0ACE05D7"/>
    <w:rsid w:val="0BB81162"/>
    <w:rsid w:val="0C5E3BDC"/>
    <w:rsid w:val="0DDC4949"/>
    <w:rsid w:val="0F041D3A"/>
    <w:rsid w:val="0F32075E"/>
    <w:rsid w:val="108F0808"/>
    <w:rsid w:val="109D43C2"/>
    <w:rsid w:val="11124A96"/>
    <w:rsid w:val="11B50AF3"/>
    <w:rsid w:val="145C525D"/>
    <w:rsid w:val="148C031B"/>
    <w:rsid w:val="17A1555A"/>
    <w:rsid w:val="17CC7A8D"/>
    <w:rsid w:val="1934019F"/>
    <w:rsid w:val="19F469EE"/>
    <w:rsid w:val="1AD2170B"/>
    <w:rsid w:val="1B2518D6"/>
    <w:rsid w:val="1BAF4E41"/>
    <w:rsid w:val="1C744D1F"/>
    <w:rsid w:val="1FDF1EE9"/>
    <w:rsid w:val="20A80D65"/>
    <w:rsid w:val="20F813A8"/>
    <w:rsid w:val="21AD6CEE"/>
    <w:rsid w:val="234A14D9"/>
    <w:rsid w:val="24F617F9"/>
    <w:rsid w:val="25492DCD"/>
    <w:rsid w:val="25E371D4"/>
    <w:rsid w:val="28553E1A"/>
    <w:rsid w:val="287558D2"/>
    <w:rsid w:val="287F0D0A"/>
    <w:rsid w:val="2AB7478C"/>
    <w:rsid w:val="2C5F7D43"/>
    <w:rsid w:val="2C721A09"/>
    <w:rsid w:val="2D2516AE"/>
    <w:rsid w:val="2D880661"/>
    <w:rsid w:val="2F4A6790"/>
    <w:rsid w:val="30B71989"/>
    <w:rsid w:val="30CA0BCE"/>
    <w:rsid w:val="31E90020"/>
    <w:rsid w:val="321E4400"/>
    <w:rsid w:val="341035F4"/>
    <w:rsid w:val="34942F37"/>
    <w:rsid w:val="365260C2"/>
    <w:rsid w:val="3A675976"/>
    <w:rsid w:val="3B9A71D7"/>
    <w:rsid w:val="3BA90120"/>
    <w:rsid w:val="3C990195"/>
    <w:rsid w:val="3E4F00B8"/>
    <w:rsid w:val="40CF2457"/>
    <w:rsid w:val="4162480B"/>
    <w:rsid w:val="432769ED"/>
    <w:rsid w:val="43FD725B"/>
    <w:rsid w:val="45005F9F"/>
    <w:rsid w:val="459E4A6E"/>
    <w:rsid w:val="46034DCF"/>
    <w:rsid w:val="46121033"/>
    <w:rsid w:val="4676009D"/>
    <w:rsid w:val="480F7E47"/>
    <w:rsid w:val="493C6178"/>
    <w:rsid w:val="49522931"/>
    <w:rsid w:val="49DE1F51"/>
    <w:rsid w:val="4AE553A4"/>
    <w:rsid w:val="4CBA03DF"/>
    <w:rsid w:val="4E264B20"/>
    <w:rsid w:val="4EE31744"/>
    <w:rsid w:val="4F846A83"/>
    <w:rsid w:val="50824801"/>
    <w:rsid w:val="510C3545"/>
    <w:rsid w:val="517D3A01"/>
    <w:rsid w:val="54B533F7"/>
    <w:rsid w:val="54F854EA"/>
    <w:rsid w:val="55013CBD"/>
    <w:rsid w:val="55EC07CA"/>
    <w:rsid w:val="560315B0"/>
    <w:rsid w:val="56B74F02"/>
    <w:rsid w:val="578B385B"/>
    <w:rsid w:val="582F6566"/>
    <w:rsid w:val="594209E0"/>
    <w:rsid w:val="5B8A5421"/>
    <w:rsid w:val="5C345E97"/>
    <w:rsid w:val="5C5D7292"/>
    <w:rsid w:val="5CA17C44"/>
    <w:rsid w:val="5D08580A"/>
    <w:rsid w:val="5DCE3556"/>
    <w:rsid w:val="5E3C530B"/>
    <w:rsid w:val="606D6A33"/>
    <w:rsid w:val="60CA556C"/>
    <w:rsid w:val="61B508CF"/>
    <w:rsid w:val="62CA7F83"/>
    <w:rsid w:val="65913850"/>
    <w:rsid w:val="65FA6FA7"/>
    <w:rsid w:val="66E55C01"/>
    <w:rsid w:val="697E7EBC"/>
    <w:rsid w:val="6BA74B10"/>
    <w:rsid w:val="6F7A6736"/>
    <w:rsid w:val="6F8E386A"/>
    <w:rsid w:val="6F9F032C"/>
    <w:rsid w:val="7260580F"/>
    <w:rsid w:val="72B71EC6"/>
    <w:rsid w:val="742E5F05"/>
    <w:rsid w:val="761515DB"/>
    <w:rsid w:val="763D7C0A"/>
    <w:rsid w:val="78F700B9"/>
    <w:rsid w:val="79856D23"/>
    <w:rsid w:val="79E65AC0"/>
    <w:rsid w:val="79EC6943"/>
    <w:rsid w:val="7C5B231A"/>
    <w:rsid w:val="7CE5340B"/>
    <w:rsid w:val="7D3A47AA"/>
    <w:rsid w:val="7D450D50"/>
    <w:rsid w:val="7D46245E"/>
    <w:rsid w:val="7F080AB1"/>
    <w:rsid w:val="7F351D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szCs w:val="20"/>
    </w:rPr>
  </w:style>
  <w:style w:type="paragraph" w:styleId="3">
    <w:name w:val="annotation text"/>
    <w:basedOn w:val="1"/>
    <w:autoRedefine/>
    <w:qFormat/>
    <w:uiPriority w:val="0"/>
    <w:pPr>
      <w:jc w:val="left"/>
    </w:pPr>
  </w:style>
  <w:style w:type="paragraph" w:styleId="4">
    <w:name w:val="Body Text"/>
    <w:basedOn w:val="1"/>
    <w:next w:val="1"/>
    <w:autoRedefine/>
    <w:qFormat/>
    <w:uiPriority w:val="99"/>
    <w:pPr>
      <w:spacing w:after="120"/>
    </w:pPr>
  </w:style>
  <w:style w:type="paragraph" w:styleId="5">
    <w:name w:val="footer"/>
    <w:basedOn w:val="1"/>
    <w:link w:val="18"/>
    <w:autoRedefine/>
    <w:qFormat/>
    <w:uiPriority w:val="99"/>
    <w:pPr>
      <w:tabs>
        <w:tab w:val="center" w:pos="4153"/>
        <w:tab w:val="right" w:pos="8306"/>
      </w:tabs>
      <w:snapToGrid w:val="0"/>
      <w:jc w:val="left"/>
    </w:pPr>
    <w:rPr>
      <w:sz w:val="18"/>
      <w:szCs w:val="18"/>
    </w:rPr>
  </w:style>
  <w:style w:type="paragraph" w:styleId="6">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semiHidden/>
    <w:qFormat/>
    <w:uiPriority w:val="99"/>
  </w:style>
  <w:style w:type="paragraph" w:styleId="8">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autoRedefine/>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autoRedefine/>
    <w:qFormat/>
    <w:uiPriority w:val="0"/>
    <w:rPr>
      <w:color w:val="333333"/>
      <w:u w:val="none"/>
    </w:rPr>
  </w:style>
  <w:style w:type="character" w:styleId="13">
    <w:name w:val="Hyperlink"/>
    <w:basedOn w:val="11"/>
    <w:autoRedefine/>
    <w:qFormat/>
    <w:uiPriority w:val="0"/>
    <w:rPr>
      <w:color w:val="0563C1" w:themeColor="hyperlink"/>
      <w:u w:val="single"/>
      <w14:textFill>
        <w14:solidFill>
          <w14:schemeClr w14:val="hlink"/>
        </w14:solidFill>
      </w14:textFill>
    </w:rPr>
  </w:style>
  <w:style w:type="paragraph" w:styleId="14">
    <w:name w:val="List Paragraph"/>
    <w:basedOn w:val="1"/>
    <w:autoRedefine/>
    <w:unhideWhenUsed/>
    <w:qFormat/>
    <w:uiPriority w:val="99"/>
    <w:pPr>
      <w:ind w:firstLine="420" w:firstLineChars="200"/>
    </w:pPr>
  </w:style>
  <w:style w:type="character" w:customStyle="1" w:styleId="15">
    <w:name w:val="页眉 Char"/>
    <w:basedOn w:val="11"/>
    <w:link w:val="6"/>
    <w:autoRedefine/>
    <w:qFormat/>
    <w:uiPriority w:val="0"/>
    <w:rPr>
      <w:rFonts w:ascii="Calibri" w:hAnsi="Calibri" w:eastAsia="宋体" w:cs="Times New Roman"/>
      <w:kern w:val="2"/>
      <w:sz w:val="18"/>
      <w:szCs w:val="18"/>
    </w:rPr>
  </w:style>
  <w:style w:type="paragraph" w:customStyle="1" w:styleId="16">
    <w:name w:val="null3"/>
    <w:autoRedefine/>
    <w:hidden/>
    <w:qFormat/>
    <w:uiPriority w:val="0"/>
    <w:rPr>
      <w:rFonts w:hint="eastAsia" w:asciiTheme="minorHAnsi" w:hAnsiTheme="minorHAnsi" w:eastAsiaTheme="minorEastAsia" w:cstheme="minorBidi"/>
      <w:lang w:val="en-US" w:eastAsia="zh-CN" w:bidi="ar-SA"/>
    </w:rPr>
  </w:style>
  <w:style w:type="paragraph" w:customStyle="1" w:styleId="17">
    <w:name w:val="正文2"/>
    <w:basedOn w:val="1"/>
    <w:autoRedefine/>
    <w:qFormat/>
    <w:uiPriority w:val="0"/>
    <w:pPr>
      <w:spacing w:line="480" w:lineRule="exact"/>
      <w:ind w:firstLine="200" w:firstLineChars="200"/>
      <w:contextualSpacing/>
    </w:pPr>
    <w:rPr>
      <w:rFonts w:ascii="宋体" w:hAnsi="宋体" w:cs="宋体"/>
      <w:bCs/>
      <w:sz w:val="24"/>
    </w:rPr>
  </w:style>
  <w:style w:type="character" w:customStyle="1" w:styleId="18">
    <w:name w:val="页脚 Char"/>
    <w:basedOn w:val="11"/>
    <w:link w:val="5"/>
    <w:autoRedefine/>
    <w:qFormat/>
    <w:uiPriority w:val="99"/>
    <w:rPr>
      <w:rFonts w:ascii="Calibri" w:hAnsi="Calibri" w:eastAsia="宋体" w:cs="Times New Roman"/>
      <w:kern w:val="2"/>
      <w:sz w:val="18"/>
      <w:szCs w:val="18"/>
    </w:rPr>
  </w:style>
  <w:style w:type="paragraph" w:customStyle="1" w:styleId="19">
    <w:name w:val="_Style 18"/>
    <w:basedOn w:val="1"/>
    <w:next w:val="1"/>
    <w:autoRedefine/>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15</Pages>
  <Words>4899</Words>
  <Characters>5112</Characters>
  <Lines>40</Lines>
  <Paragraphs>11</Paragraphs>
  <TotalTime>0</TotalTime>
  <ScaleCrop>false</ScaleCrop>
  <LinksUpToDate>false</LinksUpToDate>
  <CharactersWithSpaces>5349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2023-05-11T08:45:00Z</dcterms:created>
  <dc:creator>wayfarer</dc:creator>
  <cp:lastModifiedBy>Administrator</cp:lastModifiedBy>
  <cp:lastPrinted>2024-01-03T08:11:00Z</cp:lastPrinted>
  <dcterms:modified xsi:type="dcterms:W3CDTF">2024-04-01T07:11:25Z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118DE23447584ADC8128AB93A2ECA182_13</vt:lpwstr>
  </property>
</Properties>
</file>