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auto"/>
          <w:sz w:val="30"/>
          <w:szCs w:val="30"/>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号</w:t>
      </w:r>
    </w:p>
    <w:p>
      <w:pPr>
        <w:ind w:firstLine="4620" w:firstLineChars="2200"/>
        <w:rPr>
          <w:color w:val="auto"/>
          <w:sz w:val="44"/>
        </w:rPr>
      </w:pPr>
      <w:r>
        <w:rPr>
          <w:color w:val="auto"/>
        </w:rPr>
        <mc:AlternateContent>
          <mc:Choice Requires="wps">
            <w:drawing>
              <wp:anchor distT="0" distB="0" distL="114300" distR="114300" simplePos="0" relativeHeight="25166131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89" w:lineRule="atLeast"/>
                      </w:pPr>
                    </w:p>
                    <w:p>
                      <w:pPr>
                        <w:snapToGrid w:val="0"/>
                        <w:spacing w:line="538" w:lineRule="atLeast"/>
                      </w:pPr>
                    </w:p>
                    <w:p/>
                  </w:txbxContent>
                </v:textbox>
              </v:shape>
            </w:pict>
          </mc:Fallback>
        </mc:AlternateContent>
      </w:r>
    </w:p>
    <w:p>
      <w:pPr>
        <w:rPr>
          <w:color w:val="auto"/>
          <w:sz w:val="44"/>
        </w:rPr>
      </w:pPr>
    </w:p>
    <w:p>
      <w:pPr>
        <w:jc w:val="left"/>
        <w:rPr>
          <w:color w:val="auto"/>
          <w:sz w:val="44"/>
        </w:rPr>
      </w:pPr>
    </w:p>
    <w:p>
      <w:pPr>
        <w:ind w:left="260" w:hanging="260" w:hangingChars="50"/>
        <w:jc w:val="center"/>
        <w:rPr>
          <w:rFonts w:eastAsia="方正小标宋简体"/>
          <w:color w:val="auto"/>
          <w:sz w:val="52"/>
          <w:szCs w:val="52"/>
        </w:rPr>
      </w:pPr>
    </w:p>
    <w:p>
      <w:pPr>
        <w:ind w:left="260" w:hanging="260" w:hangingChars="50"/>
        <w:jc w:val="center"/>
        <w:rPr>
          <w:rFonts w:hint="eastAsia" w:eastAsia="方正小标宋简体"/>
          <w:color w:val="auto"/>
          <w:sz w:val="52"/>
          <w:szCs w:val="52"/>
          <w:lang w:val="en-US" w:eastAsia="zh-CN"/>
        </w:rPr>
      </w:pPr>
      <w:r>
        <w:rPr>
          <w:rFonts w:hint="eastAsia" w:eastAsia="方正小标宋简体"/>
          <w:color w:val="auto"/>
          <w:sz w:val="52"/>
          <w:szCs w:val="52"/>
          <w:lang w:val="en-US" w:eastAsia="zh-CN"/>
        </w:rPr>
        <w:t>达州市环城路二期及环凤产业大道</w:t>
      </w:r>
    </w:p>
    <w:p>
      <w:pPr>
        <w:ind w:left="260" w:hanging="260" w:hangingChars="50"/>
        <w:jc w:val="center"/>
        <w:rPr>
          <w:rFonts w:hint="eastAsia" w:eastAsia="方正小标宋简体"/>
          <w:color w:val="auto"/>
          <w:sz w:val="52"/>
          <w:szCs w:val="52"/>
          <w:lang w:val="en-US" w:eastAsia="zh-CN"/>
        </w:rPr>
      </w:pPr>
      <w:r>
        <w:rPr>
          <w:rFonts w:hint="eastAsia" w:eastAsia="方正小标宋简体"/>
          <w:color w:val="auto"/>
          <w:sz w:val="52"/>
          <w:szCs w:val="52"/>
          <w:lang w:val="en-US" w:eastAsia="zh-CN"/>
        </w:rPr>
        <w:t>沿线片区03-B-01-05地块</w:t>
      </w:r>
    </w:p>
    <w:p>
      <w:pPr>
        <w:ind w:left="260" w:hanging="260" w:hangingChars="50"/>
        <w:jc w:val="center"/>
        <w:rPr>
          <w:rFonts w:eastAsia="方正小标宋简体"/>
          <w:color w:val="auto"/>
          <w:sz w:val="52"/>
          <w:szCs w:val="52"/>
        </w:rPr>
      </w:pPr>
      <w:r>
        <w:rPr>
          <w:rFonts w:eastAsia="方正小标宋简体"/>
          <w:color w:val="auto"/>
          <w:sz w:val="52"/>
          <w:szCs w:val="52"/>
        </w:rPr>
        <w:t>国有建设用地使用权</w:t>
      </w:r>
    </w:p>
    <w:p>
      <w:pPr>
        <w:ind w:left="260" w:hanging="260" w:hangingChars="50"/>
        <w:jc w:val="center"/>
        <w:rPr>
          <w:rFonts w:ascii="方正小标宋简体" w:hAnsi="微软雅黑" w:eastAsia="方正小标宋简体"/>
          <w:color w:val="auto"/>
          <w:sz w:val="52"/>
          <w:szCs w:val="52"/>
        </w:rPr>
      </w:pPr>
      <w:r>
        <w:rPr>
          <w:rFonts w:eastAsia="方正小标宋简体"/>
          <w:color w:val="auto"/>
          <w:sz w:val="52"/>
          <w:szCs w:val="52"/>
        </w:rPr>
        <w:t>拍卖出让文件</w: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rPr>
          <w:color w:val="auto"/>
          <w:sz w:val="44"/>
        </w:rPr>
      </w:pPr>
    </w:p>
    <w:p>
      <w:pPr>
        <w:tabs>
          <w:tab w:val="left" w:leader="middleDot" w:pos="6720"/>
        </w:tabs>
        <w:jc w:val="both"/>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r>
        <w:rPr>
          <w:color w:val="auto"/>
          <w:sz w:val="44"/>
        </w:rPr>
        <mc:AlternateContent>
          <mc:Choice Requires="wps">
            <w:drawing>
              <wp:anchor distT="0" distB="0" distL="114300" distR="114300" simplePos="0" relativeHeight="25166540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540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&#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eUki0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firstLine="3520" w:firstLineChars="800"/>
        <w:rPr>
          <w:rFonts w:eastAsia="黑体"/>
          <w:bCs/>
          <w:color w:val="auto"/>
          <w:sz w:val="44"/>
        </w:rPr>
      </w:pPr>
      <w:r>
        <w:rPr>
          <w:rFonts w:eastAsia="黑体"/>
          <w:bCs/>
          <w:color w:val="auto"/>
          <w:sz w:val="44"/>
        </w:rPr>
        <w:t>目录</w:t>
      </w:r>
    </w:p>
    <w:p>
      <w:pPr>
        <w:tabs>
          <w:tab w:val="left" w:leader="middleDot" w:pos="7980"/>
        </w:tabs>
        <w:rPr>
          <w:color w:val="auto"/>
          <w:w w:val="66"/>
          <w:sz w:val="32"/>
          <w:szCs w:val="32"/>
        </w:rPr>
      </w:pPr>
    </w:p>
    <w:p>
      <w:pPr>
        <w:numPr>
          <w:ilvl w:val="0"/>
          <w:numId w:val="1"/>
        </w:numPr>
        <w:tabs>
          <w:tab w:val="left" w:leader="middleDot" w:pos="7980"/>
        </w:tabs>
        <w:spacing w:line="578" w:lineRule="exact"/>
        <w:ind w:left="160" w:hanging="160" w:hangingChars="50"/>
        <w:rPr>
          <w:color w:val="auto"/>
          <w:sz w:val="32"/>
          <w:szCs w:val="32"/>
        </w:rPr>
      </w:pPr>
      <w:r>
        <w:rPr>
          <w:color w:val="auto"/>
          <w:sz w:val="32"/>
          <w:szCs w:val="32"/>
        </w:rPr>
        <w:fldChar w:fldCharType="begin"/>
      </w:r>
      <w:r>
        <w:rPr>
          <w:color w:val="auto"/>
          <w:sz w:val="32"/>
          <w:szCs w:val="32"/>
        </w:rPr>
        <w:instrText xml:space="preserve"> TOC \o "1-1" \h \z \u </w:instrText>
      </w:r>
      <w:r>
        <w:rPr>
          <w:color w:val="auto"/>
          <w:sz w:val="32"/>
          <w:szCs w:val="32"/>
        </w:rPr>
        <w:fldChar w:fldCharType="separate"/>
      </w:r>
      <w:r>
        <w:rPr>
          <w:color w:val="auto"/>
        </w:rPr>
        <w:fldChar w:fldCharType="begin"/>
      </w:r>
      <w:r>
        <w:rPr>
          <w:color w:val="auto"/>
        </w:rPr>
        <w:instrText xml:space="preserve"> HYPERLINK \l "_Toc3391970" </w:instrText>
      </w:r>
      <w:r>
        <w:rPr>
          <w:color w:val="auto"/>
        </w:rPr>
        <w:fldChar w:fldCharType="separate"/>
      </w:r>
      <w:r>
        <w:rPr>
          <w:color w:val="auto"/>
          <w:sz w:val="32"/>
          <w:szCs w:val="32"/>
        </w:rPr>
        <w:t>拍卖出让公告</w:t>
      </w:r>
      <w:r>
        <w:rPr>
          <w:color w:val="auto"/>
          <w:sz w:val="32"/>
          <w:szCs w:val="32"/>
        </w:rPr>
        <w:tab/>
      </w:r>
      <w:r>
        <w:rPr>
          <w:color w:val="auto"/>
          <w:sz w:val="32"/>
          <w:szCs w:val="32"/>
        </w:rPr>
        <w:fldChar w:fldCharType="begin"/>
      </w:r>
      <w:r>
        <w:rPr>
          <w:color w:val="auto"/>
          <w:sz w:val="32"/>
          <w:szCs w:val="32"/>
        </w:rPr>
        <w:instrText xml:space="preserve"> PAGEREF _Toc3391970 \h </w:instrText>
      </w:r>
      <w:r>
        <w:rPr>
          <w:color w:val="auto"/>
          <w:sz w:val="32"/>
          <w:szCs w:val="32"/>
        </w:rPr>
        <w:fldChar w:fldCharType="separate"/>
      </w:r>
      <w:r>
        <w:rPr>
          <w:color w:val="auto"/>
          <w:sz w:val="32"/>
          <w:szCs w:val="32"/>
        </w:rPr>
        <w:t>- 3 -</w:t>
      </w:r>
      <w:r>
        <w:rPr>
          <w:color w:val="auto"/>
          <w:sz w:val="32"/>
          <w:szCs w:val="32"/>
        </w:rPr>
        <w:fldChar w:fldCharType="end"/>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"_Toc3391971" </w:instrText>
      </w:r>
      <w:r>
        <w:rPr>
          <w:color w:val="auto"/>
        </w:rPr>
        <w:fldChar w:fldCharType="separate"/>
      </w:r>
      <w:r>
        <w:rPr>
          <w:color w:val="auto"/>
          <w:sz w:val="32"/>
          <w:szCs w:val="32"/>
        </w:rPr>
        <w:t>国有建设用地使用权拍卖出让须知</w:t>
      </w:r>
      <w:r>
        <w:rPr>
          <w:color w:val="auto"/>
          <w:sz w:val="32"/>
          <w:szCs w:val="32"/>
        </w:rPr>
        <w:tab/>
      </w:r>
      <w:r>
        <w:rPr>
          <w:color w:val="auto"/>
          <w:sz w:val="32"/>
          <w:szCs w:val="32"/>
        </w:rPr>
        <w:fldChar w:fldCharType="end"/>
      </w:r>
      <w:r>
        <w:rPr>
          <w:rFonts w:hint="eastAsia"/>
          <w:color w:val="auto"/>
          <w:sz w:val="32"/>
          <w:szCs w:val="32"/>
        </w:rPr>
        <w:t>7</w:t>
      </w:r>
      <w:r>
        <w:rPr>
          <w:color w:val="auto"/>
          <w:sz w:val="32"/>
          <w:szCs w:val="32"/>
        </w:rPr>
        <w:t>-</w:t>
      </w:r>
      <w:r>
        <w:rPr>
          <w:rFonts w:hint="eastAsia"/>
          <w:color w:val="auto"/>
          <w:sz w:val="32"/>
          <w:szCs w:val="32"/>
        </w:rPr>
        <w:t>20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"_Toc3391972" </w:instrText>
      </w:r>
      <w:r>
        <w:rPr>
          <w:color w:val="auto"/>
        </w:rPr>
        <w:fldChar w:fldCharType="separate"/>
      </w:r>
      <w:r>
        <w:rPr>
          <w:color w:val="auto"/>
          <w:sz w:val="32"/>
          <w:szCs w:val="32"/>
        </w:rPr>
        <w:t>地块规划条件相关资料</w:t>
      </w:r>
      <w:r>
        <w:rPr>
          <w:color w:val="auto"/>
          <w:sz w:val="32"/>
          <w:szCs w:val="32"/>
        </w:rPr>
        <w:tab/>
      </w:r>
      <w:r>
        <w:rPr>
          <w:color w:val="auto"/>
          <w:sz w:val="32"/>
          <w:szCs w:val="32"/>
        </w:rPr>
        <w:fldChar w:fldCharType="end"/>
      </w:r>
      <w:r>
        <w:rPr>
          <w:rFonts w:hint="eastAsia"/>
          <w:color w:val="auto"/>
          <w:sz w:val="32"/>
          <w:szCs w:val="32"/>
        </w:rPr>
        <w:t>21</w:t>
      </w:r>
      <w:r>
        <w:rPr>
          <w:color w:val="auto"/>
          <w:sz w:val="32"/>
          <w:szCs w:val="32"/>
        </w:rPr>
        <w:t>-</w:t>
      </w:r>
      <w:r>
        <w:rPr>
          <w:rFonts w:hint="eastAsia"/>
          <w:color w:val="auto"/>
          <w:sz w:val="32"/>
          <w:szCs w:val="32"/>
        </w:rPr>
        <w:t>23</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"_Toc3391973" </w:instrText>
      </w:r>
      <w:r>
        <w:rPr>
          <w:color w:val="auto"/>
        </w:rPr>
        <w:fldChar w:fldCharType="separate"/>
      </w:r>
      <w:r>
        <w:rPr>
          <w:color w:val="auto"/>
          <w:sz w:val="32"/>
          <w:szCs w:val="32"/>
        </w:rPr>
        <w:t>用地红线图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"_Toc3391974" </w:instrText>
      </w:r>
      <w:r>
        <w:rPr>
          <w:color w:val="auto"/>
        </w:rPr>
        <w:fldChar w:fldCharType="separate"/>
      </w:r>
      <w:r>
        <w:rPr>
          <w:color w:val="auto"/>
          <w:sz w:val="32"/>
          <w:szCs w:val="32"/>
        </w:rPr>
        <w:t>宗地平面界址图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5</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"_Toc3391975" </w:instrText>
      </w:r>
      <w:r>
        <w:rPr>
          <w:color w:val="auto"/>
        </w:rPr>
        <w:fldChar w:fldCharType="separate"/>
      </w:r>
      <w:r>
        <w:rPr>
          <w:color w:val="auto"/>
          <w:sz w:val="32"/>
          <w:szCs w:val="32"/>
        </w:rPr>
        <w:t>竞买申请书（样本）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"_Toc3391976" </w:instrText>
      </w:r>
      <w:r>
        <w:rPr>
          <w:color w:val="auto"/>
        </w:rPr>
        <w:fldChar w:fldCharType="separate"/>
      </w:r>
      <w:r>
        <w:rPr>
          <w:color w:val="auto"/>
          <w:sz w:val="32"/>
          <w:szCs w:val="32"/>
        </w:rPr>
        <w:t>保证金承诺书（样本）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7</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"_Toc3391977" </w:instrText>
      </w:r>
      <w:r>
        <w:rPr>
          <w:color w:val="auto"/>
        </w:rPr>
        <w:fldChar w:fldCharType="separate"/>
      </w:r>
      <w:r>
        <w:rPr>
          <w:color w:val="auto"/>
          <w:sz w:val="32"/>
          <w:szCs w:val="32"/>
        </w:rPr>
        <w:t>法定代表人身份证明书（样本）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8</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"_Toc3391978" </w:instrText>
      </w:r>
      <w:r>
        <w:rPr>
          <w:color w:val="auto"/>
        </w:rPr>
        <w:fldChar w:fldCharType="separate"/>
      </w:r>
      <w:r>
        <w:rPr>
          <w:color w:val="auto"/>
          <w:sz w:val="32"/>
          <w:szCs w:val="32"/>
        </w:rPr>
        <w:t>授权委托书（样本）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9</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"_Toc3391979" </w:instrText>
      </w:r>
      <w:r>
        <w:rPr>
          <w:color w:val="auto"/>
        </w:rPr>
        <w:fldChar w:fldCharType="separate"/>
      </w:r>
      <w:r>
        <w:rPr>
          <w:color w:val="auto"/>
          <w:sz w:val="32"/>
          <w:szCs w:val="32"/>
        </w:rPr>
        <w:t>成交确认书（样本）</w:t>
      </w:r>
      <w:r>
        <w:rPr>
          <w:color w:val="auto"/>
          <w:sz w:val="32"/>
          <w:szCs w:val="32"/>
        </w:rPr>
        <w:tab/>
      </w:r>
      <w:r>
        <w:rPr>
          <w:rFonts w:hint="eastAsia"/>
          <w:color w:val="auto"/>
          <w:sz w:val="32"/>
          <w:szCs w:val="32"/>
        </w:rPr>
        <w:t>3</w:t>
      </w:r>
      <w:r>
        <w:rPr>
          <w:rFonts w:hint="eastAsia"/>
          <w:color w:val="auto"/>
          <w:sz w:val="32"/>
          <w:szCs w:val="32"/>
        </w:rPr>
        <w:fldChar w:fldCharType="end"/>
      </w:r>
      <w:r>
        <w:rPr>
          <w:rFonts w:hint="eastAsia"/>
          <w:color w:val="auto"/>
          <w:sz w:val="32"/>
          <w:szCs w:val="32"/>
        </w:rPr>
        <w:t>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"_Toc3391980" </w:instrText>
      </w:r>
      <w:r>
        <w:rPr>
          <w:color w:val="auto"/>
        </w:rPr>
        <w:fldChar w:fldCharType="separate"/>
      </w:r>
      <w:r>
        <w:rPr>
          <w:color w:val="auto"/>
          <w:sz w:val="32"/>
          <w:szCs w:val="32"/>
        </w:rPr>
        <w:t>国有建设用地使用权出让合同（样本）</w:t>
      </w:r>
      <w:r>
        <w:rPr>
          <w:color w:val="auto"/>
          <w:sz w:val="32"/>
          <w:szCs w:val="32"/>
        </w:rPr>
        <w:tab/>
      </w:r>
      <w:r>
        <w:rPr>
          <w:color w:val="auto"/>
          <w:sz w:val="32"/>
          <w:szCs w:val="32"/>
        </w:rPr>
        <w:fldChar w:fldCharType="end"/>
      </w:r>
      <w:r>
        <w:rPr>
          <w:rFonts w:hint="eastAsia"/>
          <w:color w:val="auto"/>
          <w:sz w:val="32"/>
          <w:szCs w:val="32"/>
        </w:rPr>
        <w:t>31</w:t>
      </w:r>
      <w:r>
        <w:rPr>
          <w:color w:val="auto"/>
          <w:sz w:val="32"/>
          <w:szCs w:val="32"/>
        </w:rPr>
        <w:t>-4</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"_Toc3391981" </w:instrText>
      </w:r>
      <w:r>
        <w:rPr>
          <w:color w:val="auto"/>
        </w:rPr>
        <w:fldChar w:fldCharType="separate"/>
      </w:r>
      <w:r>
        <w:rPr>
          <w:color w:val="auto"/>
          <w:sz w:val="32"/>
          <w:szCs w:val="32"/>
        </w:rPr>
        <w:t>其他相关文件</w:t>
      </w:r>
      <w:r>
        <w:rPr>
          <w:color w:val="auto"/>
          <w:sz w:val="32"/>
          <w:szCs w:val="32"/>
        </w:rPr>
        <w:tab/>
      </w:r>
      <w:r>
        <w:rPr>
          <w:color w:val="auto"/>
          <w:sz w:val="32"/>
          <w:szCs w:val="32"/>
        </w:rPr>
        <w:fldChar w:fldCharType="end"/>
      </w:r>
      <w:r>
        <w:rPr>
          <w:color w:val="auto"/>
          <w:sz w:val="32"/>
          <w:szCs w:val="32"/>
        </w:rPr>
        <w:t>4</w:t>
      </w:r>
      <w:r>
        <w:rPr>
          <w:rFonts w:hint="eastAsia"/>
          <w:color w:val="auto"/>
          <w:sz w:val="32"/>
          <w:szCs w:val="32"/>
        </w:rPr>
        <w:t>5</w:t>
      </w:r>
      <w:r>
        <w:rPr>
          <w:color w:val="auto"/>
          <w:sz w:val="32"/>
          <w:szCs w:val="32"/>
        </w:rPr>
        <w:t>-4</w:t>
      </w:r>
      <w:r>
        <w:rPr>
          <w:rFonts w:hint="eastAsia"/>
          <w:color w:val="auto"/>
          <w:sz w:val="32"/>
          <w:szCs w:val="32"/>
        </w:rPr>
        <w:t>8</w:t>
      </w:r>
    </w:p>
    <w:p>
      <w:pPr>
        <w:spacing w:line="578" w:lineRule="exact"/>
        <w:rPr>
          <w:rFonts w:eastAsia="黑体"/>
          <w:color w:val="auto"/>
          <w:sz w:val="48"/>
          <w:szCs w:val="48"/>
        </w:rPr>
      </w:pPr>
      <w:r>
        <w:rPr>
          <w:color w:val="auto"/>
          <w:sz w:val="32"/>
          <w:szCs w:val="32"/>
        </w:rPr>
        <w:fldChar w:fldCharType="end"/>
      </w:r>
    </w:p>
    <w:p>
      <w:pPr>
        <w:tabs>
          <w:tab w:val="left" w:leader="middleDot" w:pos="6720"/>
        </w:tabs>
        <w:ind w:left="105" w:hanging="105" w:hangingChars="50"/>
        <w:jc w:val="center"/>
        <w:rPr>
          <w:color w:val="auto"/>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auto"/>
          <w:sz w:val="44"/>
          <w:szCs w:val="44"/>
        </w:rPr>
      </w:pPr>
      <w:bookmarkStart w:id="0" w:name="_Toc3391970"/>
      <w:bookmarkStart w:id="1" w:name="_Toc3391741"/>
      <w:bookmarkStart w:id="2" w:name="OLE_LINK2"/>
      <w:bookmarkStart w:id="3" w:name="OLE_LINK1"/>
      <w:bookmarkStart w:id="4" w:name="_Toc3391971"/>
      <w:bookmarkStart w:id="5" w:name="_Toc3391742"/>
      <w:r>
        <w:rPr>
          <w:rFonts w:eastAsia="方正小标宋简体"/>
          <w:color w:val="auto"/>
          <w:sz w:val="44"/>
          <w:szCs w:val="44"/>
        </w:rPr>
        <w:t>达州市自然资源</w:t>
      </w:r>
      <w:r>
        <w:rPr>
          <w:rFonts w:hint="eastAsia" w:eastAsia="方正小标宋简体"/>
          <w:color w:val="auto"/>
          <w:sz w:val="44"/>
          <w:szCs w:val="44"/>
        </w:rPr>
        <w:t>和</w:t>
      </w:r>
      <w:r>
        <w:rPr>
          <w:rFonts w:eastAsia="方正小标宋简体"/>
          <w:color w:val="auto"/>
          <w:sz w:val="44"/>
          <w:szCs w:val="44"/>
        </w:rPr>
        <w:t>规划局</w:t>
      </w:r>
    </w:p>
    <w:p>
      <w:pPr>
        <w:snapToGrid w:val="0"/>
        <w:spacing w:line="578" w:lineRule="exact"/>
        <w:jc w:val="center"/>
        <w:rPr>
          <w:rFonts w:eastAsia="方正小标宋简体"/>
          <w:color w:val="auto"/>
          <w:sz w:val="44"/>
          <w:szCs w:val="44"/>
        </w:rPr>
      </w:pPr>
      <w:r>
        <w:rPr>
          <w:rFonts w:eastAsia="方正小标宋简体"/>
          <w:color w:val="auto"/>
          <w:sz w:val="44"/>
          <w:szCs w:val="44"/>
        </w:rPr>
        <w:t>达州市公共资源交易服务中心</w:t>
      </w:r>
    </w:p>
    <w:p>
      <w:pPr>
        <w:pStyle w:val="15"/>
        <w:spacing w:before="0" w:after="0" w:line="578" w:lineRule="exact"/>
        <w:rPr>
          <w:rFonts w:ascii="Times New Roman" w:hAnsi="Times New Roman" w:eastAsia="方正小标宋简体"/>
          <w:b w:val="0"/>
          <w:color w:val="auto"/>
          <w:sz w:val="44"/>
          <w:szCs w:val="44"/>
        </w:rPr>
      </w:pPr>
      <w:r>
        <w:rPr>
          <w:rFonts w:ascii="Times New Roman" w:hAnsi="Times New Roman" w:eastAsia="方正小标宋简体"/>
          <w:b w:val="0"/>
          <w:color w:val="auto"/>
          <w:sz w:val="44"/>
          <w:szCs w:val="44"/>
        </w:rPr>
        <w:t>国有建设用地使用权</w:t>
      </w:r>
      <w:r>
        <w:rPr>
          <w:rFonts w:hint="eastAsia" w:ascii="Times New Roman" w:hAnsi="Times New Roman" w:eastAsia="方正小标宋简体"/>
          <w:b w:val="0"/>
          <w:color w:val="auto"/>
          <w:sz w:val="44"/>
          <w:szCs w:val="44"/>
        </w:rPr>
        <w:t>拍卖</w:t>
      </w:r>
      <w:r>
        <w:rPr>
          <w:rFonts w:ascii="Times New Roman" w:hAnsi="Times New Roman" w:eastAsia="方正小标宋简体"/>
          <w:b w:val="0"/>
          <w:color w:val="auto"/>
          <w:sz w:val="44"/>
          <w:szCs w:val="44"/>
        </w:rPr>
        <w:t>出让公告</w:t>
      </w:r>
      <w:bookmarkEnd w:id="0"/>
      <w:bookmarkEnd w:id="1"/>
    </w:p>
    <w:p>
      <w:pPr>
        <w:snapToGrid w:val="0"/>
        <w:spacing w:line="400" w:lineRule="exact"/>
        <w:jc w:val="center"/>
        <w:rPr>
          <w:color w:val="auto"/>
          <w:sz w:val="28"/>
          <w:szCs w:val="28"/>
        </w:rPr>
      </w:pPr>
    </w:p>
    <w:p>
      <w:pPr>
        <w:snapToGrid w:val="0"/>
        <w:spacing w:line="520" w:lineRule="exact"/>
        <w:jc w:val="center"/>
        <w:rPr>
          <w:color w:val="auto"/>
          <w:sz w:val="28"/>
          <w:szCs w:val="28"/>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 xml:space="preserve">号 </w:t>
      </w:r>
    </w:p>
    <w:p>
      <w:pPr>
        <w:spacing w:line="520" w:lineRule="exact"/>
        <w:ind w:firstLine="640" w:firstLineChars="200"/>
        <w:rPr>
          <w:rFonts w:eastAsia="仿宋"/>
          <w:color w:val="auto"/>
          <w:sz w:val="32"/>
          <w:szCs w:val="32"/>
        </w:rPr>
      </w:pPr>
      <w:r>
        <w:rPr>
          <w:rFonts w:eastAsia="仿宋"/>
          <w:color w:val="auto"/>
          <w:sz w:val="32"/>
          <w:szCs w:val="32"/>
          <w:u w:val="none"/>
        </w:rPr>
        <w:t>经达州市人民政府批准，达州市自然资源和规划局决定以</w:t>
      </w:r>
      <w:r>
        <w:rPr>
          <w:rFonts w:hint="eastAsia" w:eastAsia="仿宋"/>
          <w:color w:val="auto"/>
          <w:sz w:val="32"/>
          <w:szCs w:val="32"/>
          <w:u w:val="none"/>
        </w:rPr>
        <w:t>拍卖</w:t>
      </w:r>
      <w:r>
        <w:rPr>
          <w:rFonts w:eastAsia="仿宋"/>
          <w:color w:val="auto"/>
          <w:sz w:val="32"/>
          <w:szCs w:val="32"/>
          <w:u w:val="none"/>
        </w:rPr>
        <w:t>方式出让</w:t>
      </w:r>
      <w:r>
        <w:rPr>
          <w:rFonts w:hint="eastAsia" w:eastAsia="仿宋"/>
          <w:color w:val="auto"/>
          <w:sz w:val="32"/>
          <w:szCs w:val="32"/>
          <w:u w:val="none"/>
        </w:rPr>
        <w:t>莲花湖片区</w:t>
      </w:r>
      <w:r>
        <w:rPr>
          <w:rFonts w:hint="eastAsia" w:eastAsia="仿宋"/>
          <w:color w:val="auto"/>
          <w:sz w:val="32"/>
          <w:szCs w:val="32"/>
          <w:u w:val="none"/>
          <w:lang w:val="en-US" w:eastAsia="zh-CN"/>
        </w:rPr>
        <w:t>ⅢC6-2/1</w:t>
      </w:r>
      <w:r>
        <w:rPr>
          <w:rFonts w:hint="eastAsia" w:eastAsia="仿宋"/>
          <w:color w:val="auto"/>
          <w:sz w:val="32"/>
          <w:szCs w:val="32"/>
          <w:u w:val="none"/>
        </w:rPr>
        <w:t>等8宗国有建设用地使用权</w:t>
      </w:r>
      <w:r>
        <w:rPr>
          <w:rFonts w:eastAsia="仿宋"/>
          <w:color w:val="auto"/>
          <w:sz w:val="32"/>
          <w:szCs w:val="32"/>
          <w:u w:val="none"/>
        </w:rPr>
        <w:t>。达州市公共资源交易服务中心受出让</w:t>
      </w:r>
      <w:r>
        <w:rPr>
          <w:rFonts w:eastAsia="仿宋"/>
          <w:color w:val="auto"/>
          <w:sz w:val="32"/>
          <w:szCs w:val="32"/>
        </w:rPr>
        <w:t>人委托对</w:t>
      </w:r>
      <w:r>
        <w:rPr>
          <w:rFonts w:eastAsia="仿宋"/>
          <w:color w:val="auto"/>
          <w:kern w:val="0"/>
          <w:sz w:val="32"/>
          <w:szCs w:val="32"/>
        </w:rPr>
        <w:t>该地块</w:t>
      </w:r>
      <w:r>
        <w:rPr>
          <w:rFonts w:eastAsia="仿宋"/>
          <w:color w:val="auto"/>
          <w:sz w:val="32"/>
          <w:szCs w:val="32"/>
        </w:rPr>
        <w:t>组织拍卖。现将有关事项公告如下：</w:t>
      </w:r>
    </w:p>
    <w:p>
      <w:pPr>
        <w:pStyle w:val="32"/>
        <w:numPr>
          <w:ilvl w:val="0"/>
          <w:numId w:val="2"/>
        </w:numPr>
        <w:spacing w:line="520" w:lineRule="exact"/>
        <w:ind w:firstLineChars="0"/>
        <w:rPr>
          <w:rFonts w:eastAsia="仿宋"/>
          <w:color w:val="auto"/>
          <w:sz w:val="32"/>
          <w:szCs w:val="32"/>
        </w:rPr>
      </w:pPr>
      <w:r>
        <w:rPr>
          <w:rFonts w:hint="eastAsia" w:eastAsia="仿宋"/>
          <w:color w:val="auto"/>
          <w:sz w:val="32"/>
          <w:szCs w:val="32"/>
        </w:rPr>
        <w:t>拍卖</w:t>
      </w:r>
      <w:r>
        <w:rPr>
          <w:rFonts w:eastAsia="仿宋"/>
          <w:color w:val="auto"/>
          <w:sz w:val="32"/>
          <w:szCs w:val="32"/>
        </w:rPr>
        <w:t>出让地块的基本情况和规划指标要求：</w:t>
      </w:r>
    </w:p>
    <w:tbl>
      <w:tblPr>
        <w:tblStyle w:val="1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31"/>
        <w:gridCol w:w="493"/>
        <w:gridCol w:w="584"/>
        <w:gridCol w:w="417"/>
        <w:gridCol w:w="684"/>
        <w:gridCol w:w="550"/>
        <w:gridCol w:w="683"/>
        <w:gridCol w:w="550"/>
        <w:gridCol w:w="684"/>
        <w:gridCol w:w="817"/>
        <w:gridCol w:w="390"/>
        <w:gridCol w:w="458"/>
        <w:gridCol w:w="64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17" w:type="pct"/>
            <w:vMerge w:val="restart"/>
            <w:tcBorders>
              <w:top w:val="single" w:color="000000" w:sz="4" w:space="0"/>
              <w:lef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序号</w:t>
            </w:r>
          </w:p>
        </w:tc>
        <w:tc>
          <w:tcPr>
            <w:tcW w:w="316"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地块</w:t>
            </w:r>
          </w:p>
          <w:p>
            <w:pPr>
              <w:jc w:val="center"/>
              <w:rPr>
                <w:rFonts w:ascii="仿宋" w:hAnsi="仿宋" w:eastAsia="仿宋"/>
                <w:b/>
                <w:color w:val="auto"/>
                <w:sz w:val="18"/>
                <w:szCs w:val="18"/>
              </w:rPr>
            </w:pPr>
            <w:r>
              <w:rPr>
                <w:rFonts w:hint="eastAsia" w:ascii="仿宋" w:hAnsi="仿宋" w:eastAsia="仿宋" w:cs="宋体"/>
                <w:b/>
                <w:color w:val="auto"/>
                <w:sz w:val="18"/>
                <w:szCs w:val="18"/>
              </w:rPr>
              <w:t>编号</w:t>
            </w:r>
          </w:p>
        </w:tc>
        <w:tc>
          <w:tcPr>
            <w:tcW w:w="293"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位置</w:t>
            </w:r>
          </w:p>
        </w:tc>
        <w:tc>
          <w:tcPr>
            <w:tcW w:w="3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土地出让面积</w:t>
            </w:r>
            <w:r>
              <w:rPr>
                <w:rFonts w:ascii="仿宋" w:hAnsi="仿宋" w:eastAsia="仿宋" w:cs="宋体"/>
                <w:b/>
                <w:color w:val="auto"/>
                <w:sz w:val="18"/>
                <w:szCs w:val="18"/>
              </w:rPr>
              <w:t>(</w:t>
            </w:r>
            <w:r>
              <w:rPr>
                <w:rFonts w:hint="eastAsia" w:ascii="仿宋" w:hAnsi="仿宋" w:eastAsia="仿宋" w:cs="宋体"/>
                <w:b/>
                <w:color w:val="auto"/>
                <w:sz w:val="18"/>
                <w:szCs w:val="18"/>
              </w:rPr>
              <w:t>㎡）</w:t>
            </w:r>
          </w:p>
        </w:tc>
        <w:tc>
          <w:tcPr>
            <w:tcW w:w="2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规划指标要求</w:t>
            </w:r>
          </w:p>
        </w:tc>
        <w:tc>
          <w:tcPr>
            <w:tcW w:w="23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出让</w:t>
            </w:r>
          </w:p>
          <w:p>
            <w:pPr>
              <w:jc w:val="center"/>
              <w:rPr>
                <w:rFonts w:ascii="仿宋" w:hAnsi="仿宋" w:eastAsia="仿宋"/>
                <w:b/>
                <w:color w:val="auto"/>
                <w:sz w:val="18"/>
                <w:szCs w:val="18"/>
              </w:rPr>
            </w:pPr>
            <w:r>
              <w:rPr>
                <w:rFonts w:hint="eastAsia" w:ascii="仿宋" w:hAnsi="仿宋" w:eastAsia="仿宋" w:cs="宋体"/>
                <w:b/>
                <w:color w:val="auto"/>
                <w:sz w:val="18"/>
                <w:szCs w:val="18"/>
              </w:rPr>
              <w:t>年限</w:t>
            </w:r>
          </w:p>
        </w:tc>
        <w:tc>
          <w:tcPr>
            <w:tcW w:w="27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起叫价</w:t>
            </w:r>
          </w:p>
        </w:tc>
        <w:tc>
          <w:tcPr>
            <w:tcW w:w="382" w:type="pct"/>
            <w:vMerge w:val="restart"/>
            <w:tcBorders>
              <w:top w:val="single" w:color="000000" w:sz="4" w:space="0"/>
              <w:right w:val="single" w:color="000000" w:sz="4" w:space="0"/>
            </w:tcBorders>
            <w:vAlign w:val="center"/>
          </w:tcPr>
          <w:p>
            <w:pPr>
              <w:jc w:val="center"/>
              <w:rPr>
                <w:rFonts w:ascii="仿宋" w:hAnsi="仿宋" w:eastAsia="仿宋"/>
                <w:b/>
                <w:color w:val="auto"/>
                <w:spacing w:val="-6"/>
                <w:sz w:val="18"/>
                <w:szCs w:val="18"/>
              </w:rPr>
            </w:pPr>
            <w:r>
              <w:rPr>
                <w:rFonts w:hint="eastAsia" w:ascii="仿宋" w:hAnsi="仿宋" w:eastAsia="仿宋" w:cs="宋体"/>
                <w:b/>
                <w:color w:val="auto"/>
                <w:spacing w:val="-6"/>
                <w:sz w:val="18"/>
                <w:szCs w:val="18"/>
              </w:rPr>
              <w:t>增价</w:t>
            </w:r>
          </w:p>
          <w:p>
            <w:pPr>
              <w:jc w:val="center"/>
              <w:rPr>
                <w:rFonts w:ascii="仿宋" w:hAnsi="仿宋" w:eastAsia="仿宋"/>
                <w:b/>
                <w:color w:val="auto"/>
                <w:spacing w:val="-32"/>
                <w:sz w:val="18"/>
                <w:szCs w:val="18"/>
              </w:rPr>
            </w:pPr>
            <w:r>
              <w:rPr>
                <w:rFonts w:hint="eastAsia" w:ascii="仿宋" w:hAnsi="仿宋" w:eastAsia="仿宋" w:cs="宋体"/>
                <w:b/>
                <w:color w:val="auto"/>
                <w:spacing w:val="-6"/>
                <w:sz w:val="18"/>
                <w:szCs w:val="18"/>
              </w:rPr>
              <w:t>幅度</w:t>
            </w:r>
          </w:p>
        </w:tc>
        <w:tc>
          <w:tcPr>
            <w:tcW w:w="322" w:type="pct"/>
            <w:vMerge w:val="restart"/>
            <w:tcBorders>
              <w:top w:val="single" w:color="000000" w:sz="4" w:space="0"/>
              <w:right w:val="single" w:color="000000" w:sz="4" w:space="0"/>
            </w:tcBorders>
            <w:vAlign w:val="center"/>
          </w:tcPr>
          <w:p>
            <w:pPr>
              <w:jc w:val="center"/>
              <w:rPr>
                <w:rFonts w:ascii="仿宋" w:hAnsi="仿宋" w:eastAsia="仿宋" w:cs="宋体"/>
                <w:b/>
                <w:color w:val="auto"/>
                <w:sz w:val="18"/>
                <w:szCs w:val="18"/>
              </w:rPr>
            </w:pPr>
            <w:r>
              <w:rPr>
                <w:rFonts w:hint="eastAsia" w:ascii="仿宋" w:hAnsi="仿宋" w:eastAsia="仿宋" w:cs="宋体"/>
                <w:b/>
                <w:color w:val="auto"/>
                <w:sz w:val="18"/>
                <w:szCs w:val="18"/>
              </w:rPr>
              <w:t>竞买</w:t>
            </w:r>
          </w:p>
          <w:p>
            <w:pPr>
              <w:jc w:val="center"/>
              <w:rPr>
                <w:rFonts w:ascii="仿宋" w:hAnsi="仿宋" w:eastAsia="仿宋"/>
                <w:b/>
                <w:color w:val="auto"/>
                <w:sz w:val="18"/>
                <w:szCs w:val="18"/>
              </w:rPr>
            </w:pPr>
            <w:r>
              <w:rPr>
                <w:rFonts w:hint="eastAsia" w:ascii="仿宋" w:hAnsi="仿宋" w:eastAsia="仿宋" w:cs="宋体"/>
                <w:b/>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17" w:type="pct"/>
            <w:vMerge w:val="continue"/>
            <w:tcBorders>
              <w:top w:val="single" w:color="000000" w:sz="4" w:space="0"/>
              <w:left w:val="single" w:color="000000" w:sz="4" w:space="0"/>
            </w:tcBorders>
            <w:vAlign w:val="center"/>
          </w:tcPr>
          <w:p>
            <w:pPr>
              <w:widowControl/>
              <w:jc w:val="left"/>
              <w:rPr>
                <w:rFonts w:ascii="仿宋" w:hAnsi="仿宋" w:eastAsia="仿宋"/>
                <w:color w:val="auto"/>
                <w:sz w:val="18"/>
                <w:szCs w:val="18"/>
              </w:rPr>
            </w:pPr>
          </w:p>
        </w:tc>
        <w:tc>
          <w:tcPr>
            <w:tcW w:w="316"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93"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3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407"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auto"/>
                <w:sz w:val="18"/>
                <w:szCs w:val="18"/>
              </w:rPr>
            </w:pPr>
            <w:r>
              <w:rPr>
                <w:rFonts w:hint="eastAsia" w:ascii="仿宋" w:hAnsi="仿宋" w:eastAsia="仿宋" w:cs="宋体"/>
                <w:b/>
                <w:color w:val="auto"/>
                <w:sz w:val="18"/>
                <w:szCs w:val="18"/>
              </w:rPr>
              <w:t>容积率</w:t>
            </w:r>
          </w:p>
        </w:tc>
        <w:tc>
          <w:tcPr>
            <w:tcW w:w="32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密度</w:t>
            </w:r>
          </w:p>
        </w:tc>
        <w:tc>
          <w:tcPr>
            <w:tcW w:w="40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绿地率</w:t>
            </w:r>
          </w:p>
        </w:tc>
        <w:tc>
          <w:tcPr>
            <w:tcW w:w="32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限高</w:t>
            </w:r>
          </w:p>
        </w:tc>
        <w:tc>
          <w:tcPr>
            <w:tcW w:w="40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b/>
                <w:color w:val="auto"/>
                <w:sz w:val="18"/>
                <w:szCs w:val="18"/>
              </w:rPr>
              <w:t>配套</w:t>
            </w:r>
          </w:p>
          <w:p>
            <w:pPr>
              <w:jc w:val="center"/>
              <w:rPr>
                <w:rFonts w:ascii="仿宋" w:hAnsi="仿宋" w:eastAsia="仿宋"/>
                <w:b/>
                <w:color w:val="auto"/>
                <w:sz w:val="18"/>
                <w:szCs w:val="18"/>
              </w:rPr>
            </w:pPr>
            <w:r>
              <w:rPr>
                <w:rFonts w:hint="eastAsia" w:ascii="仿宋" w:hAnsi="仿宋" w:eastAsia="仿宋"/>
                <w:b/>
                <w:color w:val="auto"/>
                <w:sz w:val="18"/>
                <w:szCs w:val="18"/>
              </w:rPr>
              <w:t>设施</w:t>
            </w:r>
          </w:p>
        </w:tc>
        <w:tc>
          <w:tcPr>
            <w:tcW w:w="48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其他规划指标</w:t>
            </w:r>
          </w:p>
        </w:tc>
        <w:tc>
          <w:tcPr>
            <w:tcW w:w="23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27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382" w:type="pct"/>
            <w:vMerge w:val="continue"/>
            <w:tcBorders>
              <w:right w:val="single" w:color="000000" w:sz="4" w:space="0"/>
            </w:tcBorders>
            <w:vAlign w:val="center"/>
          </w:tcPr>
          <w:p>
            <w:pPr>
              <w:widowControl/>
              <w:jc w:val="left"/>
              <w:rPr>
                <w:rFonts w:ascii="仿宋" w:hAnsi="仿宋" w:eastAsia="仿宋"/>
                <w:color w:val="auto"/>
                <w:spacing w:val="-32"/>
                <w:sz w:val="18"/>
                <w:szCs w:val="18"/>
              </w:rPr>
            </w:pPr>
          </w:p>
        </w:tc>
        <w:tc>
          <w:tcPr>
            <w:tcW w:w="322" w:type="pct"/>
            <w:vMerge w:val="continue"/>
            <w:tcBorders>
              <w:right w:val="single" w:color="000000" w:sz="4" w:space="0"/>
            </w:tcBorders>
            <w:vAlign w:val="center"/>
          </w:tcPr>
          <w:p>
            <w:pPr>
              <w:widowControl/>
              <w:jc w:val="left"/>
              <w:rPr>
                <w:rFonts w:ascii="仿宋" w:hAnsi="仿宋" w:eastAsia="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ascii="仿宋" w:hAnsi="仿宋" w:eastAsia="仿宋" w:cs="宋体"/>
                <w:color w:val="auto"/>
                <w:kern w:val="2"/>
                <w:sz w:val="18"/>
                <w:szCs w:val="18"/>
                <w:lang w:val="en-US" w:eastAsia="zh-CN" w:bidi="ar-SA"/>
              </w:rPr>
            </w:pPr>
            <w:r>
              <w:rPr>
                <w:rFonts w:ascii="仿宋" w:hAnsi="仿宋" w:eastAsia="仿宋" w:cs="宋体"/>
                <w:color w:val="auto"/>
                <w:sz w:val="18"/>
                <w:szCs w:val="18"/>
              </w:rPr>
              <w:t>1</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达州市马踏洞外围片区C7-04地块</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达州市通川区复兴镇孙家坪社区</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31507.91 </w:t>
            </w:r>
            <w:r>
              <w:rPr>
                <w:rFonts w:hint="eastAsia" w:ascii="仿宋" w:hAnsi="仿宋" w:eastAsia="仿宋" w:cs="仿宋"/>
                <w:color w:val="auto"/>
                <w:sz w:val="18"/>
                <w:szCs w:val="18"/>
                <w:lang w:val="en-US" w:eastAsia="zh-CN"/>
              </w:rPr>
              <w:t>平方米（折合47.26亩）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213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2020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2</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达州市梁家坝组团B-06-03（A区）地块</w:t>
            </w: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default" w:ascii="仿宋" w:hAnsi="仿宋" w:eastAsia="仿宋" w:cs="仿宋"/>
                <w:color w:val="auto"/>
                <w:sz w:val="18"/>
                <w:szCs w:val="18"/>
                <w:lang w:val="en-US" w:eastAsia="zh-CN"/>
              </w:rPr>
              <w:t>六组</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45563.25  </w:t>
            </w:r>
            <w:r>
              <w:rPr>
                <w:rFonts w:hint="eastAsia" w:ascii="仿宋" w:hAnsi="仿宋" w:eastAsia="仿宋" w:cs="仿宋"/>
                <w:color w:val="auto"/>
                <w:sz w:val="18"/>
                <w:szCs w:val="18"/>
                <w:lang w:val="en-US" w:eastAsia="zh-CN"/>
              </w:rPr>
              <w:t>平方米（折合68.34亩）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234</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3200</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3</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达州市梁家坝组团B-06-03（B区）地块</w:t>
            </w:r>
          </w:p>
        </w:tc>
        <w:tc>
          <w:tcPr>
            <w:tcW w:w="293"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46259.69</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rPr>
              <w:t xml:space="preserve"> </w:t>
            </w:r>
            <w:r>
              <w:rPr>
                <w:rFonts w:hint="default" w:ascii="仿宋" w:hAnsi="仿宋" w:eastAsia="仿宋" w:cs="仿宋"/>
                <w:color w:val="auto"/>
                <w:sz w:val="18"/>
                <w:szCs w:val="18"/>
                <w:lang w:val="en-US" w:eastAsia="zh-CN"/>
              </w:rPr>
              <w:t xml:space="preserve">  </w:t>
            </w:r>
            <w:r>
              <w:rPr>
                <w:rFonts w:hint="default" w:ascii="仿宋" w:hAnsi="仿宋" w:eastAsia="仿宋" w:cs="仿宋"/>
                <w:color w:val="auto"/>
                <w:sz w:val="18"/>
                <w:szCs w:val="18"/>
              </w:rPr>
              <w:t xml:space="preserve">69.39 </w:t>
            </w:r>
            <w:r>
              <w:rPr>
                <w:rFonts w:hint="eastAsia" w:ascii="仿宋" w:hAnsi="仿宋" w:eastAsia="仿宋" w:cs="仿宋"/>
                <w:color w:val="auto"/>
                <w:sz w:val="18"/>
                <w:szCs w:val="18"/>
                <w:lang w:val="en-US" w:eastAsia="zh-CN"/>
              </w:rPr>
              <w:t xml:space="preserve"> 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228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3170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4</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达州市梁家坝组团B-06-04地块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3</w:t>
            </w:r>
            <w:r>
              <w:rPr>
                <w:rFonts w:hint="default" w:ascii="仿宋" w:hAnsi="仿宋" w:eastAsia="仿宋" w:cs="仿宋"/>
                <w:color w:val="auto"/>
                <w:sz w:val="18"/>
                <w:szCs w:val="18"/>
                <w:lang w:val="en-US" w:eastAsia="zh-CN"/>
              </w:rPr>
              <w:t>2225.12</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 xml:space="preserve"> 48.34</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rPr>
              <w:t xml:space="preserve"> 亩</w:t>
            </w:r>
            <w:r>
              <w:rPr>
                <w:rFonts w:hint="eastAsia" w:ascii="仿宋" w:hAnsi="仿宋" w:eastAsia="仿宋" w:cs="仿宋"/>
                <w:color w:val="auto"/>
                <w:sz w:val="18"/>
                <w:szCs w:val="18"/>
                <w:lang w:eastAsia="zh-CN"/>
              </w:rPr>
              <w:t>）</w:t>
            </w:r>
          </w:p>
        </w:tc>
        <w:tc>
          <w:tcPr>
            <w:tcW w:w="2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48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 40</w:t>
            </w:r>
            <w:r>
              <w:rPr>
                <w:rFonts w:hint="eastAsia" w:ascii="仿宋" w:hAnsi="仿宋" w:eastAsia="仿宋" w:cs="仿宋"/>
                <w:color w:val="auto"/>
                <w:sz w:val="18"/>
                <w:szCs w:val="18"/>
                <w:lang w:val="en-US" w:eastAsia="zh-CN"/>
              </w:rPr>
              <w:t>年、</w:t>
            </w:r>
            <w:r>
              <w:rPr>
                <w:rFonts w:hint="eastAsia" w:ascii="仿宋" w:hAnsi="仿宋" w:eastAsia="仿宋" w:cs="仿宋"/>
                <w:color w:val="auto"/>
                <w:sz w:val="18"/>
                <w:szCs w:val="18"/>
              </w:rPr>
              <w:t xml:space="preserve"> 住 宅 70</w:t>
            </w:r>
            <w:r>
              <w:rPr>
                <w:rFonts w:hint="eastAsia" w:ascii="仿宋" w:hAnsi="仿宋" w:eastAsia="仿宋" w:cs="仿宋"/>
                <w:color w:val="auto"/>
                <w:sz w:val="18"/>
                <w:szCs w:val="18"/>
                <w:lang w:val="en-US" w:eastAsia="zh-CN"/>
              </w:rPr>
              <w:t>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228</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2210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5</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达州市梁家坝组团C-02-04地块</w:t>
            </w:r>
          </w:p>
        </w:tc>
        <w:tc>
          <w:tcPr>
            <w:tcW w:w="293"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eastAsia" w:ascii="仿宋" w:hAnsi="仿宋" w:eastAsia="仿宋" w:cs="仿宋"/>
                <w:color w:val="auto"/>
                <w:sz w:val="18"/>
                <w:szCs w:val="18"/>
                <w:lang w:val="en-US" w:eastAsia="zh-CN"/>
              </w:rPr>
              <w:t>四组</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3301.25 </w:t>
            </w:r>
            <w:r>
              <w:rPr>
                <w:rFonts w:hint="eastAsia" w:ascii="仿宋" w:hAnsi="仿宋" w:eastAsia="仿宋" w:cs="仿宋"/>
                <w:color w:val="auto"/>
                <w:sz w:val="18"/>
                <w:szCs w:val="18"/>
              </w:rPr>
              <w:t>平方米（折合</w:t>
            </w:r>
            <w:r>
              <w:rPr>
                <w:rFonts w:hint="default" w:ascii="仿宋" w:hAnsi="仿宋" w:eastAsia="仿宋" w:cs="仿宋"/>
                <w:color w:val="auto"/>
                <w:sz w:val="18"/>
                <w:szCs w:val="18"/>
              </w:rPr>
              <w:t xml:space="preserve">4.95 </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公用设施营业网点用地（加油站用地B41）</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F≤0.5</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702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1740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6</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达州市环城路二期及环凤产业大道沿线片区03-B-01-05地块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12009.27</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18.01</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5800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7</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达州市环城路二期及环凤产业大道沿线片区03-B-01-07地块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10749.86</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16.13</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5200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default"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8</w:t>
            </w:r>
          </w:p>
        </w:tc>
        <w:tc>
          <w:tcPr>
            <w:tcW w:w="316"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 xml:space="preserve">花湖片区ⅢC6-2/1地块 </w:t>
            </w:r>
            <w:r>
              <w:rPr>
                <w:rFonts w:hint="eastAsia" w:ascii="仿宋" w:hAnsi="仿宋" w:eastAsia="仿宋" w:cs="仿宋"/>
                <w:color w:val="auto"/>
                <w:sz w:val="18"/>
                <w:szCs w:val="18"/>
              </w:rPr>
              <w:t xml:space="preserve"> </w:t>
            </w:r>
          </w:p>
        </w:tc>
        <w:tc>
          <w:tcPr>
            <w:tcW w:w="293"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莲花湖片区</w:t>
            </w:r>
          </w:p>
          <w:p>
            <w:pPr>
              <w:spacing w:line="200" w:lineRule="exact"/>
              <w:jc w:val="center"/>
              <w:rPr>
                <w:rFonts w:hint="default" w:ascii="仿宋" w:hAnsi="仿宋" w:eastAsia="仿宋" w:cs="仿宋"/>
                <w:color w:val="auto"/>
                <w:sz w:val="18"/>
                <w:szCs w:val="18"/>
              </w:rPr>
            </w:pPr>
          </w:p>
        </w:tc>
        <w:tc>
          <w:tcPr>
            <w:tcW w:w="348"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37488</w:t>
            </w:r>
          </w:p>
          <w:p>
            <w:pPr>
              <w:spacing w:line="200" w:lineRule="exact"/>
              <w:jc w:val="center"/>
              <w:rPr>
                <w:rFonts w:hint="default" w:ascii="仿宋" w:hAnsi="仿宋" w:eastAsia="仿宋" w:cs="仿宋"/>
                <w:color w:val="auto"/>
                <w:sz w:val="18"/>
                <w:szCs w:val="18"/>
                <w:lang w:val="en-US"/>
              </w:rPr>
            </w:pP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56.23</w:t>
            </w:r>
            <w:r>
              <w:rPr>
                <w:rFonts w:hint="eastAsia" w:ascii="仿宋" w:hAnsi="仿宋" w:eastAsia="仿宋" w:cs="仿宋"/>
                <w:color w:val="auto"/>
                <w:sz w:val="18"/>
                <w:szCs w:val="18"/>
                <w:lang w:val="en-US" w:eastAsia="zh-CN"/>
              </w:rPr>
              <w:t>亩）</w:t>
            </w:r>
          </w:p>
          <w:p>
            <w:pPr>
              <w:spacing w:line="200" w:lineRule="exact"/>
              <w:jc w:val="center"/>
              <w:rPr>
                <w:rFonts w:hint="default" w:ascii="仿宋" w:hAnsi="仿宋" w:eastAsia="仿宋" w:cs="仿宋"/>
                <w:color w:val="auto"/>
                <w:sz w:val="18"/>
                <w:szCs w:val="18"/>
                <w:lang w:val="en-US" w:eastAsia="zh-CN"/>
              </w:rPr>
            </w:pP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二类城镇住宅用地（其中商业计容面积按不超过总计容面积的10%执行）</w:t>
            </w:r>
          </w:p>
          <w:p>
            <w:pPr>
              <w:spacing w:line="200" w:lineRule="exact"/>
              <w:jc w:val="center"/>
              <w:rPr>
                <w:rFonts w:hint="default"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1.0</w:t>
            </w:r>
            <w:r>
              <w:rPr>
                <w:rFonts w:hint="eastAsia"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F≤3.3</w:t>
            </w:r>
          </w:p>
          <w:p>
            <w:pPr>
              <w:spacing w:line="200" w:lineRule="exact"/>
              <w:jc w:val="center"/>
              <w:rPr>
                <w:rFonts w:hint="default" w:ascii="仿宋" w:hAnsi="仿宋" w:eastAsia="仿宋" w:cs="仿宋"/>
                <w:color w:val="auto"/>
                <w:sz w:val="18"/>
                <w:szCs w:val="18"/>
              </w:rPr>
            </w:pPr>
          </w:p>
        </w:tc>
        <w:tc>
          <w:tcPr>
            <w:tcW w:w="32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B≤30%</w:t>
            </w:r>
          </w:p>
          <w:p>
            <w:pPr>
              <w:spacing w:line="200" w:lineRule="exact"/>
              <w:jc w:val="center"/>
              <w:rPr>
                <w:rFonts w:hint="eastAsia"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G≥30%</w:t>
            </w:r>
          </w:p>
          <w:p>
            <w:pPr>
              <w:spacing w:line="200" w:lineRule="exact"/>
              <w:jc w:val="center"/>
              <w:rPr>
                <w:rFonts w:hint="eastAsia" w:ascii="仿宋" w:hAnsi="仿宋" w:eastAsia="仿宋" w:cs="仿宋"/>
                <w:color w:val="auto"/>
                <w:sz w:val="18"/>
                <w:szCs w:val="18"/>
                <w:lang w:val="en-US" w:eastAsia="zh-CN"/>
              </w:rPr>
            </w:pPr>
          </w:p>
        </w:tc>
        <w:tc>
          <w:tcPr>
            <w:tcW w:w="32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23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商业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40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年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住宅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70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年</w:t>
            </w:r>
          </w:p>
          <w:p>
            <w:pPr>
              <w:spacing w:line="200" w:lineRule="exact"/>
              <w:jc w:val="center"/>
              <w:rPr>
                <w:rFonts w:hint="eastAsia" w:ascii="仿宋" w:hAnsi="仿宋" w:eastAsia="仿宋" w:cs="仿宋"/>
                <w:color w:val="auto"/>
                <w:sz w:val="18"/>
                <w:szCs w:val="18"/>
              </w:rPr>
            </w:pP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532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sz w:val="18"/>
                <w:szCs w:val="18"/>
                <w:lang w:val="en-US" w:eastAsia="zh-CN"/>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sz w:val="18"/>
                <w:szCs w:val="18"/>
                <w:lang w:val="en-US" w:eastAsia="zh-CN"/>
              </w:rPr>
            </w:pPr>
          </w:p>
        </w:tc>
        <w:tc>
          <w:tcPr>
            <w:tcW w:w="322" w:type="pct"/>
            <w:vAlign w:val="center"/>
          </w:tcPr>
          <w:p>
            <w:pPr>
              <w:spacing w:line="200" w:lineRule="exact"/>
              <w:jc w:val="center"/>
              <w:rPr>
                <w:rFonts w:hint="default" w:ascii="仿宋" w:hAnsi="仿宋" w:eastAsia="仿宋" w:cs="仿宋"/>
                <w:color w:val="auto"/>
                <w:sz w:val="18"/>
                <w:szCs w:val="18"/>
                <w:lang w:val="en-US"/>
              </w:rPr>
            </w:pPr>
            <w:r>
              <w:rPr>
                <w:rFonts w:hint="default" w:ascii="仿宋" w:hAnsi="仿宋" w:eastAsia="仿宋" w:cs="仿宋"/>
                <w:color w:val="auto"/>
                <w:sz w:val="18"/>
                <w:szCs w:val="18"/>
                <w:lang w:val="en-US" w:eastAsia="zh-CN"/>
              </w:rPr>
              <w:t>6000</w:t>
            </w:r>
            <w:r>
              <w:rPr>
                <w:rFonts w:hint="eastAsia" w:ascii="仿宋" w:hAnsi="仿宋" w:eastAsia="仿宋" w:cs="仿宋"/>
                <w:color w:val="auto"/>
                <w:sz w:val="18"/>
                <w:szCs w:val="18"/>
                <w:lang w:val="en-US" w:eastAsia="zh-CN"/>
              </w:rPr>
              <w:t>万元</w:t>
            </w:r>
          </w:p>
          <w:p>
            <w:pPr>
              <w:spacing w:line="200" w:lineRule="exact"/>
              <w:jc w:val="center"/>
              <w:rPr>
                <w:rFonts w:hint="default" w:ascii="仿宋" w:hAnsi="仿宋" w:eastAsia="仿宋" w:cs="仿宋"/>
                <w:color w:val="auto"/>
                <w:sz w:val="18"/>
                <w:szCs w:val="18"/>
                <w:lang w:val="en-US" w:eastAsia="zh-CN"/>
              </w:rPr>
            </w:pPr>
          </w:p>
        </w:tc>
      </w:tr>
    </w:tbl>
    <w:p>
      <w:pPr>
        <w:snapToGrid w:val="0"/>
        <w:spacing w:line="570" w:lineRule="exact"/>
        <w:ind w:firstLine="640" w:firstLineChars="200"/>
        <w:rPr>
          <w:rFonts w:eastAsia="仿宋"/>
          <w:color w:val="auto"/>
          <w:sz w:val="32"/>
          <w:szCs w:val="32"/>
        </w:rPr>
      </w:pPr>
      <w:r>
        <w:rPr>
          <w:rFonts w:eastAsia="仿宋"/>
          <w:color w:val="auto"/>
          <w:sz w:val="32"/>
          <w:szCs w:val="32"/>
        </w:rPr>
        <w:t>二、中华人民共和国境内外的法人、自然人和其他组织均可申请参加竞买，竞买申请人可以单独申请</w:t>
      </w:r>
      <w:r>
        <w:rPr>
          <w:rFonts w:hint="eastAsia" w:eastAsia="仿宋"/>
          <w:color w:val="auto"/>
          <w:sz w:val="32"/>
          <w:szCs w:val="32"/>
        </w:rPr>
        <w:t>，</w:t>
      </w:r>
      <w:r>
        <w:rPr>
          <w:rFonts w:eastAsia="仿宋"/>
          <w:color w:val="auto"/>
          <w:sz w:val="32"/>
          <w:szCs w:val="32"/>
        </w:rPr>
        <w:t>也可以联合申请，但法律法规或出让文件有特殊规定的除外。</w:t>
      </w:r>
    </w:p>
    <w:p>
      <w:pPr>
        <w:snapToGrid w:val="0"/>
        <w:spacing w:line="570" w:lineRule="exact"/>
        <w:ind w:firstLine="640" w:firstLineChars="200"/>
        <w:rPr>
          <w:rFonts w:eastAsia="仿宋"/>
          <w:color w:val="auto"/>
          <w:sz w:val="32"/>
          <w:szCs w:val="32"/>
        </w:rPr>
      </w:pPr>
      <w:r>
        <w:rPr>
          <w:rFonts w:eastAsia="仿宋"/>
          <w:color w:val="auto"/>
          <w:sz w:val="32"/>
          <w:szCs w:val="32"/>
        </w:rPr>
        <w:t>三、申请参加本公告土地竞买的，竞买保证金须按竞买宗地对应金额足额缴纳。</w:t>
      </w:r>
      <w:r>
        <w:rPr>
          <w:rFonts w:hint="eastAsia" w:eastAsia="仿宋"/>
          <w:color w:val="auto"/>
          <w:sz w:val="32"/>
          <w:szCs w:val="32"/>
          <w:lang w:val="en-US" w:eastAsia="zh-CN"/>
        </w:rPr>
        <w:t>竞</w:t>
      </w:r>
      <w:r>
        <w:rPr>
          <w:rFonts w:hint="eastAsia" w:eastAsia="仿宋"/>
          <w:color w:val="auto"/>
          <w:sz w:val="32"/>
          <w:szCs w:val="32"/>
        </w:rPr>
        <w:t>得人交纳的</w:t>
      </w:r>
      <w:r>
        <w:rPr>
          <w:rFonts w:hint="eastAsia" w:eastAsia="仿宋"/>
          <w:color w:val="auto"/>
          <w:sz w:val="32"/>
          <w:szCs w:val="32"/>
          <w:lang w:val="en-US" w:eastAsia="zh-CN"/>
        </w:rPr>
        <w:t>竞</w:t>
      </w:r>
      <w:r>
        <w:rPr>
          <w:rFonts w:hint="eastAsia" w:eastAsia="仿宋"/>
          <w:color w:val="auto"/>
          <w:sz w:val="32"/>
          <w:szCs w:val="32"/>
        </w:rPr>
        <w:t>买保证金，在签订《成交确认书》后自动转为出让土地的定金，在签订《国有建设用地使用权出让合同》后，于支付土地出让价款时可抵作土地出让价款。</w:t>
      </w:r>
    </w:p>
    <w:p>
      <w:pPr>
        <w:snapToGrid w:val="0"/>
        <w:spacing w:line="570" w:lineRule="exact"/>
        <w:ind w:firstLine="640" w:firstLineChars="200"/>
        <w:rPr>
          <w:rFonts w:hint="eastAsia" w:eastAsia="仿宋"/>
          <w:color w:val="auto"/>
          <w:sz w:val="32"/>
          <w:szCs w:val="32"/>
          <w:lang w:eastAsia="zh-CN"/>
        </w:rPr>
      </w:pPr>
      <w:r>
        <w:rPr>
          <w:rFonts w:eastAsia="仿宋"/>
          <w:color w:val="auto"/>
          <w:sz w:val="32"/>
          <w:szCs w:val="32"/>
        </w:rPr>
        <w:t>四、本次国有建设用地使用权</w:t>
      </w:r>
      <w:r>
        <w:rPr>
          <w:rFonts w:hint="eastAsia" w:eastAsia="仿宋"/>
          <w:color w:val="auto"/>
          <w:sz w:val="32"/>
          <w:szCs w:val="32"/>
        </w:rPr>
        <w:t>拍卖</w:t>
      </w:r>
      <w:r>
        <w:rPr>
          <w:rFonts w:eastAsia="仿宋"/>
          <w:color w:val="auto"/>
          <w:sz w:val="32"/>
          <w:szCs w:val="32"/>
        </w:rPr>
        <w:t>出让</w:t>
      </w:r>
      <w:r>
        <w:rPr>
          <w:rFonts w:hint="eastAsia" w:eastAsia="仿宋"/>
          <w:color w:val="auto"/>
          <w:sz w:val="32"/>
          <w:szCs w:val="32"/>
          <w:lang w:val="en-US" w:eastAsia="zh-CN"/>
        </w:rPr>
        <w:t>地块中：</w:t>
      </w:r>
      <w:r>
        <w:rPr>
          <w:rFonts w:hint="eastAsia" w:eastAsia="仿宋"/>
          <w:color w:val="auto"/>
          <w:sz w:val="32"/>
          <w:szCs w:val="32"/>
        </w:rPr>
        <w:t>达州市梁家坝组团C-02-04地块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达州市环城路二期及环凤产业大道沿线片区03-B-01-05地块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达州市环城路二期及环凤产业大道沿线片区03-B-01-07地块</w:t>
      </w:r>
      <w:r>
        <w:rPr>
          <w:rFonts w:eastAsia="仿宋"/>
          <w:color w:val="auto"/>
          <w:sz w:val="32"/>
          <w:szCs w:val="32"/>
        </w:rPr>
        <w:t>政府</w:t>
      </w:r>
      <w:r>
        <w:rPr>
          <w:rFonts w:hint="eastAsia" w:eastAsia="仿宋"/>
          <w:color w:val="auto"/>
          <w:sz w:val="32"/>
          <w:szCs w:val="32"/>
          <w:lang w:val="en-US" w:eastAsia="zh-CN"/>
        </w:rPr>
        <w:t>设有</w:t>
      </w:r>
      <w:r>
        <w:rPr>
          <w:rFonts w:eastAsia="仿宋"/>
          <w:color w:val="auto"/>
          <w:sz w:val="32"/>
          <w:szCs w:val="32"/>
        </w:rPr>
        <w:t>底价，采用增价拍卖方式竞价，按照价高者得原则确定竞得人</w:t>
      </w:r>
      <w:r>
        <w:rPr>
          <w:rFonts w:hint="eastAsia" w:eastAsia="仿宋"/>
          <w:color w:val="auto"/>
          <w:sz w:val="32"/>
          <w:szCs w:val="32"/>
          <w:lang w:eastAsia="zh-CN"/>
        </w:rPr>
        <w:t>（</w:t>
      </w:r>
      <w:r>
        <w:rPr>
          <w:rFonts w:hint="eastAsia" w:eastAsia="仿宋"/>
          <w:color w:val="auto"/>
          <w:sz w:val="32"/>
          <w:szCs w:val="32"/>
          <w:lang w:val="en-US" w:eastAsia="zh-CN"/>
        </w:rPr>
        <w:t>不低于政府底价</w:t>
      </w:r>
      <w:r>
        <w:rPr>
          <w:rFonts w:hint="eastAsia" w:eastAsia="仿宋"/>
          <w:color w:val="auto"/>
          <w:sz w:val="32"/>
          <w:szCs w:val="32"/>
          <w:lang w:eastAsia="zh-CN"/>
        </w:rPr>
        <w:t>）；</w:t>
      </w:r>
      <w:r>
        <w:rPr>
          <w:rFonts w:hint="eastAsia" w:eastAsia="仿宋"/>
          <w:color w:val="auto"/>
          <w:sz w:val="32"/>
          <w:szCs w:val="32"/>
          <w:lang w:val="en-US" w:eastAsia="zh-CN"/>
        </w:rPr>
        <w:t>达州市马踏洞外围片区C7-04地块、达州市梁家坝组团B-06-03（A区）地块、达州市梁家坝组团B-06-03（B区）地块、</w:t>
      </w:r>
      <w:r>
        <w:rPr>
          <w:rFonts w:hint="eastAsia" w:eastAsia="仿宋"/>
          <w:color w:val="auto"/>
          <w:sz w:val="32"/>
          <w:szCs w:val="32"/>
        </w:rPr>
        <w:t>达州市梁家坝组团B-06-04地块</w:t>
      </w:r>
      <w:r>
        <w:rPr>
          <w:rFonts w:hint="eastAsia" w:eastAsia="仿宋"/>
          <w:color w:val="auto"/>
          <w:sz w:val="32"/>
          <w:szCs w:val="32"/>
          <w:lang w:eastAsia="zh-CN"/>
        </w:rPr>
        <w:t>、</w:t>
      </w:r>
      <w:r>
        <w:rPr>
          <w:rFonts w:hint="eastAsia" w:eastAsia="仿宋"/>
          <w:color w:val="auto"/>
          <w:sz w:val="32"/>
          <w:szCs w:val="32"/>
          <w:lang w:val="en-US" w:eastAsia="zh-CN"/>
        </w:rPr>
        <w:t>达州市</w:t>
      </w:r>
      <w:r>
        <w:rPr>
          <w:rFonts w:hint="eastAsia" w:eastAsia="仿宋"/>
          <w:color w:val="auto"/>
          <w:sz w:val="32"/>
          <w:szCs w:val="32"/>
        </w:rPr>
        <w:t>莲</w:t>
      </w:r>
      <w:r>
        <w:rPr>
          <w:rFonts w:hint="eastAsia" w:eastAsia="仿宋"/>
          <w:color w:val="auto"/>
          <w:sz w:val="32"/>
          <w:szCs w:val="32"/>
          <w:lang w:val="en-US" w:eastAsia="zh-CN"/>
        </w:rPr>
        <w:t>花湖片区ⅢC6-2/1地块政府不设底价，</w:t>
      </w:r>
      <w:r>
        <w:rPr>
          <w:rFonts w:eastAsia="仿宋"/>
          <w:color w:val="auto"/>
          <w:sz w:val="32"/>
          <w:szCs w:val="32"/>
        </w:rPr>
        <w:t>采用增价拍卖方式竞价，按照价高者得原则确定竞得人</w:t>
      </w:r>
      <w:r>
        <w:rPr>
          <w:rFonts w:hint="eastAsia" w:eastAsia="仿宋"/>
          <w:color w:val="auto"/>
          <w:sz w:val="32"/>
          <w:szCs w:val="32"/>
          <w:lang w:eastAsia="zh-CN"/>
        </w:rPr>
        <w:t>。</w:t>
      </w:r>
    </w:p>
    <w:p>
      <w:pPr>
        <w:snapToGrid w:val="0"/>
        <w:spacing w:line="570" w:lineRule="exact"/>
        <w:ind w:firstLine="640" w:firstLineChars="200"/>
        <w:rPr>
          <w:rFonts w:eastAsia="仿宋"/>
          <w:color w:val="auto"/>
          <w:sz w:val="32"/>
          <w:szCs w:val="32"/>
        </w:rPr>
      </w:pPr>
      <w:r>
        <w:rPr>
          <w:rFonts w:eastAsia="仿宋"/>
          <w:color w:val="auto"/>
          <w:sz w:val="32"/>
          <w:szCs w:val="32"/>
        </w:rPr>
        <w:t>五、本次国有建设用地使用权</w:t>
      </w:r>
      <w:r>
        <w:rPr>
          <w:rFonts w:hint="eastAsia" w:eastAsia="仿宋"/>
          <w:color w:val="auto"/>
          <w:sz w:val="32"/>
          <w:szCs w:val="32"/>
        </w:rPr>
        <w:t>拍卖</w:t>
      </w:r>
      <w:r>
        <w:rPr>
          <w:rFonts w:eastAsia="仿宋"/>
          <w:color w:val="auto"/>
          <w:sz w:val="32"/>
          <w:szCs w:val="32"/>
        </w:rPr>
        <w:t>出让实行网上报名，竞买申请人须在达州市公共资源交易服务网（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）查阅网上操作指南，完成用户注册、网上报名等。</w:t>
      </w:r>
    </w:p>
    <w:p>
      <w:pPr>
        <w:snapToGrid w:val="0"/>
        <w:spacing w:line="570" w:lineRule="exact"/>
        <w:ind w:firstLine="555"/>
        <w:rPr>
          <w:rFonts w:eastAsia="仿宋"/>
          <w:color w:val="auto"/>
          <w:sz w:val="32"/>
          <w:szCs w:val="32"/>
        </w:rPr>
      </w:pPr>
      <w:r>
        <w:rPr>
          <w:rFonts w:eastAsia="仿宋"/>
          <w:color w:val="auto"/>
          <w:sz w:val="32"/>
          <w:szCs w:val="32"/>
        </w:rPr>
        <w:t>已完成用户注册的竞买申请人须在</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17:00之前经达州市公共资源交易服务网（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）通过系统提交竞买申请。通过指定账户缴纳竞买保证金，到账截止时间为</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17:00时。</w:t>
      </w:r>
    </w:p>
    <w:p>
      <w:pPr>
        <w:snapToGrid w:val="0"/>
        <w:spacing w:line="570" w:lineRule="exact"/>
        <w:ind w:firstLine="524" w:firstLineChars="164"/>
        <w:rPr>
          <w:rFonts w:eastAsia="仿宋"/>
          <w:color w:val="auto"/>
          <w:sz w:val="32"/>
          <w:szCs w:val="32"/>
        </w:rPr>
      </w:pPr>
      <w:r>
        <w:rPr>
          <w:rFonts w:eastAsia="仿宋"/>
          <w:color w:val="auto"/>
          <w:sz w:val="32"/>
          <w:szCs w:val="32"/>
        </w:rPr>
        <w:t>已提交申请的竞买申请人须在</w:t>
      </w:r>
      <w:r>
        <w:rPr>
          <w:rFonts w:eastAsia="仿宋"/>
          <w:b/>
          <w:color w:val="auto"/>
          <w:sz w:val="32"/>
          <w:szCs w:val="32"/>
        </w:rPr>
        <w:t>资格审查当日（</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w:t>
      </w:r>
      <w:r>
        <w:rPr>
          <w:rFonts w:eastAsia="仿宋"/>
          <w:b/>
          <w:color w:val="auto"/>
          <w:sz w:val="32"/>
          <w:szCs w:val="32"/>
        </w:rPr>
        <w:t>）</w:t>
      </w:r>
      <w:r>
        <w:rPr>
          <w:rFonts w:eastAsia="仿宋"/>
          <w:b/>
          <w:color w:val="auto"/>
          <w:sz w:val="32"/>
          <w:szCs w:val="32"/>
          <w:u w:val="single"/>
        </w:rPr>
        <w:t>9:00</w:t>
      </w:r>
      <w:r>
        <w:rPr>
          <w:rFonts w:eastAsia="仿宋"/>
          <w:color w:val="auto"/>
          <w:sz w:val="32"/>
          <w:szCs w:val="32"/>
        </w:rPr>
        <w:t>之前将竞买申请文件原件现场提交至达州市公共资源交易服务中心</w:t>
      </w:r>
      <w:r>
        <w:rPr>
          <w:rFonts w:eastAsia="仿宋"/>
          <w:color w:val="auto"/>
          <w:sz w:val="32"/>
          <w:szCs w:val="32"/>
          <w:u w:val="single"/>
        </w:rPr>
        <w:t>4B-17</w:t>
      </w:r>
      <w:r>
        <w:rPr>
          <w:rFonts w:eastAsia="仿宋"/>
          <w:color w:val="auto"/>
          <w:sz w:val="32"/>
          <w:szCs w:val="32"/>
        </w:rPr>
        <w:t>室，未按时提交原件的视为自行放弃竞买资格。</w:t>
      </w:r>
    </w:p>
    <w:p>
      <w:pPr>
        <w:snapToGrid w:val="0"/>
        <w:spacing w:line="570" w:lineRule="exact"/>
        <w:ind w:firstLine="555"/>
        <w:rPr>
          <w:rFonts w:eastAsia="仿宋"/>
          <w:color w:val="auto"/>
          <w:sz w:val="32"/>
          <w:szCs w:val="32"/>
        </w:rPr>
      </w:pPr>
      <w:r>
        <w:rPr>
          <w:rFonts w:eastAsia="仿宋"/>
          <w:color w:val="auto"/>
          <w:sz w:val="32"/>
          <w:szCs w:val="32"/>
        </w:rPr>
        <w:t>通过竞买资格审查的竞买申请人须在</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前自行通过</w:t>
      </w:r>
      <w:r>
        <w:rPr>
          <w:rFonts w:eastAsia="仿宋"/>
          <w:color w:val="auto"/>
          <w:sz w:val="32"/>
          <w:szCs w:val="32"/>
          <w:u w:val="single"/>
        </w:rPr>
        <w:t>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u w:val="single"/>
        </w:rPr>
        <w:t>http://www.dzggzy.cn</w:t>
      </w:r>
      <w:r>
        <w:rPr>
          <w:rFonts w:eastAsia="仿宋"/>
          <w:color w:val="auto"/>
          <w:sz w:val="32"/>
          <w:szCs w:val="32"/>
          <w:u w:val="single"/>
        </w:rPr>
        <w:fldChar w:fldCharType="end"/>
      </w:r>
      <w:r>
        <w:rPr>
          <w:rFonts w:eastAsia="仿宋"/>
          <w:color w:val="auto"/>
          <w:sz w:val="32"/>
          <w:szCs w:val="32"/>
          <w:u w:val="single"/>
        </w:rPr>
        <w:t>）</w:t>
      </w:r>
      <w:r>
        <w:rPr>
          <w:rFonts w:eastAsia="仿宋"/>
          <w:color w:val="auto"/>
          <w:sz w:val="32"/>
          <w:szCs w:val="32"/>
        </w:rPr>
        <w:t>打印竞买资格确认书并带到拍卖现场</w:t>
      </w:r>
      <w:r>
        <w:rPr>
          <w:rFonts w:hint="eastAsia" w:eastAsia="仿宋"/>
          <w:color w:val="auto"/>
          <w:sz w:val="32"/>
          <w:szCs w:val="32"/>
        </w:rPr>
        <w:t>（</w:t>
      </w:r>
      <w:r>
        <w:rPr>
          <w:rFonts w:eastAsia="仿宋"/>
          <w:color w:val="auto"/>
          <w:sz w:val="32"/>
          <w:szCs w:val="32"/>
        </w:rPr>
        <w:t>打印时间可能因资格审查而延迟</w:t>
      </w:r>
      <w:r>
        <w:rPr>
          <w:rFonts w:hint="eastAsia" w:eastAsia="仿宋"/>
          <w:color w:val="auto"/>
          <w:sz w:val="32"/>
          <w:szCs w:val="32"/>
        </w:rPr>
        <w:t>）</w:t>
      </w:r>
      <w:r>
        <w:rPr>
          <w:rFonts w:eastAsia="仿宋"/>
          <w:color w:val="auto"/>
          <w:sz w:val="32"/>
          <w:szCs w:val="32"/>
        </w:rPr>
        <w:t>。</w:t>
      </w:r>
    </w:p>
    <w:p>
      <w:pPr>
        <w:snapToGrid w:val="0"/>
        <w:spacing w:line="570" w:lineRule="exact"/>
        <w:ind w:firstLine="555"/>
        <w:rPr>
          <w:rFonts w:eastAsia="仿宋"/>
          <w:color w:val="auto"/>
          <w:sz w:val="32"/>
          <w:szCs w:val="32"/>
        </w:rPr>
      </w:pPr>
      <w:r>
        <w:rPr>
          <w:rFonts w:eastAsia="仿宋"/>
          <w:color w:val="auto"/>
          <w:sz w:val="32"/>
          <w:szCs w:val="32"/>
        </w:rPr>
        <w:t>六、本次国有建设用地使用权拍卖会定</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在</w:t>
      </w:r>
      <w:r>
        <w:rPr>
          <w:rFonts w:eastAsia="仿宋"/>
          <w:color w:val="auto"/>
          <w:sz w:val="32"/>
          <w:szCs w:val="32"/>
          <w:u w:val="single"/>
        </w:rPr>
        <w:t>开标二厅</w:t>
      </w:r>
      <w:r>
        <w:rPr>
          <w:rFonts w:eastAsia="仿宋"/>
          <w:color w:val="auto"/>
          <w:sz w:val="32"/>
          <w:szCs w:val="32"/>
        </w:rPr>
        <w:t>举行</w:t>
      </w:r>
      <w:r>
        <w:rPr>
          <w:rFonts w:hint="eastAsia" w:eastAsia="仿宋"/>
          <w:color w:val="auto"/>
          <w:sz w:val="32"/>
          <w:szCs w:val="32"/>
        </w:rPr>
        <w:t>（拍卖</w:t>
      </w:r>
      <w:r>
        <w:rPr>
          <w:rFonts w:eastAsia="仿宋"/>
          <w:color w:val="auto"/>
          <w:sz w:val="32"/>
          <w:szCs w:val="32"/>
        </w:rPr>
        <w:t>会时间可能因资格审查而延迟</w:t>
      </w:r>
      <w:r>
        <w:rPr>
          <w:rFonts w:hint="eastAsia" w:eastAsia="仿宋"/>
          <w:color w:val="auto"/>
          <w:sz w:val="32"/>
          <w:szCs w:val="32"/>
        </w:rPr>
        <w:t>）</w:t>
      </w:r>
      <w:r>
        <w:rPr>
          <w:rFonts w:eastAsia="仿宋"/>
          <w:color w:val="auto"/>
          <w:sz w:val="32"/>
          <w:szCs w:val="32"/>
        </w:rPr>
        <w:t>。</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sz w:val="32"/>
          <w:szCs w:val="32"/>
        </w:rPr>
      </w:pPr>
      <w:r>
        <w:rPr>
          <w:rFonts w:ascii="Times New Roman" w:hAnsi="Times New Roman" w:eastAsia="仿宋" w:cs="Times New Roman"/>
          <w:color w:val="auto"/>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auto"/>
          <w:sz w:val="32"/>
          <w:szCs w:val="32"/>
        </w:rPr>
      </w:pPr>
      <w:r>
        <w:rPr>
          <w:rFonts w:eastAsia="仿宋"/>
          <w:color w:val="auto"/>
          <w:sz w:val="32"/>
          <w:szCs w:val="32"/>
        </w:rPr>
        <w:t>八、本公告未尽事宜详见拍卖出让文件（拍卖出让文件可在达州市公共资源交易服务网（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auto"/>
          <w:sz w:val="32"/>
          <w:szCs w:val="32"/>
        </w:rPr>
      </w:pPr>
      <w:r>
        <w:rPr>
          <w:rFonts w:eastAsia="仿宋"/>
          <w:color w:val="auto"/>
          <w:sz w:val="32"/>
          <w:szCs w:val="32"/>
        </w:rPr>
        <w:t>九、竞买保证金缴纳指定账户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建设银行开户行：</w:t>
      </w:r>
      <w:r>
        <w:rPr>
          <w:rFonts w:ascii="Times New Roman" w:hAnsi="Times New Roman" w:eastAsia="仿宋" w:cs="Times New Roman"/>
          <w:color w:val="auto"/>
          <w:kern w:val="2"/>
          <w:sz w:val="32"/>
          <w:szCs w:val="32"/>
          <w:u w:val="single"/>
        </w:rPr>
        <w:t>中国建设银行股份有限公司达州荷叶支行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农业银行开户行：</w:t>
      </w:r>
      <w:r>
        <w:rPr>
          <w:rFonts w:ascii="Times New Roman" w:hAnsi="Times New Roman" w:eastAsia="仿宋" w:cs="Times New Roman"/>
          <w:color w:val="auto"/>
          <w:kern w:val="2"/>
          <w:sz w:val="32"/>
          <w:szCs w:val="32"/>
          <w:u w:val="single"/>
        </w:rPr>
        <w:t>中国农业银行达州通川支行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工商银行开户行：</w:t>
      </w:r>
      <w:r>
        <w:rPr>
          <w:rFonts w:ascii="Times New Roman" w:hAnsi="Times New Roman" w:eastAsia="仿宋" w:cs="Times New Roman"/>
          <w:color w:val="auto"/>
          <w:kern w:val="2"/>
          <w:sz w:val="32"/>
          <w:szCs w:val="32"/>
          <w:u w:val="single"/>
        </w:rPr>
        <w:t>中国工商银行达州市分行海棠湾支行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snapToGrid w:val="0"/>
        <w:spacing w:line="570" w:lineRule="exact"/>
        <w:ind w:firstLine="555"/>
        <w:rPr>
          <w:rFonts w:eastAsia="仿宋"/>
          <w:color w:val="auto"/>
          <w:sz w:val="32"/>
          <w:szCs w:val="32"/>
        </w:rPr>
      </w:pPr>
      <w:r>
        <w:rPr>
          <w:rFonts w:eastAsia="仿宋"/>
          <w:color w:val="auto"/>
          <w:sz w:val="32"/>
          <w:szCs w:val="32"/>
        </w:rPr>
        <w:t>十、联系方式</w:t>
      </w:r>
    </w:p>
    <w:p>
      <w:pPr>
        <w:snapToGrid w:val="0"/>
        <w:spacing w:line="570" w:lineRule="exact"/>
        <w:ind w:firstLine="555"/>
        <w:rPr>
          <w:rFonts w:eastAsia="仿宋"/>
          <w:color w:val="auto"/>
          <w:sz w:val="32"/>
          <w:szCs w:val="32"/>
        </w:rPr>
      </w:pPr>
      <w:r>
        <w:rPr>
          <w:rFonts w:eastAsia="仿宋"/>
          <w:color w:val="auto"/>
          <w:sz w:val="32"/>
          <w:szCs w:val="32"/>
        </w:rPr>
        <w:t>出让人：达州市自然资源和规划局</w:t>
      </w:r>
    </w:p>
    <w:p>
      <w:pPr>
        <w:snapToGrid w:val="0"/>
        <w:spacing w:line="570" w:lineRule="exact"/>
        <w:ind w:firstLine="555"/>
        <w:rPr>
          <w:rFonts w:eastAsia="仿宋"/>
          <w:color w:val="auto"/>
          <w:sz w:val="32"/>
          <w:szCs w:val="32"/>
        </w:rPr>
      </w:pPr>
      <w:r>
        <w:rPr>
          <w:rFonts w:eastAsia="仿宋"/>
          <w:color w:val="auto"/>
          <w:sz w:val="32"/>
          <w:szCs w:val="32"/>
        </w:rPr>
        <w:t>联系地址：</w:t>
      </w:r>
      <w:r>
        <w:rPr>
          <w:rFonts w:hint="eastAsia" w:eastAsia="仿宋"/>
          <w:color w:val="auto"/>
          <w:sz w:val="32"/>
          <w:szCs w:val="32"/>
        </w:rPr>
        <w:t>达州市通川区白塔路243号</w:t>
      </w:r>
    </w:p>
    <w:p>
      <w:pPr>
        <w:snapToGrid w:val="0"/>
        <w:spacing w:line="570" w:lineRule="exact"/>
        <w:ind w:firstLine="555"/>
        <w:rPr>
          <w:rFonts w:eastAsia="仿宋"/>
          <w:color w:val="auto"/>
          <w:sz w:val="32"/>
          <w:szCs w:val="32"/>
        </w:rPr>
      </w:pPr>
      <w:r>
        <w:rPr>
          <w:rFonts w:eastAsia="仿宋"/>
          <w:color w:val="auto"/>
          <w:sz w:val="32"/>
          <w:szCs w:val="32"/>
        </w:rPr>
        <w:t xml:space="preserve">联系电话： </w:t>
      </w:r>
      <w:r>
        <w:rPr>
          <w:rFonts w:hint="eastAsia" w:eastAsia="仿宋"/>
          <w:color w:val="auto"/>
          <w:sz w:val="32"/>
          <w:szCs w:val="32"/>
        </w:rPr>
        <w:t>0818-3091098</w:t>
      </w:r>
    </w:p>
    <w:p>
      <w:pPr>
        <w:snapToGrid w:val="0"/>
        <w:spacing w:line="570" w:lineRule="exact"/>
        <w:ind w:firstLine="555"/>
        <w:rPr>
          <w:rFonts w:eastAsia="仿宋"/>
          <w:color w:val="auto"/>
          <w:sz w:val="32"/>
          <w:szCs w:val="32"/>
        </w:rPr>
      </w:pPr>
      <w:r>
        <w:rPr>
          <w:rFonts w:eastAsia="仿宋"/>
          <w:color w:val="auto"/>
          <w:sz w:val="32"/>
          <w:szCs w:val="32"/>
        </w:rPr>
        <w:t>达州市公共资源交易服务中心</w:t>
      </w:r>
    </w:p>
    <w:p>
      <w:pPr>
        <w:snapToGrid w:val="0"/>
        <w:spacing w:line="570" w:lineRule="exact"/>
        <w:ind w:firstLine="555"/>
        <w:rPr>
          <w:rFonts w:eastAsia="仿宋"/>
          <w:b/>
          <w:color w:val="auto"/>
          <w:sz w:val="32"/>
          <w:szCs w:val="32"/>
          <w:u w:val="single"/>
        </w:rPr>
      </w:pPr>
      <w:r>
        <w:rPr>
          <w:rFonts w:eastAsia="仿宋"/>
          <w:color w:val="auto"/>
          <w:sz w:val="32"/>
          <w:szCs w:val="32"/>
        </w:rPr>
        <w:t>联系地址：</w:t>
      </w:r>
      <w:r>
        <w:rPr>
          <w:rFonts w:eastAsia="仿宋"/>
          <w:b/>
          <w:color w:val="auto"/>
          <w:sz w:val="32"/>
          <w:szCs w:val="32"/>
          <w:u w:val="single"/>
        </w:rPr>
        <w:t>四川省达州市马踏洞新区龙马大道与鱼泉路交叉口处新政务服务大楼</w:t>
      </w:r>
    </w:p>
    <w:p>
      <w:pPr>
        <w:snapToGrid w:val="0"/>
        <w:spacing w:line="570" w:lineRule="exact"/>
        <w:ind w:firstLine="555"/>
        <w:rPr>
          <w:rFonts w:hint="eastAsia" w:eastAsia="仿宋"/>
          <w:color w:val="auto"/>
          <w:sz w:val="32"/>
          <w:szCs w:val="32"/>
          <w:lang w:eastAsia="zh-CN"/>
        </w:rPr>
      </w:pPr>
      <w:r>
        <w:rPr>
          <w:rFonts w:eastAsia="仿宋"/>
          <w:color w:val="auto"/>
          <w:sz w:val="32"/>
          <w:szCs w:val="32"/>
        </w:rPr>
        <w:t>联系电话: 0818-</w:t>
      </w:r>
      <w:r>
        <w:rPr>
          <w:rFonts w:hint="eastAsia" w:eastAsia="仿宋"/>
          <w:color w:val="auto"/>
          <w:sz w:val="32"/>
          <w:szCs w:val="32"/>
        </w:rPr>
        <w:t>309134</w:t>
      </w:r>
      <w:r>
        <w:rPr>
          <w:rFonts w:hint="eastAsia" w:eastAsia="仿宋"/>
          <w:color w:val="auto"/>
          <w:sz w:val="32"/>
          <w:szCs w:val="32"/>
          <w:lang w:val="en-US" w:eastAsia="zh-CN"/>
        </w:rPr>
        <w:t>6</w:t>
      </w: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r>
        <w:rPr>
          <w:rFonts w:eastAsia="仿宋"/>
          <w:color w:val="auto"/>
          <w:sz w:val="32"/>
          <w:szCs w:val="32"/>
        </w:rPr>
        <w:t>达州市自然资源和规划局</w:t>
      </w:r>
      <w:r>
        <w:rPr>
          <w:rFonts w:hint="eastAsia" w:eastAsia="仿宋"/>
          <w:color w:val="auto"/>
          <w:sz w:val="32"/>
          <w:szCs w:val="32"/>
        </w:rPr>
        <w:t xml:space="preserve">   </w:t>
      </w:r>
      <w:r>
        <w:rPr>
          <w:rFonts w:eastAsia="仿宋"/>
          <w:color w:val="auto"/>
          <w:sz w:val="32"/>
          <w:szCs w:val="32"/>
        </w:rPr>
        <w:t>达州市公共资源交易服务中心</w:t>
      </w:r>
    </w:p>
    <w:p>
      <w:pPr>
        <w:snapToGrid w:val="0"/>
        <w:spacing w:line="570" w:lineRule="exact"/>
        <w:ind w:firstLine="5120" w:firstLineChars="1600"/>
        <w:rPr>
          <w:rFonts w:eastAsia="仿宋"/>
          <w:color w:val="auto"/>
          <w:sz w:val="32"/>
          <w:szCs w:val="32"/>
        </w:rPr>
      </w:pPr>
      <w:r>
        <w:rPr>
          <w:rFonts w:eastAsia="仿宋"/>
          <w:color w:val="auto"/>
          <w:sz w:val="32"/>
          <w:szCs w:val="32"/>
        </w:rPr>
        <w:t>2023年</w:t>
      </w:r>
      <w:r>
        <w:rPr>
          <w:rFonts w:hint="eastAsia" w:eastAsia="仿宋"/>
          <w:color w:val="auto"/>
          <w:sz w:val="32"/>
          <w:szCs w:val="32"/>
        </w:rPr>
        <w:t>11</w:t>
      </w:r>
      <w:r>
        <w:rPr>
          <w:rFonts w:eastAsia="仿宋"/>
          <w:color w:val="auto"/>
          <w:sz w:val="32"/>
          <w:szCs w:val="32"/>
        </w:rPr>
        <w:t>月</w:t>
      </w:r>
      <w:r>
        <w:rPr>
          <w:rFonts w:hint="eastAsia" w:eastAsia="仿宋"/>
          <w:color w:val="auto"/>
          <w:sz w:val="32"/>
          <w:szCs w:val="32"/>
          <w:lang w:val="en-US" w:eastAsia="zh-CN"/>
        </w:rPr>
        <w:t>23</w:t>
      </w:r>
      <w:r>
        <w:rPr>
          <w:rFonts w:eastAsia="仿宋"/>
          <w:color w:val="auto"/>
          <w:sz w:val="32"/>
          <w:szCs w:val="32"/>
        </w:rPr>
        <w:t>日</w:t>
      </w:r>
      <w:bookmarkEnd w:id="2"/>
      <w:bookmarkEnd w:id="3"/>
    </w:p>
    <w:p>
      <w:pPr>
        <w:pStyle w:val="2"/>
        <w:ind w:firstLine="0" w:firstLineChars="0"/>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snapToGrid w:val="0"/>
        <w:spacing w:line="530" w:lineRule="exact"/>
        <w:ind w:firstLine="880" w:firstLineChars="200"/>
        <w:rPr>
          <w:rFonts w:eastAsia="方正小标宋简体"/>
          <w:b/>
          <w:color w:val="auto"/>
          <w:sz w:val="44"/>
          <w:szCs w:val="44"/>
        </w:rPr>
      </w:pPr>
      <w:r>
        <w:rPr>
          <w:rFonts w:eastAsia="方正小标宋简体"/>
          <w:color w:val="auto"/>
          <w:sz w:val="44"/>
          <w:szCs w:val="44"/>
        </w:rPr>
        <w:t>国有建设用地使用权拍卖出让须知</w:t>
      </w:r>
      <w:bookmarkEnd w:id="4"/>
      <w:bookmarkEnd w:id="5"/>
    </w:p>
    <w:p>
      <w:pPr>
        <w:spacing w:line="600" w:lineRule="exact"/>
        <w:rPr>
          <w:color w:val="auto"/>
          <w:sz w:val="28"/>
          <w:szCs w:val="28"/>
        </w:rPr>
      </w:pPr>
    </w:p>
    <w:p>
      <w:pPr>
        <w:spacing w:line="600" w:lineRule="exact"/>
        <w:ind w:firstLine="640" w:firstLineChars="200"/>
        <w:rPr>
          <w:rFonts w:hint="default" w:ascii="仿宋" w:hAnsi="仿宋" w:eastAsia="仿宋" w:cs="Times New Roman"/>
          <w:color w:val="auto"/>
          <w:sz w:val="32"/>
          <w:szCs w:val="32"/>
          <w:lang w:val="en-US" w:eastAsia="zh-CN"/>
        </w:rPr>
      </w:pPr>
      <w:r>
        <w:rPr>
          <w:rFonts w:ascii="仿宋" w:hAnsi="仿宋" w:eastAsia="仿宋"/>
          <w:color w:val="auto"/>
          <w:sz w:val="32"/>
          <w:szCs w:val="32"/>
        </w:rPr>
        <w:t>根据《中华人民共和国土地管理法》、《中华人民共和国城市房地产管理法》、《</w:t>
      </w:r>
      <w:r>
        <w:rPr>
          <w:rFonts w:hint="eastAsia" w:ascii="仿宋" w:hAnsi="仿宋" w:eastAsia="仿宋"/>
          <w:color w:val="auto"/>
          <w:sz w:val="32"/>
          <w:szCs w:val="32"/>
        </w:rPr>
        <w:t>中华人民共和国城镇国有土地使用权出让和转让暂行条例》、《招标拍卖挂牌出让国有建设用地使用权规定》以及《招标拍卖挂牌出让国有土地使用权规范》等有关规定，经达州市人民政府批</w:t>
      </w:r>
      <w:r>
        <w:rPr>
          <w:rFonts w:hint="eastAsia" w:ascii="仿宋" w:hAnsi="仿宋" w:eastAsia="仿宋" w:cs="Times New Roman"/>
          <w:color w:val="auto"/>
          <w:sz w:val="32"/>
          <w:szCs w:val="32"/>
          <w:lang w:val="en-US" w:eastAsia="zh-CN"/>
        </w:rPr>
        <w:t>准,达州市自然资源和规划局决定拍卖出</w:t>
      </w:r>
      <w:r>
        <w:rPr>
          <w:rFonts w:hint="default" w:ascii="仿宋" w:hAnsi="仿宋" w:eastAsia="仿宋" w:cs="Times New Roman"/>
          <w:color w:val="auto"/>
          <w:sz w:val="32"/>
          <w:szCs w:val="32"/>
          <w:lang w:val="en-US" w:eastAsia="zh-CN"/>
        </w:rPr>
        <w:t>让</w:t>
      </w:r>
      <w:r>
        <w:rPr>
          <w:rFonts w:hint="eastAsia" w:ascii="仿宋" w:hAnsi="仿宋" w:eastAsia="仿宋" w:cs="Times New Roman"/>
          <w:color w:val="auto"/>
          <w:sz w:val="32"/>
          <w:szCs w:val="32"/>
          <w:lang w:val="en-US" w:eastAsia="zh-CN"/>
        </w:rPr>
        <w:t>达州市环城路二期及环凤产业大道沿线片区03-B-01-05地块</w:t>
      </w:r>
      <w:r>
        <w:rPr>
          <w:rFonts w:hint="default" w:ascii="仿宋" w:hAnsi="仿宋" w:eastAsia="仿宋" w:cs="Times New Roman"/>
          <w:color w:val="auto"/>
          <w:sz w:val="32"/>
          <w:szCs w:val="32"/>
          <w:lang w:val="en-US" w:eastAsia="zh-CN"/>
        </w:rPr>
        <w:t>国有建设用地使用权。</w:t>
      </w:r>
    </w:p>
    <w:p>
      <w:pPr>
        <w:spacing w:line="600" w:lineRule="exact"/>
        <w:ind w:firstLine="640" w:firstLineChars="200"/>
        <w:rPr>
          <w:rFonts w:hint="default" w:ascii="仿宋" w:hAnsi="仿宋" w:eastAsia="仿宋" w:cs="Times New Roman"/>
          <w:color w:val="auto"/>
          <w:sz w:val="32"/>
          <w:szCs w:val="32"/>
          <w:lang w:val="en-US" w:eastAsia="zh-CN"/>
        </w:rPr>
      </w:pPr>
      <w:r>
        <w:rPr>
          <w:rFonts w:hint="default" w:ascii="仿宋" w:hAnsi="仿宋" w:eastAsia="仿宋" w:cs="Times New Roman"/>
          <w:color w:val="auto"/>
          <w:sz w:val="32"/>
          <w:szCs w:val="32"/>
          <w:lang w:val="en-US" w:eastAsia="zh-CN"/>
        </w:rPr>
        <w:t>一、本次国有建设用地使用权拍卖出让的出让人为达州市自然资源和规划局，由达州市公共资源交易服务中心具体组织实施。</w:t>
      </w:r>
    </w:p>
    <w:p>
      <w:pPr>
        <w:spacing w:line="600" w:lineRule="exact"/>
        <w:ind w:firstLine="640" w:firstLineChars="200"/>
        <w:rPr>
          <w:rFonts w:hint="eastAsia" w:ascii="仿宋" w:hAnsi="仿宋" w:eastAsia="仿宋" w:cs="Times New Roman"/>
          <w:color w:val="auto"/>
          <w:sz w:val="32"/>
          <w:szCs w:val="32"/>
          <w:lang w:val="en-US" w:eastAsia="zh-CN"/>
        </w:rPr>
      </w:pPr>
      <w:r>
        <w:rPr>
          <w:rFonts w:hint="default" w:ascii="仿宋" w:hAnsi="仿宋" w:eastAsia="仿宋" w:cs="Times New Roman"/>
          <w:color w:val="auto"/>
          <w:sz w:val="32"/>
          <w:szCs w:val="32"/>
          <w:lang w:val="en-US" w:eastAsia="zh-CN"/>
        </w:rPr>
        <w:t>二、本次国有</w:t>
      </w:r>
      <w:r>
        <w:rPr>
          <w:rFonts w:hint="eastAsia" w:ascii="仿宋" w:hAnsi="仿宋" w:eastAsia="仿宋" w:cs="Times New Roman"/>
          <w:color w:val="auto"/>
          <w:sz w:val="32"/>
          <w:szCs w:val="32"/>
          <w:lang w:val="en-US" w:eastAsia="zh-CN"/>
        </w:rPr>
        <w:t>建设用地使用权拍卖出让遵循公开、公平、公正和诚实信用原则。</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三、出让地块的基本情况及相关要求</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（一）地块位置：</w:t>
      </w:r>
      <w:r>
        <w:rPr>
          <w:rFonts w:hint="default" w:ascii="仿宋" w:hAnsi="仿宋" w:eastAsia="仿宋" w:cs="Times New Roman"/>
          <w:color w:val="auto"/>
          <w:sz w:val="32"/>
          <w:szCs w:val="32"/>
          <w:lang w:val="en-US" w:eastAsia="zh-CN"/>
        </w:rPr>
        <w:t>达州市通川区东岳镇</w:t>
      </w:r>
      <w:r>
        <w:rPr>
          <w:rFonts w:hint="eastAsia" w:ascii="仿宋" w:hAnsi="仿宋" w:eastAsia="仿宋" w:cs="Times New Roman"/>
          <w:color w:val="auto"/>
          <w:sz w:val="32"/>
          <w:szCs w:val="32"/>
          <w:lang w:val="en-US" w:eastAsia="zh-CN"/>
        </w:rPr>
        <w:t>。</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（二）地块范围：详见《达州市环城路二期及环凤产业大道沿线片区03-B-01-05地块供地勘界图》。</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（三）出让面积：</w:t>
      </w:r>
      <w:r>
        <w:rPr>
          <w:rFonts w:hint="default" w:ascii="仿宋" w:hAnsi="仿宋" w:eastAsia="仿宋" w:cs="Times New Roman"/>
          <w:color w:val="auto"/>
          <w:sz w:val="32"/>
          <w:szCs w:val="32"/>
          <w:lang w:val="en-US" w:eastAsia="zh-CN"/>
        </w:rPr>
        <w:t>12009.27</w:t>
      </w:r>
      <w:r>
        <w:rPr>
          <w:rFonts w:hint="eastAsia" w:ascii="仿宋" w:hAnsi="仿宋" w:eastAsia="仿宋" w:cs="Times New Roman"/>
          <w:color w:val="auto"/>
          <w:sz w:val="32"/>
          <w:szCs w:val="32"/>
          <w:lang w:val="en-US" w:eastAsia="zh-CN"/>
        </w:rPr>
        <w:t>平方米（折合</w:t>
      </w:r>
      <w:r>
        <w:rPr>
          <w:rFonts w:hint="default" w:ascii="仿宋" w:hAnsi="仿宋" w:eastAsia="仿宋" w:cs="Times New Roman"/>
          <w:color w:val="auto"/>
          <w:sz w:val="32"/>
          <w:szCs w:val="32"/>
          <w:lang w:val="en-US" w:eastAsia="zh-CN"/>
        </w:rPr>
        <w:t>18.01</w:t>
      </w:r>
      <w:r>
        <w:rPr>
          <w:rFonts w:hint="eastAsia" w:ascii="仿宋" w:hAnsi="仿宋" w:eastAsia="仿宋" w:cs="Times New Roman"/>
          <w:color w:val="auto"/>
          <w:sz w:val="32"/>
          <w:szCs w:val="32"/>
          <w:lang w:val="en-US" w:eastAsia="zh-CN"/>
        </w:rPr>
        <w:t>亩）。</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（四）土地用途：加油加气站用地（B41），用地用海分类为公用设施营业网点用地。</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（五）出让年限： 40年</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（六）规划条件：详见《达州市环城路二期及环凤产业大道沿线片区03-B-01-05地块规划条件》。</w:t>
      </w:r>
    </w:p>
    <w:p>
      <w:pPr>
        <w:pStyle w:val="2"/>
        <w:ind w:left="0" w:leftChars="0" w:firstLine="640" w:firstLineChars="200"/>
        <w:rPr>
          <w:rFonts w:hint="default" w:ascii="仿宋" w:hAnsi="仿宋" w:eastAsia="仿宋" w:cs="Times New Roman"/>
          <w:color w:val="auto"/>
          <w:kern w:val="2"/>
          <w:sz w:val="32"/>
          <w:szCs w:val="32"/>
          <w:lang w:val="en-US" w:eastAsia="zh-CN" w:bidi="ar-SA"/>
        </w:rPr>
      </w:pPr>
      <w:r>
        <w:rPr>
          <w:rFonts w:hint="eastAsia" w:ascii="仿宋" w:hAnsi="仿宋" w:eastAsia="仿宋" w:cs="Times New Roman"/>
          <w:color w:val="auto"/>
          <w:sz w:val="32"/>
          <w:szCs w:val="32"/>
          <w:lang w:val="en-US" w:eastAsia="zh-CN"/>
        </w:rPr>
        <w:t>（七）公共配套：</w:t>
      </w:r>
      <w:r>
        <w:rPr>
          <w:rFonts w:hint="eastAsia" w:ascii="仿宋" w:hAnsi="仿宋" w:eastAsia="仿宋" w:cs="Times New Roman"/>
          <w:color w:val="auto"/>
          <w:kern w:val="2"/>
          <w:sz w:val="32"/>
          <w:szCs w:val="32"/>
          <w:lang w:val="en-US" w:eastAsia="zh-CN" w:bidi="ar-SA"/>
        </w:rPr>
        <w:t>应满足《达州市国土空间规划管理技术规定》（2021版）、《汽车加油加气加氢站技术标准》（GB 50156-2021）等规范及文件的相关规定。</w:t>
      </w:r>
    </w:p>
    <w:p>
      <w:pPr>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八）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鉴于2022年2月22日通川区住房和城乡建设局《关于明确达州市马踏洞外围片区A1-03/b等4宗地块与市政管网衔接问题的复函》（通区住建函〔2022〕61号）明确该地块周边污水管网未修建完善，无法明确相应污水接口的坐标及高程。须待地块出让后，将地块范围内的各类市政管网规划布局平面图纳入方案文本一并审查。地块内建筑间距、退用地界线距离、停车泊位等应满足《汽车加油加气加氢站技术标准》（GB 50156-2021）、《达州市国土空间规划管理技术规定》（2021版）、《达州市环城路二期及环凤产业大道沿线片区控制性详细规划》等规范及文件的相关规定。</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九）土地竞得人须严格按照达州市环城路二期及环凤产业大道沿线片区03-B-01-05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十</w:t>
      </w:r>
      <w:r>
        <w:rPr>
          <w:rFonts w:hint="eastAsia" w:ascii="仿宋" w:hAnsi="仿宋" w:eastAsia="仿宋"/>
          <w:color w:val="auto"/>
          <w:sz w:val="32"/>
          <w:szCs w:val="32"/>
          <w:lang w:eastAsia="zh-CN"/>
        </w:rPr>
        <w:t>）</w:t>
      </w:r>
      <w:r>
        <w:rPr>
          <w:rFonts w:hint="default" w:ascii="仿宋" w:hAnsi="仿宋" w:eastAsia="仿宋"/>
          <w:color w:val="auto"/>
          <w:sz w:val="32"/>
          <w:szCs w:val="32"/>
          <w:lang w:val="en-US" w:eastAsia="zh-CN"/>
        </w:rPr>
        <w:t>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四、竞买资格及要求</w:t>
      </w:r>
    </w:p>
    <w:p>
      <w:pPr>
        <w:spacing w:line="60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（一）</w:t>
      </w:r>
      <w:r>
        <w:rPr>
          <w:rFonts w:ascii="仿宋" w:hAnsi="仿宋" w:eastAsia="仿宋" w:cs="Times New Roman"/>
          <w:color w:val="auto"/>
          <w:sz w:val="32"/>
          <w:szCs w:val="32"/>
        </w:rPr>
        <w:t>竞买资格</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2.在达州市内有下列情形之一的，不得申请参与本次拍卖活动。</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①逾期不签成交确认书、土地出让合同的；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②欠缴土地出让价款的；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③因企业原因闲置土地一年以上，且尚未完成查处整改的单位和个人；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④违反土地及城乡规划法律法规受到处罚，且尚未结案的单位和个人。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（二）要求</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1.竞买申请人按照地块拍卖出让公告的日期及方式索取拍卖文件。申请人应认真审阅、全面准确地理解拍卖文件内容，对本次拍卖出让地块的文件有疑问的，可向出让人</w:t>
      </w:r>
      <w:r>
        <w:rPr>
          <w:rFonts w:hint="eastAsia" w:ascii="仿宋" w:hAnsi="仿宋" w:eastAsia="仿宋" w:cs="Times New Roman"/>
          <w:color w:val="auto"/>
          <w:sz w:val="32"/>
          <w:szCs w:val="32"/>
        </w:rPr>
        <w:t>咨询</w:t>
      </w:r>
      <w:r>
        <w:rPr>
          <w:rFonts w:ascii="仿宋" w:hAnsi="仿宋" w:eastAsia="仿宋" w:cs="Times New Roman"/>
          <w:color w:val="auto"/>
          <w:sz w:val="32"/>
          <w:szCs w:val="32"/>
        </w:rPr>
        <w:t>（咨询电话：</w:t>
      </w:r>
      <w:r>
        <w:rPr>
          <w:rFonts w:hint="eastAsia" w:ascii="仿宋" w:hAnsi="仿宋" w:eastAsia="仿宋" w:cs="Times New Roman"/>
          <w:color w:val="auto"/>
          <w:sz w:val="32"/>
          <w:szCs w:val="32"/>
        </w:rPr>
        <w:t xml:space="preserve"> 0818-3091098</w:t>
      </w:r>
      <w:r>
        <w:rPr>
          <w:rFonts w:ascii="仿宋" w:hAnsi="仿宋" w:eastAsia="仿宋" w:cs="Times New Roman"/>
          <w:color w:val="auto"/>
          <w:sz w:val="32"/>
          <w:szCs w:val="32"/>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五、申请和资格审查</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（一）拍卖文件取得</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竞买申请人可于2023年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日17:00，通过达州市公共资源交易服务网（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）获取拍卖出让文件。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（二）提交申请文件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竞买申请人应于2023年</w:t>
      </w:r>
      <w:r>
        <w:rPr>
          <w:rFonts w:hint="eastAsia" w:ascii="仿宋" w:hAnsi="仿宋" w:eastAsia="仿宋" w:cs="Times New Roman"/>
          <w:color w:val="auto"/>
          <w:sz w:val="32"/>
          <w:szCs w:val="32"/>
        </w:rPr>
        <w:t>11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日17:00止，达州市公共资源交易服务网（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）通过系统上传申请文件扫描件并提交申请。申请文件包括：</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1.法人申请的，应提交下列文件：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（2）保证金承诺书；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（3）商业金融机构的资信证明；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（4）法人单位有效证明文件；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（5）法定代表人的有效身份证明文件；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（7）开户许可证或基本存款账户信息；</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（8）竞买保证金交纳凭证；</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（9）拍卖文件规定需要提交的其它文件。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2.自然人申请的，应提交下列文件：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（4）申请人有效身份证明文件；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3.其他组织申请的，应提交下列文件：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（4）表明该组织合法存在的文件或有效证明；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（5）表明该组织负责人身份的有效证明文件；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4.境外申请人申请的，应提交下列文件：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（4）境外法人、自然人、其他组织的有效身份证明文件；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（1）联合申请各方共同签署的申请书；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（2）联合申请各方共同签署的保证金承诺书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（3）联合体各方商业金融机构的资信证明；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（4）联合各方的有效身份证明文件；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（三）资格审查</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b/>
          <w:color w:val="auto"/>
          <w:sz w:val="32"/>
          <w:szCs w:val="32"/>
        </w:rPr>
        <w:t>资格审查当日（</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日）9:00</w:t>
      </w:r>
      <w:r>
        <w:rPr>
          <w:rFonts w:ascii="仿宋" w:hAnsi="仿宋" w:eastAsia="仿宋"/>
          <w:color w:val="auto"/>
          <w:sz w:val="32"/>
          <w:szCs w:val="32"/>
        </w:rPr>
        <w:t>之前将竞买申请文件原件提交至4B-17，未按时提交原件的视为自行放弃竞买资格。</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1.申请人不具备竞买资格的；</w:t>
      </w:r>
    </w:p>
    <w:p>
      <w:pPr>
        <w:pStyle w:val="29"/>
        <w:widowControl w:val="0"/>
        <w:spacing w:line="600" w:lineRule="exact"/>
        <w:ind w:left="0"/>
        <w:rPr>
          <w:rFonts w:ascii="仿宋" w:hAnsi="仿宋" w:eastAsia="仿宋"/>
          <w:color w:val="auto"/>
          <w:kern w:val="2"/>
          <w:sz w:val="32"/>
          <w:szCs w:val="32"/>
        </w:rPr>
      </w:pPr>
      <w:r>
        <w:rPr>
          <w:rFonts w:ascii="仿宋" w:hAnsi="仿宋" w:eastAsia="仿宋"/>
          <w:color w:val="auto"/>
          <w:kern w:val="2"/>
          <w:sz w:val="32"/>
          <w:szCs w:val="32"/>
        </w:rPr>
        <w:t xml:space="preserve">    2.未按规定交纳竞买保证金的；</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3.申请文件不齐全或不符合法律法规和出让文件规定的；</w:t>
      </w:r>
    </w:p>
    <w:p>
      <w:pPr>
        <w:pStyle w:val="29"/>
        <w:widowControl w:val="0"/>
        <w:spacing w:line="600" w:lineRule="exact"/>
        <w:ind w:left="0" w:firstLine="570"/>
        <w:rPr>
          <w:rFonts w:ascii="仿宋" w:hAnsi="仿宋" w:eastAsia="仿宋"/>
          <w:color w:val="auto"/>
          <w:kern w:val="2"/>
          <w:sz w:val="32"/>
          <w:szCs w:val="32"/>
        </w:rPr>
      </w:pPr>
      <w:r>
        <w:rPr>
          <w:rFonts w:ascii="仿宋" w:hAnsi="仿宋" w:eastAsia="仿宋"/>
          <w:color w:val="auto"/>
          <w:kern w:val="2"/>
          <w:sz w:val="32"/>
          <w:szCs w:val="32"/>
        </w:rPr>
        <w:t>4.委托他人代理，委托文件不齐全或不符合规定的；</w:t>
      </w:r>
    </w:p>
    <w:p>
      <w:pPr>
        <w:pStyle w:val="29"/>
        <w:widowControl w:val="0"/>
        <w:spacing w:line="600" w:lineRule="exact"/>
        <w:ind w:left="0" w:firstLine="585"/>
        <w:rPr>
          <w:rFonts w:ascii="仿宋" w:hAnsi="仿宋" w:eastAsia="仿宋"/>
          <w:color w:val="auto"/>
          <w:kern w:val="2"/>
          <w:sz w:val="32"/>
          <w:szCs w:val="32"/>
        </w:rPr>
      </w:pPr>
      <w:r>
        <w:rPr>
          <w:rFonts w:ascii="仿宋" w:hAnsi="仿宋" w:eastAsia="仿宋"/>
          <w:color w:val="auto"/>
          <w:kern w:val="2"/>
          <w:sz w:val="32"/>
          <w:szCs w:val="32"/>
        </w:rPr>
        <w:t>5.法律法规规定的其他情形。</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（四）确认竞买人资格</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取得竞买资格的竞买申请人，请在</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日1</w:t>
      </w:r>
      <w:r>
        <w:rPr>
          <w:rFonts w:hint="eastAsia" w:ascii="仿宋" w:hAnsi="仿宋" w:eastAsia="仿宋"/>
          <w:b/>
          <w:color w:val="auto"/>
          <w:sz w:val="32"/>
          <w:szCs w:val="32"/>
          <w:u w:val="single"/>
        </w:rPr>
        <w:t>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0前</w:t>
      </w:r>
      <w:r>
        <w:rPr>
          <w:rFonts w:ascii="仿宋" w:hAnsi="仿宋" w:eastAsia="仿宋"/>
          <w:color w:val="auto"/>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（五）答疑及现场踏勘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竞买申请人对拍卖出让文件有疑问的，须在提交竞买申请书之前以书面方式向达州市公共资源交易服务</w:t>
      </w:r>
      <w:r>
        <w:rPr>
          <w:rFonts w:hint="eastAsia" w:ascii="仿宋" w:hAnsi="仿宋" w:eastAsia="仿宋"/>
          <w:color w:val="auto"/>
          <w:sz w:val="32"/>
          <w:szCs w:val="32"/>
        </w:rPr>
        <w:t>中心</w:t>
      </w:r>
      <w:r>
        <w:rPr>
          <w:rFonts w:ascii="仿宋" w:hAnsi="仿宋" w:eastAsia="仿宋"/>
          <w:color w:val="auto"/>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六、本次出让宗地拍卖会时间、地点及拍卖的起叫价、增价幅度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本次拍卖会地点为：达州市公共资源交易中心开标二厅举行。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本次拍卖会时间为：</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日上午</w:t>
      </w:r>
      <w:r>
        <w:rPr>
          <w:rFonts w:hint="eastAsia" w:ascii="仿宋" w:hAnsi="仿宋" w:eastAsia="仿宋"/>
          <w:b/>
          <w:color w:val="auto"/>
          <w:sz w:val="32"/>
          <w:szCs w:val="32"/>
          <w:u w:val="single"/>
        </w:rPr>
        <w:t>10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w:t>
      </w:r>
      <w:r>
        <w:rPr>
          <w:rFonts w:ascii="仿宋" w:hAnsi="仿宋" w:eastAsia="仿宋"/>
          <w:color w:val="auto"/>
          <w:sz w:val="32"/>
          <w:szCs w:val="32"/>
        </w:rPr>
        <w:t>（拍卖会时间可能因资格审查而延迟）。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本次拍卖起叫价</w:t>
      </w:r>
      <w:r>
        <w:rPr>
          <w:rFonts w:hint="eastAsia" w:eastAsia="仿宋_GB2312"/>
          <w:sz w:val="32"/>
          <w:szCs w:val="32"/>
          <w:lang w:val="en-US" w:eastAsia="zh-CN"/>
        </w:rPr>
        <w:t>643</w:t>
      </w:r>
      <w:r>
        <w:rPr>
          <w:rFonts w:ascii="仿宋" w:hAnsi="仿宋" w:eastAsia="仿宋"/>
          <w:color w:val="auto"/>
          <w:sz w:val="32"/>
          <w:szCs w:val="32"/>
        </w:rPr>
        <w:t>万元/亩</w:t>
      </w:r>
      <w:r>
        <w:rPr>
          <w:rFonts w:hint="eastAsia" w:ascii="仿宋" w:hAnsi="仿宋" w:eastAsia="仿宋"/>
          <w:color w:val="auto"/>
          <w:sz w:val="32"/>
          <w:szCs w:val="32"/>
        </w:rPr>
        <w:t>，</w:t>
      </w:r>
      <w:r>
        <w:rPr>
          <w:rFonts w:ascii="仿宋" w:hAnsi="仿宋" w:eastAsia="仿宋"/>
          <w:color w:val="auto"/>
          <w:sz w:val="32"/>
          <w:szCs w:val="32"/>
        </w:rPr>
        <w:t>增价幅度为</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万元/亩或</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万元/亩的整倍数。成交总地价=拍卖成交最高亩价×出让面积</w:t>
      </w:r>
      <w:r>
        <w:rPr>
          <w:rFonts w:hint="eastAsia" w:eastAsia="仿宋_GB2312"/>
          <w:sz w:val="32"/>
          <w:szCs w:val="32"/>
          <w:lang w:val="en-US" w:eastAsia="zh-CN"/>
        </w:rPr>
        <w:t>18.01</w:t>
      </w:r>
      <w:r>
        <w:rPr>
          <w:rFonts w:hint="default" w:ascii="仿宋" w:hAnsi="仿宋" w:eastAsia="仿宋"/>
          <w:color w:val="auto"/>
          <w:sz w:val="32"/>
          <w:szCs w:val="32"/>
        </w:rPr>
        <w:t xml:space="preserve"> </w:t>
      </w:r>
      <w:r>
        <w:rPr>
          <w:rFonts w:ascii="仿宋" w:hAnsi="仿宋" w:eastAsia="仿宋"/>
          <w:color w:val="auto"/>
          <w:sz w:val="32"/>
          <w:szCs w:val="32"/>
        </w:rPr>
        <w:t>亩。</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七、拍卖程序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（一）拍卖会程序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1.拍卖主持人亮证并宣布拍卖会开始；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2.拍卖主持人邀请公证员及记录员就位，并介绍相关人员；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3.拍卖主持人清点竞买人到场情况并按次序入座；</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4.公证员核实竞买人身份和举牌人身份；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5.设有底价的，公证员检查并展示底价密封情况后，交予拍卖主持人；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8.拍卖主持人逐一询问竞买人是否听清、是否明白；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9.拍卖主持人报出起叫价，宣布竞价开始；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10.竞买人举牌应价或者报价；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11.拍卖主持人确认该竞买人应价或者报价后继续竞价；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13.</w:t>
      </w:r>
      <w:r>
        <w:rPr>
          <w:rFonts w:hint="eastAsia" w:eastAsia="仿宋"/>
          <w:color w:val="auto"/>
          <w:sz w:val="32"/>
          <w:szCs w:val="32"/>
        </w:rPr>
        <w:t>最</w:t>
      </w:r>
      <w:r>
        <w:rPr>
          <w:rFonts w:hint="eastAsia" w:ascii="仿宋" w:hAnsi="仿宋" w:eastAsia="仿宋"/>
          <w:color w:val="auto"/>
          <w:sz w:val="32"/>
          <w:szCs w:val="32"/>
        </w:rPr>
        <w:t>后报价最高者为竞得人</w:t>
      </w:r>
      <w:r>
        <w:rPr>
          <w:rFonts w:ascii="仿宋" w:hAnsi="仿宋" w:eastAsia="仿宋"/>
          <w:color w:val="auto"/>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14.公证员现场致公证词；</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15.拍卖主持人主持达州市公共资源交易服务</w:t>
      </w:r>
      <w:r>
        <w:rPr>
          <w:rFonts w:hint="eastAsia" w:ascii="仿宋" w:hAnsi="仿宋" w:eastAsia="仿宋"/>
          <w:color w:val="auto"/>
          <w:sz w:val="32"/>
          <w:szCs w:val="32"/>
        </w:rPr>
        <w:t>中心</w:t>
      </w:r>
      <w:r>
        <w:rPr>
          <w:rFonts w:ascii="仿宋" w:hAnsi="仿宋" w:eastAsia="仿宋"/>
          <w:color w:val="auto"/>
          <w:sz w:val="32"/>
          <w:szCs w:val="32"/>
        </w:rPr>
        <w:t>与竞得人在现场签</w:t>
      </w:r>
      <w:r>
        <w:rPr>
          <w:rFonts w:hint="eastAsia" w:ascii="仿宋" w:hAnsi="仿宋" w:eastAsia="仿宋"/>
          <w:color w:val="auto"/>
          <w:sz w:val="32"/>
          <w:szCs w:val="32"/>
        </w:rPr>
        <w:t>定</w:t>
      </w:r>
      <w:r>
        <w:rPr>
          <w:rFonts w:ascii="仿宋" w:hAnsi="仿宋" w:eastAsia="仿宋"/>
          <w:color w:val="auto"/>
          <w:sz w:val="32"/>
          <w:szCs w:val="32"/>
        </w:rPr>
        <w:t>《成交确认书》。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（二）竞得人不按规定现场签</w:t>
      </w:r>
      <w:r>
        <w:rPr>
          <w:rFonts w:hint="eastAsia" w:ascii="仿宋" w:hAnsi="仿宋" w:eastAsia="仿宋"/>
          <w:color w:val="auto"/>
          <w:sz w:val="32"/>
          <w:szCs w:val="32"/>
        </w:rPr>
        <w:t>定</w:t>
      </w:r>
      <w:r>
        <w:rPr>
          <w:rFonts w:ascii="仿宋" w:hAnsi="仿宋" w:eastAsia="仿宋"/>
          <w:color w:val="auto"/>
          <w:sz w:val="32"/>
          <w:szCs w:val="32"/>
        </w:rPr>
        <w:t>《成交确认书》的，须承担缔约过失的法律责任，保证金转作违约金不予退还。竞得人拒绝签</w:t>
      </w:r>
      <w:r>
        <w:rPr>
          <w:rFonts w:hint="eastAsia" w:ascii="仿宋" w:hAnsi="仿宋" w:eastAsia="仿宋"/>
          <w:color w:val="auto"/>
          <w:sz w:val="32"/>
          <w:szCs w:val="32"/>
        </w:rPr>
        <w:t>定</w:t>
      </w:r>
      <w:r>
        <w:rPr>
          <w:rFonts w:ascii="仿宋" w:hAnsi="仿宋" w:eastAsia="仿宋"/>
          <w:color w:val="auto"/>
          <w:sz w:val="32"/>
          <w:szCs w:val="32"/>
        </w:rPr>
        <w:t>《成交确认书》不能对抗拍卖成交结果的法律效力。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（四）出让结果公布：</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八、竞价规则</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（一）本次拍卖采用增价拍卖方式，按价高者得的原则确定竞得人（高于或等于</w:t>
      </w:r>
      <w:r>
        <w:rPr>
          <w:rFonts w:hint="eastAsia" w:ascii="仿宋" w:hAnsi="仿宋" w:eastAsia="仿宋"/>
          <w:color w:val="auto"/>
          <w:sz w:val="32"/>
          <w:szCs w:val="32"/>
        </w:rPr>
        <w:t>起叫价</w:t>
      </w:r>
      <w:r>
        <w:rPr>
          <w:rFonts w:ascii="仿宋" w:hAnsi="仿宋" w:eastAsia="仿宋"/>
          <w:color w:val="auto"/>
          <w:sz w:val="32"/>
          <w:szCs w:val="32"/>
        </w:rPr>
        <w:t>的基础上）。</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（二）凡参加拍卖的竞买人竞买申请一经</w:t>
      </w:r>
      <w:r>
        <w:rPr>
          <w:rFonts w:hint="eastAsia" w:ascii="仿宋" w:hAnsi="仿宋" w:eastAsia="仿宋"/>
          <w:color w:val="auto"/>
          <w:sz w:val="32"/>
          <w:szCs w:val="32"/>
        </w:rPr>
        <w:t>提交</w:t>
      </w:r>
      <w:r>
        <w:rPr>
          <w:rFonts w:ascii="仿宋" w:hAnsi="仿宋" w:eastAsia="仿宋"/>
          <w:color w:val="auto"/>
          <w:sz w:val="32"/>
          <w:szCs w:val="32"/>
        </w:rPr>
        <w:t>后，即视为承认起叫价。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（四）若设有政府底价，最后应价未达到底价时，拍卖主持人终止本次拍卖活动，拍卖不成交。</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九、注意事项</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（四）确定竞得人后，竞得人须在拍卖现场与达州市公共资源交易服务</w:t>
      </w:r>
      <w:r>
        <w:rPr>
          <w:rFonts w:hint="eastAsia" w:ascii="仿宋" w:hAnsi="仿宋" w:eastAsia="仿宋"/>
          <w:color w:val="auto"/>
          <w:sz w:val="32"/>
          <w:szCs w:val="32"/>
        </w:rPr>
        <w:t>中心</w:t>
      </w:r>
      <w:r>
        <w:rPr>
          <w:rFonts w:ascii="仿宋" w:hAnsi="仿宋" w:eastAsia="仿宋"/>
          <w:color w:val="auto"/>
          <w:sz w:val="32"/>
          <w:szCs w:val="32"/>
        </w:rPr>
        <w:t>签</w:t>
      </w:r>
      <w:r>
        <w:rPr>
          <w:rFonts w:hint="eastAsia" w:ascii="仿宋" w:hAnsi="仿宋" w:eastAsia="仿宋"/>
          <w:color w:val="auto"/>
          <w:sz w:val="32"/>
          <w:szCs w:val="32"/>
        </w:rPr>
        <w:t>定</w:t>
      </w:r>
      <w:r>
        <w:rPr>
          <w:rFonts w:ascii="仿宋" w:hAnsi="仿宋" w:eastAsia="仿宋"/>
          <w:color w:val="auto"/>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（五）竞得人交纳的竞买保证金，在拍卖结束签</w:t>
      </w:r>
      <w:r>
        <w:rPr>
          <w:rFonts w:hint="eastAsia" w:ascii="仿宋" w:hAnsi="仿宋" w:eastAsia="仿宋"/>
          <w:color w:val="auto"/>
          <w:sz w:val="32"/>
          <w:szCs w:val="32"/>
        </w:rPr>
        <w:t>定</w:t>
      </w:r>
      <w:r>
        <w:rPr>
          <w:rFonts w:ascii="仿宋" w:hAnsi="仿宋" w:eastAsia="仿宋"/>
          <w:color w:val="auto"/>
          <w:sz w:val="32"/>
          <w:szCs w:val="32"/>
        </w:rPr>
        <w:t>《成交确认书》后，</w:t>
      </w:r>
      <w:r>
        <w:rPr>
          <w:rFonts w:hint="eastAsia" w:ascii="仿宋" w:hAnsi="仿宋" w:eastAsia="仿宋"/>
          <w:color w:val="auto"/>
          <w:sz w:val="32"/>
          <w:szCs w:val="32"/>
        </w:rPr>
        <w:t>于支付土地出让价款时可抵作土地出让价款</w:t>
      </w:r>
      <w:r>
        <w:rPr>
          <w:rFonts w:ascii="仿宋" w:hAnsi="仿宋" w:eastAsia="仿宋"/>
          <w:color w:val="auto"/>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（六）有下列情形之一的，达州市公共资源交易服务</w:t>
      </w:r>
      <w:r>
        <w:rPr>
          <w:rFonts w:hint="eastAsia" w:ascii="仿宋" w:hAnsi="仿宋" w:eastAsia="仿宋"/>
          <w:color w:val="auto"/>
          <w:sz w:val="32"/>
          <w:szCs w:val="32"/>
        </w:rPr>
        <w:t>中心</w:t>
      </w:r>
      <w:r>
        <w:rPr>
          <w:rFonts w:ascii="仿宋" w:hAnsi="仿宋" w:eastAsia="仿宋"/>
          <w:color w:val="auto"/>
          <w:sz w:val="32"/>
          <w:szCs w:val="32"/>
        </w:rPr>
        <w:t>应当在拍卖会前终止拍卖活动，并通知竞买人：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1.竞买人串通损害国家利益、社会利益或他人合法权益的；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2.拍卖工作人员私下接触竞买人，足以影响拍卖公正性的；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3.应当依法终止拍卖活动的其他情形。</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1.竞得人逾期或拒绝在现场签</w:t>
      </w:r>
      <w:r>
        <w:rPr>
          <w:rFonts w:hint="eastAsia" w:ascii="仿宋" w:hAnsi="仿宋" w:eastAsia="仿宋"/>
          <w:color w:val="auto"/>
          <w:sz w:val="32"/>
          <w:szCs w:val="32"/>
        </w:rPr>
        <w:t>定</w:t>
      </w:r>
      <w:r>
        <w:rPr>
          <w:rFonts w:ascii="仿宋" w:hAnsi="仿宋" w:eastAsia="仿宋"/>
          <w:color w:val="auto"/>
          <w:sz w:val="32"/>
          <w:szCs w:val="32"/>
        </w:rPr>
        <w:t>《成交确认书》的；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2.竞得人逾期或拒绝签订《国有建设用地使用权出让合同》的；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3.竞得人逾期支付交易服务费的</w:t>
      </w:r>
      <w:r>
        <w:rPr>
          <w:rFonts w:hint="eastAsia" w:ascii="仿宋" w:hAnsi="仿宋" w:eastAsia="仿宋"/>
          <w:color w:val="auto"/>
          <w:sz w:val="32"/>
          <w:szCs w:val="32"/>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（八）拍卖成交价即为该幅地块的总地价款，不含交易服务费以及按照法律法规规定应支付的相关税费。竞得人签</w:t>
      </w:r>
      <w:r>
        <w:rPr>
          <w:rFonts w:hint="eastAsia" w:ascii="仿宋" w:hAnsi="仿宋" w:eastAsia="仿宋"/>
          <w:color w:val="auto"/>
          <w:sz w:val="32"/>
          <w:szCs w:val="32"/>
        </w:rPr>
        <w:t>定</w:t>
      </w:r>
      <w:r>
        <w:rPr>
          <w:rFonts w:ascii="仿宋" w:hAnsi="仿宋" w:eastAsia="仿宋"/>
          <w:color w:val="auto"/>
          <w:sz w:val="32"/>
          <w:szCs w:val="32"/>
        </w:rPr>
        <w:t>《成交确认书》之日起8个工作日内须按相关标准向达州市公共资源交易服务中心支付交易服务费。也可由竞得人与按出让文件约定成立的新公司协商支付。</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（九）</w:t>
      </w:r>
      <w:r>
        <w:rPr>
          <w:rFonts w:ascii="仿宋" w:hAnsi="仿宋" w:eastAsia="仿宋"/>
          <w:color w:val="auto"/>
          <w:sz w:val="32"/>
          <w:szCs w:val="32"/>
        </w:rPr>
        <w:t>土地</w:t>
      </w:r>
      <w:r>
        <w:rPr>
          <w:rFonts w:hint="eastAsia" w:ascii="仿宋" w:hAnsi="仿宋" w:eastAsia="仿宋"/>
          <w:color w:val="auto"/>
          <w:sz w:val="32"/>
          <w:szCs w:val="32"/>
          <w:lang w:val="en-US" w:eastAsia="zh-CN"/>
        </w:rPr>
        <w:t>拍卖</w:t>
      </w:r>
      <w:r>
        <w:rPr>
          <w:rFonts w:ascii="仿宋" w:hAnsi="仿宋" w:eastAsia="仿宋"/>
          <w:color w:val="auto"/>
          <w:sz w:val="32"/>
          <w:szCs w:val="32"/>
        </w:rPr>
        <w:t>出让成交后须当场签订《成交确认书》，自成交之日起10个工作日内须签订《国有建设用地使用权出让合同》，在出让合同签订之日起1个月内登录四川省电子税务</w:t>
      </w:r>
      <w:r>
        <w:rPr>
          <w:rFonts w:hint="eastAsia" w:ascii="仿宋" w:hAnsi="仿宋" w:eastAsia="仿宋"/>
          <w:color w:val="auto"/>
          <w:sz w:val="32"/>
          <w:szCs w:val="32"/>
        </w:rPr>
        <w:t>局网站</w:t>
      </w:r>
      <w:r>
        <w:rPr>
          <w:rFonts w:ascii="仿宋" w:hAnsi="仿宋" w:eastAsia="仿宋"/>
          <w:color w:val="auto"/>
          <w:sz w:val="32"/>
          <w:szCs w:val="32"/>
        </w:rPr>
        <w:t>，申报并缴纳成交价总额50%的首付款，余款在出让合同签订之日起</w:t>
      </w:r>
      <w:r>
        <w:rPr>
          <w:rFonts w:hint="eastAsia" w:ascii="仿宋" w:hAnsi="仿宋" w:eastAsia="仿宋"/>
          <w:color w:val="auto"/>
          <w:sz w:val="32"/>
          <w:szCs w:val="32"/>
          <w:lang w:val="en-US" w:eastAsia="zh-CN"/>
        </w:rPr>
        <w:t>12</w:t>
      </w:r>
      <w:r>
        <w:rPr>
          <w:rFonts w:ascii="仿宋" w:hAnsi="仿宋" w:eastAsia="仿宋"/>
          <w:color w:val="auto"/>
          <w:sz w:val="32"/>
          <w:szCs w:val="32"/>
        </w:rPr>
        <w:t>个月内缴清（不计息）</w:t>
      </w:r>
      <w:r>
        <w:rPr>
          <w:rFonts w:hint="eastAsia" w:ascii="仿宋" w:hAnsi="仿宋" w:eastAsia="仿宋"/>
          <w:color w:val="auto"/>
          <w:sz w:val="32"/>
          <w:szCs w:val="32"/>
        </w:rPr>
        <w:t>。</w:t>
      </w:r>
    </w:p>
    <w:p>
      <w:pPr>
        <w:spacing w:line="560" w:lineRule="exact"/>
        <w:ind w:firstLine="640" w:firstLineChars="200"/>
        <w:rPr>
          <w:rFonts w:eastAsia="仿宋_GB2312"/>
          <w:sz w:val="32"/>
          <w:szCs w:val="32"/>
        </w:rPr>
      </w:pPr>
      <w:r>
        <w:rPr>
          <w:rFonts w:hint="eastAsia" w:ascii="仿宋" w:hAnsi="仿宋" w:eastAsia="仿宋"/>
          <w:color w:val="auto"/>
          <w:sz w:val="32"/>
          <w:szCs w:val="32"/>
        </w:rPr>
        <w:t>（十）土地交付条件及时间：</w:t>
      </w:r>
      <w:r>
        <w:rPr>
          <w:rFonts w:eastAsia="仿宋_GB2312"/>
          <w:sz w:val="32"/>
          <w:szCs w:val="32"/>
        </w:rPr>
        <w:t>土地竞得人在</w:t>
      </w:r>
      <w:r>
        <w:rPr>
          <w:rFonts w:hint="eastAsia" w:eastAsia="仿宋_GB2312"/>
          <w:sz w:val="32"/>
          <w:szCs w:val="32"/>
        </w:rPr>
        <w:t>缴清全部土地出让价款（含违约金）之日</w:t>
      </w:r>
      <w:r>
        <w:rPr>
          <w:rFonts w:eastAsia="仿宋_GB2312"/>
          <w:sz w:val="32"/>
          <w:szCs w:val="32"/>
        </w:rPr>
        <w:t>起5个工作日内以“净地”、按现状土地使用条件交付土地</w:t>
      </w:r>
      <w:r>
        <w:rPr>
          <w:rFonts w:hint="eastAsia" w:eastAsia="仿宋_GB2312"/>
          <w:sz w:val="32"/>
          <w:szCs w:val="32"/>
        </w:rPr>
        <w:t>，并同步办理不动产登记</w:t>
      </w:r>
      <w:r>
        <w:rPr>
          <w:rFonts w:hint="eastAsia" w:eastAsia="仿宋_GB2312"/>
          <w:sz w:val="32"/>
          <w:szCs w:val="32"/>
          <w:lang w:eastAsia="zh-CN"/>
        </w:rPr>
        <w:t>，符合或达到交地条件的，竞得人应及时接收土地，未接地的，交地时间以出让人发出的交地通知时间为准，因竞得人原因导致交地延迟产生的相关经济和法律责任一律由竞得人承担。</w:t>
      </w:r>
      <w:r>
        <w:rPr>
          <w:rFonts w:eastAsia="仿宋_GB2312"/>
          <w:sz w:val="32"/>
          <w:szCs w:val="32"/>
        </w:rPr>
        <w:t>宗地范围内的地下资源、埋藏物不属于国有建设用地使用权出让范围。</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一</w:t>
      </w:r>
      <w:r>
        <w:rPr>
          <w:rFonts w:ascii="仿宋" w:hAnsi="仿宋" w:eastAsia="仿宋"/>
          <w:color w:val="auto"/>
          <w:sz w:val="32"/>
          <w:szCs w:val="32"/>
        </w:rPr>
        <w:t>）对出让地块如涉及电力、通讯、光缆、输气管道等设施的，竞得人应按其管理部门避让等规定和要求办理。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二</w:t>
      </w:r>
      <w:r>
        <w:rPr>
          <w:rFonts w:ascii="仿宋" w:hAnsi="仿宋" w:eastAsia="仿宋"/>
          <w:color w:val="auto"/>
          <w:sz w:val="32"/>
          <w:szCs w:val="32"/>
        </w:rPr>
        <w:t>）拍卖不成交的或成交不签</w:t>
      </w:r>
      <w:r>
        <w:rPr>
          <w:rFonts w:hint="eastAsia" w:ascii="仿宋" w:hAnsi="仿宋" w:eastAsia="仿宋"/>
          <w:color w:val="auto"/>
          <w:sz w:val="32"/>
          <w:szCs w:val="32"/>
        </w:rPr>
        <w:t>定</w:t>
      </w:r>
      <w:r>
        <w:rPr>
          <w:rFonts w:ascii="仿宋" w:hAnsi="仿宋" w:eastAsia="仿宋"/>
          <w:color w:val="auto"/>
          <w:sz w:val="32"/>
          <w:szCs w:val="32"/>
        </w:rPr>
        <w:t>《成交确认书》的，由</w:t>
      </w:r>
      <w:r>
        <w:rPr>
          <w:rFonts w:ascii="仿宋" w:hAnsi="仿宋" w:eastAsia="仿宋"/>
          <w:color w:val="auto"/>
          <w:sz w:val="32"/>
          <w:szCs w:val="32"/>
          <w:u w:val="single"/>
        </w:rPr>
        <w:t>达州市公共资源交易服务中心</w:t>
      </w:r>
      <w:r>
        <w:rPr>
          <w:rFonts w:ascii="仿宋" w:hAnsi="仿宋" w:eastAsia="仿宋"/>
          <w:color w:val="auto"/>
          <w:sz w:val="32"/>
          <w:szCs w:val="32"/>
        </w:rPr>
        <w:t>在2个工作日内书面函告出让人。</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三</w:t>
      </w:r>
      <w:r>
        <w:rPr>
          <w:rFonts w:ascii="仿宋" w:hAnsi="仿宋" w:eastAsia="仿宋"/>
          <w:color w:val="auto"/>
          <w:sz w:val="32"/>
          <w:szCs w:val="32"/>
        </w:rPr>
        <w:t>）参加拍卖活动的人员，应遵守现场的纪律，服从管理人员的管理。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四</w:t>
      </w:r>
      <w:r>
        <w:rPr>
          <w:rFonts w:ascii="仿宋" w:hAnsi="仿宋" w:eastAsia="仿宋"/>
          <w:color w:val="auto"/>
          <w:sz w:val="32"/>
          <w:szCs w:val="32"/>
        </w:rPr>
        <w:t>）其他未尽事宜依照《招标拍卖挂牌出让国有土地使用权规范》办理。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五</w:t>
      </w:r>
      <w:r>
        <w:rPr>
          <w:rFonts w:ascii="仿宋" w:hAnsi="仿宋" w:eastAsia="仿宋"/>
          <w:color w:val="auto"/>
          <w:sz w:val="32"/>
          <w:szCs w:val="32"/>
        </w:rPr>
        <w:t>）达州市自然资源和规划局、达州市公共资源交易服务中心对本《须知》有解释权。</w:t>
      </w: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pPr>
    </w:p>
    <w:p>
      <w:pPr>
        <w:pStyle w:val="2"/>
        <w:ind w:left="0" w:leftChars="0"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bookmarkStart w:id="21" w:name="_GoBack"/>
      <w:bookmarkEnd w:id="21"/>
    </w:p>
    <w:p>
      <w:pPr>
        <w:pStyle w:val="15"/>
        <w:rPr>
          <w:color w:val="auto"/>
        </w:rPr>
      </w:pPr>
      <w:bookmarkStart w:id="6" w:name="_Toc3391972"/>
      <w:bookmarkStart w:id="7" w:name="_Toc3391743"/>
      <w:r>
        <w:rPr>
          <w:rFonts w:ascii="Times New Roman" w:hAnsi="Times New Roman" w:eastAsia="黑体"/>
          <w:color w:val="auto"/>
          <w:sz w:val="44"/>
          <w:szCs w:val="44"/>
        </w:rPr>
        <w:t>地块规划条件相关资</w:t>
      </w:r>
      <w:bookmarkEnd w:id="6"/>
      <w:bookmarkEnd w:id="7"/>
      <w:r>
        <w:rPr>
          <w:rFonts w:hint="eastAsia" w:ascii="Times New Roman" w:hAnsi="Times New Roman" w:eastAsia="黑体"/>
          <w:color w:val="auto"/>
          <w:sz w:val="44"/>
          <w:szCs w:val="44"/>
        </w:rPr>
        <w:t>料</w:t>
      </w:r>
    </w:p>
    <w:p>
      <w:pPr>
        <w:pStyle w:val="2"/>
        <w:rPr>
          <w:color w:val="auto"/>
        </w:rPr>
      </w:pPr>
      <w:r>
        <w:drawing>
          <wp:inline distT="0" distB="0" distL="114300" distR="114300">
            <wp:extent cx="5076825" cy="74390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076825" cy="7439025"/>
                    </a:xfrm>
                    <a:prstGeom prst="rect">
                      <a:avLst/>
                    </a:prstGeom>
                    <a:noFill/>
                    <a:ln>
                      <a:noFill/>
                    </a:ln>
                  </pic:spPr>
                </pic:pic>
              </a:graphicData>
            </a:graphic>
          </wp:inline>
        </w:drawing>
      </w:r>
      <w:r>
        <w:drawing>
          <wp:inline distT="0" distB="0" distL="114300" distR="114300">
            <wp:extent cx="5274310" cy="4564380"/>
            <wp:effectExtent l="0" t="0" r="254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74310" cy="4564380"/>
                    </a:xfrm>
                    <a:prstGeom prst="rect">
                      <a:avLst/>
                    </a:prstGeom>
                    <a:noFill/>
                    <a:ln>
                      <a:noFill/>
                    </a:ln>
                  </pic:spPr>
                </pic:pic>
              </a:graphicData>
            </a:graphic>
          </wp:inline>
        </w:drawing>
      </w:r>
    </w:p>
    <w:p>
      <w:pPr>
        <w:pStyle w:val="2"/>
        <w:rPr>
          <w:color w:val="auto"/>
        </w:rPr>
      </w:pPr>
    </w:p>
    <w:p>
      <w:pPr>
        <w:pStyle w:val="2"/>
        <w:rPr>
          <w:color w:val="auto"/>
        </w:rPr>
      </w:pPr>
    </w:p>
    <w:p>
      <w:pPr>
        <w:pStyle w:val="2"/>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widowControl/>
        <w:jc w:val="left"/>
        <w:rPr>
          <w:color w:val="auto"/>
          <w:kern w:val="0"/>
          <w:sz w:val="24"/>
        </w:rPr>
      </w:pPr>
    </w:p>
    <w:p>
      <w:pPr>
        <w:pStyle w:val="15"/>
        <w:rPr>
          <w:color w:val="auto"/>
        </w:rPr>
      </w:pPr>
      <w:bookmarkStart w:id="8" w:name="_Toc3391744"/>
      <w:bookmarkStart w:id="9" w:name="_Toc3391973"/>
      <w:r>
        <w:rPr>
          <w:rFonts w:ascii="Times New Roman" w:hAnsi="Times New Roman" w:eastAsia="黑体"/>
          <w:color w:val="auto"/>
          <w:sz w:val="44"/>
          <w:szCs w:val="44"/>
        </w:rPr>
        <w:t>用地红线图</w:t>
      </w:r>
      <w:bookmarkEnd w:id="8"/>
      <w:bookmarkEnd w:id="9"/>
    </w:p>
    <w:p>
      <w:pPr>
        <w:rPr>
          <w:color w:val="auto"/>
        </w:rPr>
      </w:pPr>
    </w:p>
    <w:p>
      <w:pPr>
        <w:widowControl/>
        <w:jc w:val="left"/>
        <w:rPr>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8595" cy="3693160"/>
            <wp:effectExtent l="0" t="0" r="8255" b="25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5268595" cy="3693160"/>
                    </a:xfrm>
                    <a:prstGeom prst="rect">
                      <a:avLst/>
                    </a:prstGeom>
                    <a:noFill/>
                    <a:ln>
                      <a:noFill/>
                    </a:ln>
                  </pic:spPr>
                </pic:pic>
              </a:graphicData>
            </a:graphic>
          </wp:inline>
        </w:drawing>
      </w:r>
    </w:p>
    <w:p>
      <w:pPr>
        <w:pStyle w:val="15"/>
        <w:rPr>
          <w:color w:val="auto"/>
        </w:rPr>
      </w:pPr>
      <w:r>
        <w:rPr>
          <w:rFonts w:hint="eastAsia" w:ascii="Times New Roman" w:hAnsi="Times New Roman" w:eastAsia="黑体"/>
          <w:color w:val="auto"/>
          <w:sz w:val="44"/>
          <w:szCs w:val="44"/>
          <w:lang w:val="en-US" w:eastAsia="zh-CN"/>
        </w:rPr>
        <w:t>地块供地</w:t>
      </w:r>
      <w:r>
        <w:rPr>
          <w:rFonts w:hint="eastAsia" w:ascii="Times New Roman" w:hAnsi="Times New Roman" w:eastAsia="黑体"/>
          <w:color w:val="auto"/>
          <w:sz w:val="44"/>
          <w:szCs w:val="44"/>
        </w:rPr>
        <w:t>勘界图</w:t>
      </w:r>
    </w:p>
    <w:p>
      <w:pPr>
        <w:rPr>
          <w:color w:val="auto"/>
        </w:rPr>
      </w:pPr>
    </w:p>
    <w:p>
      <w:pPr>
        <w:rPr>
          <w:color w:val="auto"/>
        </w:rPr>
      </w:pPr>
    </w:p>
    <w:p>
      <w:pPr>
        <w:rPr>
          <w:color w:val="auto"/>
        </w:rPr>
      </w:pPr>
      <w:r>
        <w:drawing>
          <wp:inline distT="0" distB="0" distL="114300" distR="114300">
            <wp:extent cx="5572125" cy="4110990"/>
            <wp:effectExtent l="0" t="0" r="9525" b="38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5572125" cy="4110990"/>
                    </a:xfrm>
                    <a:prstGeom prst="rect">
                      <a:avLst/>
                    </a:prstGeom>
                    <a:noFill/>
                    <a:ln>
                      <a:noFill/>
                    </a:ln>
                  </pic:spPr>
                </pic:pic>
              </a:graphicData>
            </a:graphic>
          </wp:inline>
        </w:drawing>
      </w:r>
    </w:p>
    <w:p>
      <w:pPr>
        <w:rPr>
          <w:color w:val="auto"/>
        </w:rPr>
      </w:pPr>
    </w:p>
    <w:p>
      <w:pPr>
        <w:rPr>
          <w:color w:val="auto"/>
        </w:rPr>
      </w:pPr>
    </w:p>
    <w:p>
      <w:pPr>
        <w:rPr>
          <w:color w:val="auto"/>
        </w:rPr>
      </w:pPr>
    </w:p>
    <w:p>
      <w:pPr>
        <w:pStyle w:val="2"/>
        <w:rPr>
          <w:color w:val="auto"/>
        </w:rPr>
      </w:pPr>
    </w:p>
    <w:p>
      <w:pPr>
        <w:pStyle w:val="2"/>
        <w:rPr>
          <w:color w:val="auto"/>
        </w:rPr>
      </w:pPr>
    </w:p>
    <w:p>
      <w:pPr>
        <w:rPr>
          <w:color w:val="auto"/>
        </w:rPr>
      </w:pPr>
    </w:p>
    <w:p>
      <w:pPr>
        <w:pStyle w:val="15"/>
        <w:spacing w:before="0" w:after="0" w:line="500" w:lineRule="exact"/>
        <w:rPr>
          <w:rFonts w:ascii="Times New Roman" w:hAnsi="Times New Roman" w:eastAsia="黑体"/>
          <w:color w:val="auto"/>
          <w:sz w:val="44"/>
          <w:szCs w:val="44"/>
        </w:rPr>
      </w:pPr>
      <w:bookmarkStart w:id="10" w:name="_Toc3391746"/>
      <w:bookmarkStart w:id="11" w:name="_Toc3391975"/>
    </w:p>
    <w:p>
      <w:pPr>
        <w:pStyle w:val="15"/>
        <w:spacing w:before="0" w:after="0" w:line="500" w:lineRule="exact"/>
        <w:rPr>
          <w:rFonts w:ascii="Times New Roman" w:hAnsi="Times New Roman" w:eastAsia="黑体"/>
          <w:color w:val="auto"/>
          <w:sz w:val="44"/>
          <w:szCs w:val="44"/>
        </w:rPr>
      </w:pPr>
    </w:p>
    <w:p>
      <w:pPr>
        <w:pStyle w:val="15"/>
        <w:spacing w:before="0" w:after="0" w:line="500" w:lineRule="exact"/>
        <w:rPr>
          <w:rFonts w:ascii="Times New Roman" w:hAnsi="Times New Roman" w:eastAsia="黑体"/>
          <w:color w:val="auto"/>
          <w:sz w:val="44"/>
          <w:szCs w:val="44"/>
        </w:rPr>
      </w:pPr>
    </w:p>
    <w:p>
      <w:pPr>
        <w:pStyle w:val="15"/>
        <w:spacing w:before="0" w:after="0" w:line="500" w:lineRule="exact"/>
        <w:rPr>
          <w:rFonts w:ascii="Times New Roman" w:hAnsi="Times New Roman" w:eastAsia="黑体"/>
          <w:color w:val="auto"/>
          <w:sz w:val="44"/>
          <w:szCs w:val="44"/>
        </w:rPr>
      </w:pPr>
    </w:p>
    <w:p>
      <w:pPr>
        <w:pStyle w:val="15"/>
        <w:spacing w:before="0" w:after="0" w:line="500" w:lineRule="exact"/>
        <w:rPr>
          <w:rFonts w:ascii="Times New Roman" w:hAnsi="Times New Roman" w:eastAsia="黑体"/>
          <w:color w:val="auto"/>
          <w:sz w:val="44"/>
          <w:szCs w:val="44"/>
        </w:rPr>
      </w:pPr>
    </w:p>
    <w:p>
      <w:pPr>
        <w:pStyle w:val="15"/>
        <w:spacing w:before="0" w:after="0" w:line="500" w:lineRule="exact"/>
        <w:rPr>
          <w:rFonts w:ascii="Times New Roman" w:hAnsi="Times New Roman" w:eastAsia="黑体"/>
          <w:color w:val="auto"/>
          <w:sz w:val="44"/>
          <w:szCs w:val="44"/>
        </w:rPr>
      </w:pPr>
    </w:p>
    <w:p>
      <w:pPr>
        <w:pStyle w:val="15"/>
        <w:spacing w:before="0" w:after="0" w:line="500" w:lineRule="exact"/>
        <w:rPr>
          <w:rFonts w:ascii="Times New Roman" w:hAnsi="Times New Roman" w:eastAsia="黑体"/>
          <w:color w:val="auto"/>
          <w:sz w:val="44"/>
          <w:szCs w:val="44"/>
        </w:rPr>
      </w:pPr>
    </w:p>
    <w:p>
      <w:pPr>
        <w:pStyle w:val="15"/>
        <w:spacing w:before="0" w:after="0" w:line="500" w:lineRule="exact"/>
        <w:rPr>
          <w:rFonts w:ascii="Times New Roman" w:hAnsi="Times New Roman" w:eastAsia="黑体"/>
          <w:color w:val="auto"/>
          <w:sz w:val="44"/>
          <w:szCs w:val="44"/>
        </w:rPr>
      </w:pPr>
    </w:p>
    <w:p>
      <w:pPr>
        <w:pStyle w:val="15"/>
        <w:spacing w:before="0" w:after="0" w:line="500" w:lineRule="exact"/>
        <w:rPr>
          <w:rFonts w:ascii="Times New Roman" w:hAnsi="Times New Roman" w:eastAsia="黑体"/>
          <w:color w:val="auto"/>
          <w:sz w:val="44"/>
          <w:szCs w:val="44"/>
        </w:rPr>
      </w:pPr>
      <w:r>
        <w:rPr>
          <w:rFonts w:ascii="Times New Roman" w:hAnsi="Times New Roman" w:eastAsia="黑体"/>
          <w:color w:val="auto"/>
          <w:sz w:val="44"/>
          <w:szCs w:val="44"/>
        </w:rPr>
        <w:t>竞买申请书</w:t>
      </w:r>
      <w:bookmarkEnd w:id="10"/>
      <w:bookmarkEnd w:id="11"/>
    </w:p>
    <w:p>
      <w:pPr>
        <w:pStyle w:val="29"/>
        <w:spacing w:line="420" w:lineRule="exact"/>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b/>
          <w:color w:val="auto"/>
          <w:sz w:val="24"/>
          <w:szCs w:val="24"/>
          <w:u w:val="single"/>
        </w:rPr>
        <w:t>XXXXXXXX</w:t>
      </w:r>
      <w:r>
        <w:rPr>
          <w:rFonts w:ascii="仿宋" w:hAnsi="仿宋" w:eastAsia="仿宋"/>
          <w:color w:val="auto"/>
          <w:sz w:val="24"/>
          <w:szCs w:val="24"/>
        </w:rPr>
        <w:t>：</w:t>
      </w:r>
    </w:p>
    <w:p>
      <w:pPr>
        <w:pStyle w:val="29"/>
        <w:spacing w:line="420" w:lineRule="exact"/>
        <w:ind w:left="0" w:firstLine="480" w:firstLineChars="200"/>
        <w:jc w:val="left"/>
        <w:rPr>
          <w:rFonts w:ascii="仿宋" w:hAnsi="仿宋" w:eastAsia="仿宋"/>
          <w:color w:val="auto"/>
          <w:sz w:val="28"/>
          <w:szCs w:val="28"/>
          <w:u w:val="single"/>
        </w:rPr>
      </w:pPr>
      <w:r>
        <w:rPr>
          <w:rFonts w:ascii="仿宋" w:hAnsi="仿宋" w:eastAsia="仿宋"/>
          <w:color w:val="auto"/>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9"/>
        <w:spacing w:line="420" w:lineRule="exact"/>
        <w:ind w:left="105" w:leftChars="50" w:firstLine="480" w:firstLineChars="200"/>
        <w:jc w:val="left"/>
        <w:rPr>
          <w:rFonts w:ascii="仿宋" w:hAnsi="仿宋" w:eastAsia="仿宋"/>
          <w:color w:val="auto"/>
          <w:sz w:val="24"/>
          <w:szCs w:val="24"/>
        </w:rPr>
      </w:pPr>
      <w:r>
        <w:rPr>
          <w:rFonts w:ascii="仿宋" w:hAnsi="仿宋" w:eastAsia="仿宋"/>
          <w:color w:val="auto"/>
          <w:sz w:val="24"/>
          <w:szCs w:val="24"/>
        </w:rPr>
        <w:t>我方正式申请参加你中心于</w:t>
      </w:r>
      <w:r>
        <w:rPr>
          <w:rFonts w:ascii="仿宋" w:hAnsi="仿宋" w:eastAsia="仿宋"/>
          <w:color w:val="auto"/>
          <w:sz w:val="24"/>
          <w:szCs w:val="24"/>
          <w:u w:val="single"/>
        </w:rPr>
        <w:t>202 年  月  日</w:t>
      </w:r>
      <w:r>
        <w:rPr>
          <w:rFonts w:ascii="仿宋" w:hAnsi="仿宋" w:eastAsia="仿宋"/>
          <w:color w:val="auto"/>
          <w:sz w:val="24"/>
          <w:szCs w:val="24"/>
        </w:rPr>
        <w:t>在</w:t>
      </w:r>
      <w:r>
        <w:rPr>
          <w:rFonts w:ascii="仿宋" w:hAnsi="仿宋" w:eastAsia="仿宋"/>
          <w:b/>
          <w:color w:val="auto"/>
          <w:sz w:val="24"/>
          <w:szCs w:val="24"/>
          <w:u w:val="single"/>
        </w:rPr>
        <w:t>XXXXXXXX</w:t>
      </w:r>
      <w:r>
        <w:rPr>
          <w:rFonts w:ascii="仿宋" w:hAnsi="仿宋" w:eastAsia="仿宋"/>
          <w:color w:val="auto"/>
          <w:sz w:val="24"/>
          <w:szCs w:val="24"/>
        </w:rPr>
        <w:t>举行的地块国有建设用地使用权拍卖活动，愿意按拍卖出让文件规定缴纳竞买保证金人民币万元（大写）（</w:t>
      </w:r>
      <w:r>
        <w:rPr>
          <w:rFonts w:ascii="仿宋" w:hAnsi="仿宋" w:eastAsia="仿宋"/>
          <w:color w:val="auto"/>
          <w:w w:val="90"/>
          <w:sz w:val="24"/>
          <w:szCs w:val="24"/>
        </w:rPr>
        <w:t>￥</w:t>
      </w:r>
      <w:r>
        <w:rPr>
          <w:rFonts w:ascii="仿宋" w:hAnsi="仿宋" w:eastAsia="仿宋"/>
          <w:color w:val="auto"/>
          <w:sz w:val="24"/>
          <w:szCs w:val="24"/>
        </w:rPr>
        <w:t>万元）。</w:t>
      </w:r>
    </w:p>
    <w:p>
      <w:pPr>
        <w:pStyle w:val="29"/>
        <w:spacing w:line="420" w:lineRule="exact"/>
        <w:ind w:left="0" w:firstLine="480" w:firstLineChars="200"/>
        <w:jc w:val="left"/>
        <w:rPr>
          <w:rFonts w:ascii="仿宋" w:hAnsi="仿宋" w:eastAsia="仿宋"/>
          <w:color w:val="auto"/>
          <w:sz w:val="24"/>
          <w:szCs w:val="24"/>
        </w:rPr>
      </w:pPr>
      <w:r>
        <w:rPr>
          <w:rFonts w:ascii="仿宋" w:hAnsi="仿宋" w:eastAsia="仿宋"/>
          <w:color w:val="auto"/>
          <w:sz w:val="24"/>
          <w:szCs w:val="24"/>
        </w:rPr>
        <w:t>若能竞得该地块，我方承诺：</w:t>
      </w:r>
    </w:p>
    <w:p>
      <w:pPr>
        <w:pStyle w:val="29"/>
        <w:spacing w:line="420" w:lineRule="exact"/>
        <w:ind w:left="0" w:firstLine="482" w:firstLineChars="200"/>
        <w:jc w:val="left"/>
        <w:rPr>
          <w:rFonts w:ascii="仿宋" w:hAnsi="仿宋" w:eastAsia="仿宋"/>
          <w:b/>
          <w:color w:val="auto"/>
          <w:sz w:val="24"/>
          <w:szCs w:val="24"/>
          <w:u w:val="single"/>
        </w:rPr>
      </w:pPr>
      <w:r>
        <w:rPr>
          <w:rFonts w:ascii="仿宋" w:hAnsi="仿宋" w:eastAsia="仿宋"/>
          <w:b/>
          <w:strike w:val="0"/>
          <w:dstrike w:val="0"/>
          <w:color w:val="auto"/>
          <w:sz w:val="24"/>
          <w:szCs w:val="24"/>
        </w:rPr>
        <w:t>（一）竞得土地使用权后</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如果</w:t>
      </w:r>
      <w:r>
        <w:rPr>
          <w:rFonts w:ascii="仿宋" w:hAnsi="仿宋" w:eastAsia="仿宋"/>
          <w:b/>
          <w:strike w:val="0"/>
          <w:dstrike w:val="0"/>
          <w:color w:val="auto"/>
          <w:sz w:val="24"/>
          <w:szCs w:val="24"/>
        </w:rPr>
        <w:t>注册成立一家新公司对竞得土地进行开发建设，</w:t>
      </w:r>
      <w:r>
        <w:rPr>
          <w:rFonts w:hint="eastAsia" w:ascii="仿宋" w:hAnsi="仿宋" w:eastAsia="仿宋"/>
          <w:b/>
          <w:strike w:val="0"/>
          <w:dstrike w:val="0"/>
          <w:color w:val="auto"/>
          <w:sz w:val="24"/>
          <w:szCs w:val="24"/>
          <w:lang w:val="en-US" w:eastAsia="zh-CN"/>
        </w:rPr>
        <w:t>需在</w:t>
      </w:r>
      <w:r>
        <w:rPr>
          <w:rFonts w:ascii="仿宋" w:hAnsi="仿宋" w:eastAsia="仿宋"/>
          <w:b/>
          <w:strike w:val="0"/>
          <w:dstrike w:val="0"/>
          <w:color w:val="auto"/>
          <w:sz w:val="24"/>
          <w:szCs w:val="24"/>
        </w:rPr>
        <w:t>3个月内</w:t>
      </w:r>
      <w:r>
        <w:rPr>
          <w:rFonts w:hint="eastAsia" w:ascii="仿宋" w:hAnsi="仿宋" w:eastAsia="仿宋"/>
          <w:b/>
          <w:strike w:val="0"/>
          <w:dstrike w:val="0"/>
          <w:color w:val="auto"/>
          <w:sz w:val="24"/>
          <w:szCs w:val="24"/>
          <w:lang w:val="en-US" w:eastAsia="zh-CN"/>
        </w:rPr>
        <w:t>成立</w:t>
      </w:r>
      <w:r>
        <w:rPr>
          <w:rFonts w:ascii="仿宋" w:hAnsi="仿宋" w:eastAsia="仿宋"/>
          <w:b/>
          <w:strike w:val="0"/>
          <w:dstrike w:val="0"/>
          <w:color w:val="auto"/>
          <w:sz w:val="24"/>
          <w:szCs w:val="24"/>
        </w:rPr>
        <w:t>新公司</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且竞得人在</w:t>
      </w:r>
      <w:r>
        <w:rPr>
          <w:rFonts w:ascii="仿宋" w:hAnsi="仿宋" w:eastAsia="仿宋"/>
          <w:b/>
          <w:strike w:val="0"/>
          <w:dstrike w:val="0"/>
          <w:color w:val="auto"/>
          <w:sz w:val="24"/>
          <w:szCs w:val="24"/>
        </w:rPr>
        <w:t>新公司的出资比例必须在51%（含）以上</w:t>
      </w:r>
      <w:r>
        <w:rPr>
          <w:rFonts w:hint="eastAsia" w:ascii="仿宋" w:hAnsi="仿宋" w:eastAsia="仿宋"/>
          <w:b/>
          <w:strike w:val="0"/>
          <w:dstrike w:val="0"/>
          <w:color w:val="auto"/>
          <w:sz w:val="24"/>
          <w:szCs w:val="24"/>
          <w:lang w:val="en-US" w:eastAsia="zh-CN"/>
        </w:rPr>
        <w:t>。</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（二）保证按照拍卖出让文件的规定和要求履行全部义务，如有违约行为，我方愿意承担全部法律责任，并赔偿由此产生的损失。</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（三）若我方不按拍卖出让文件的要求签</w:t>
      </w:r>
      <w:r>
        <w:rPr>
          <w:rFonts w:hint="eastAsia" w:ascii="仿宋" w:hAnsi="仿宋" w:eastAsia="仿宋"/>
          <w:color w:val="auto"/>
          <w:sz w:val="24"/>
          <w:szCs w:val="24"/>
        </w:rPr>
        <w:t>定</w:t>
      </w:r>
      <w:r>
        <w:rPr>
          <w:rFonts w:ascii="仿宋" w:hAnsi="仿宋" w:eastAsia="仿宋"/>
          <w:color w:val="auto"/>
          <w:sz w:val="24"/>
          <w:szCs w:val="24"/>
        </w:rPr>
        <w:t>《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9"/>
        <w:spacing w:line="420" w:lineRule="exact"/>
        <w:ind w:left="0" w:firstLine="482" w:firstLineChars="200"/>
        <w:rPr>
          <w:rFonts w:ascii="仿宋" w:hAnsi="仿宋" w:eastAsia="仿宋"/>
          <w:color w:val="auto"/>
          <w:sz w:val="24"/>
          <w:szCs w:val="24"/>
        </w:rPr>
      </w:pPr>
      <w:r>
        <w:rPr>
          <w:rFonts w:ascii="仿宋" w:hAnsi="仿宋" w:eastAsia="仿宋"/>
          <w:b/>
          <w:color w:val="auto"/>
          <w:sz w:val="24"/>
          <w:szCs w:val="24"/>
        </w:rPr>
        <w:t>附：</w:t>
      </w:r>
      <w:r>
        <w:rPr>
          <w:rFonts w:ascii="仿宋" w:hAnsi="仿宋" w:eastAsia="仿宋"/>
          <w:color w:val="auto"/>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竞买申请人（盖章）：</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法定代表人（本人签名）：</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联系人：</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地址：</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电话：</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申请日期：  年   月   日</w:t>
      </w:r>
    </w:p>
    <w:p>
      <w:pPr>
        <w:pStyle w:val="29"/>
        <w:spacing w:line="420" w:lineRule="exact"/>
        <w:ind w:left="0" w:firstLine="510"/>
        <w:rPr>
          <w:rFonts w:ascii="仿宋" w:hAnsi="仿宋" w:eastAsia="仿宋"/>
          <w:color w:val="auto"/>
          <w:sz w:val="24"/>
          <w:szCs w:val="24"/>
        </w:rPr>
      </w:pPr>
    </w:p>
    <w:p>
      <w:pPr>
        <w:pStyle w:val="29"/>
        <w:spacing w:line="420" w:lineRule="exact"/>
        <w:ind w:left="0" w:firstLine="510"/>
        <w:rPr>
          <w:rFonts w:ascii="仿宋" w:hAnsi="仿宋" w:eastAsia="仿宋"/>
          <w:b/>
          <w:color w:val="auto"/>
          <w:sz w:val="24"/>
          <w:szCs w:val="24"/>
        </w:rPr>
      </w:pPr>
      <w:r>
        <w:rPr>
          <w:rFonts w:ascii="仿宋" w:hAnsi="仿宋" w:eastAsia="仿宋"/>
          <w:b/>
          <w:color w:val="auto"/>
          <w:sz w:val="24"/>
          <w:szCs w:val="24"/>
        </w:rPr>
        <w:t>（法人或其他组织参与竞买的，竞买时须带上公章）</w:t>
      </w:r>
    </w:p>
    <w:p>
      <w:pPr>
        <w:pStyle w:val="15"/>
        <w:spacing w:before="0" w:after="0" w:line="600" w:lineRule="exact"/>
        <w:rPr>
          <w:rFonts w:ascii="Times New Roman" w:hAnsi="Times New Roman" w:eastAsia="黑体"/>
          <w:color w:val="auto"/>
          <w:sz w:val="44"/>
          <w:szCs w:val="44"/>
        </w:rPr>
      </w:pPr>
      <w:r>
        <w:rPr>
          <w:rFonts w:ascii="Times New Roman" w:hAnsi="Times New Roman" w:eastAsia="宋体"/>
          <w:color w:val="auto"/>
          <w:w w:val="90"/>
        </w:rPr>
        <w:br w:type="page"/>
      </w:r>
      <w:bookmarkStart w:id="12" w:name="_Toc3391976"/>
      <w:bookmarkStart w:id="13" w:name="_Toc3391747"/>
      <w:r>
        <w:rPr>
          <w:rFonts w:ascii="Times New Roman" w:hAnsi="Times New Roman" w:eastAsia="黑体"/>
          <w:color w:val="auto"/>
          <w:sz w:val="44"/>
          <w:szCs w:val="44"/>
        </w:rPr>
        <w:t>保证金承诺书</w:t>
      </w:r>
      <w:bookmarkEnd w:id="12"/>
      <w:bookmarkEnd w:id="13"/>
    </w:p>
    <w:p>
      <w:pPr>
        <w:rPr>
          <w:b/>
          <w:color w:val="auto"/>
          <w:sz w:val="44"/>
          <w:szCs w:val="44"/>
        </w:rPr>
      </w:pPr>
    </w:p>
    <w:p>
      <w:pPr>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ind w:firstLine="600" w:firstLineChars="200"/>
        <w:rPr>
          <w:rFonts w:eastAsia="仿宋_GB2312"/>
          <w:color w:val="auto"/>
          <w:sz w:val="30"/>
          <w:szCs w:val="30"/>
        </w:rPr>
      </w:pPr>
      <w:r>
        <w:rPr>
          <w:rFonts w:eastAsia="仿宋_GB2312"/>
          <w:color w:val="auto"/>
          <w:sz w:val="30"/>
          <w:szCs w:val="30"/>
        </w:rPr>
        <w:t>我方承诺参加</w:t>
      </w:r>
      <w:r>
        <w:rPr>
          <w:rFonts w:eastAsia="仿宋_GB2312"/>
          <w:color w:val="auto"/>
          <w:sz w:val="30"/>
          <w:szCs w:val="30"/>
          <w:u w:val="single"/>
        </w:rPr>
        <w:t>202</w:t>
      </w:r>
      <w:r>
        <w:rPr>
          <w:rFonts w:hint="eastAsia" w:eastAsia="仿宋_GB2312"/>
          <w:color w:val="auto"/>
          <w:sz w:val="30"/>
          <w:szCs w:val="30"/>
          <w:u w:val="single"/>
        </w:rPr>
        <w:t>3</w:t>
      </w:r>
      <w:r>
        <w:rPr>
          <w:rFonts w:eastAsia="仿宋_GB2312"/>
          <w:color w:val="auto"/>
          <w:sz w:val="30"/>
          <w:szCs w:val="30"/>
          <w:u w:val="single"/>
        </w:rPr>
        <w:t>年  月  日</w:t>
      </w:r>
      <w:r>
        <w:rPr>
          <w:rFonts w:eastAsia="仿宋_GB2312"/>
          <w:color w:val="auto"/>
          <w:sz w:val="30"/>
          <w:szCs w:val="30"/>
        </w:rPr>
        <w:t>拍卖出让的地块竞买，我方所交保证金不属于银行贷款、股东借款、转贷和募集资金。</w:t>
      </w:r>
    </w:p>
    <w:p>
      <w:pPr>
        <w:ind w:firstLine="600" w:firstLineChars="200"/>
        <w:rPr>
          <w:rFonts w:eastAsia="仿宋_GB2312"/>
          <w:color w:val="auto"/>
          <w:sz w:val="30"/>
          <w:szCs w:val="30"/>
        </w:rPr>
      </w:pPr>
      <w:r>
        <w:rPr>
          <w:rFonts w:eastAsia="仿宋_GB2312"/>
          <w:color w:val="auto"/>
          <w:sz w:val="30"/>
          <w:szCs w:val="30"/>
        </w:rPr>
        <w:t>特此承诺。</w:t>
      </w:r>
    </w:p>
    <w:p>
      <w:pPr>
        <w:rPr>
          <w:rFonts w:eastAsia="仿宋_GB2312"/>
          <w:color w:val="auto"/>
          <w:sz w:val="30"/>
          <w:szCs w:val="30"/>
        </w:rPr>
      </w:pPr>
    </w:p>
    <w:p>
      <w:pPr>
        <w:ind w:firstLine="750" w:firstLineChars="250"/>
        <w:rPr>
          <w:rFonts w:eastAsia="仿宋_GB2312"/>
          <w:color w:val="auto"/>
          <w:sz w:val="30"/>
          <w:szCs w:val="30"/>
        </w:rPr>
      </w:pPr>
      <w:r>
        <w:rPr>
          <w:rFonts w:eastAsia="仿宋_GB2312"/>
          <w:color w:val="auto"/>
          <w:sz w:val="30"/>
          <w:szCs w:val="30"/>
        </w:rPr>
        <w:t>承诺人（法定代表人）签字：</w:t>
      </w:r>
    </w:p>
    <w:p>
      <w:pPr>
        <w:ind w:firstLine="750" w:firstLineChars="250"/>
        <w:rPr>
          <w:rFonts w:eastAsia="仿宋_GB2312"/>
          <w:color w:val="auto"/>
          <w:sz w:val="30"/>
          <w:szCs w:val="30"/>
        </w:rPr>
      </w:pPr>
    </w:p>
    <w:p>
      <w:pPr>
        <w:ind w:firstLine="750" w:firstLineChars="250"/>
        <w:rPr>
          <w:rFonts w:eastAsia="仿宋_GB2312"/>
          <w:color w:val="auto"/>
          <w:sz w:val="30"/>
          <w:szCs w:val="30"/>
        </w:rPr>
      </w:pPr>
    </w:p>
    <w:p>
      <w:pPr>
        <w:ind w:right="900" w:firstLine="750" w:firstLineChars="250"/>
        <w:jc w:val="right"/>
        <w:rPr>
          <w:rFonts w:eastAsia="仿宋_GB2312"/>
          <w:color w:val="auto"/>
          <w:sz w:val="30"/>
          <w:szCs w:val="30"/>
        </w:rPr>
      </w:pPr>
      <w:r>
        <w:rPr>
          <w:rFonts w:eastAsia="仿宋_GB2312"/>
          <w:color w:val="auto"/>
          <w:sz w:val="30"/>
          <w:szCs w:val="30"/>
        </w:rPr>
        <w:t>年   月  日</w:t>
      </w:r>
    </w:p>
    <w:p>
      <w:pPr>
        <w:pStyle w:val="15"/>
        <w:rPr>
          <w:rFonts w:ascii="Times New Roman" w:hAnsi="Times New Roman" w:eastAsia="黑体"/>
          <w:color w:val="auto"/>
          <w:sz w:val="44"/>
          <w:szCs w:val="44"/>
        </w:rPr>
      </w:pPr>
      <w:r>
        <w:rPr>
          <w:rFonts w:ascii="Times New Roman" w:hAnsi="Times New Roman" w:eastAsia="仿宋_GB2312"/>
          <w:color w:val="auto"/>
          <w:sz w:val="30"/>
          <w:szCs w:val="30"/>
        </w:rPr>
        <w:br w:type="page"/>
      </w:r>
      <w:bookmarkStart w:id="14" w:name="_Toc3391977"/>
      <w:bookmarkStart w:id="15" w:name="_Toc3391748"/>
      <w:r>
        <w:rPr>
          <w:rFonts w:ascii="Times New Roman" w:hAnsi="Times New Roman" w:eastAsia="黑体"/>
          <w:color w:val="auto"/>
          <w:sz w:val="44"/>
          <w:szCs w:val="44"/>
        </w:rPr>
        <w:t>法定代表人身份证明书</w:t>
      </w:r>
      <w:bookmarkEnd w:id="14"/>
      <w:bookmarkEnd w:id="15"/>
    </w:p>
    <w:p>
      <w:pPr>
        <w:pStyle w:val="29"/>
        <w:spacing w:line="627" w:lineRule="atLeast"/>
        <w:ind w:left="0"/>
        <w:jc w:val="left"/>
        <w:rPr>
          <w:rFonts w:eastAsia="黑体"/>
          <w:color w:val="auto"/>
          <w:sz w:val="36"/>
          <w:szCs w:val="36"/>
        </w:rPr>
      </w:pPr>
    </w:p>
    <w:p>
      <w:pPr>
        <w:pStyle w:val="29"/>
        <w:spacing w:line="627" w:lineRule="atLeast"/>
        <w:ind w:left="0"/>
        <w:jc w:val="left"/>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pStyle w:val="29"/>
        <w:spacing w:line="627" w:lineRule="atLeast"/>
        <w:ind w:left="0" w:firstLine="750" w:firstLineChars="250"/>
        <w:jc w:val="left"/>
        <w:rPr>
          <w:rFonts w:eastAsia="仿宋_GB2312"/>
          <w:color w:val="auto"/>
          <w:sz w:val="30"/>
          <w:szCs w:val="30"/>
        </w:rPr>
      </w:pPr>
      <w:r>
        <w:rPr>
          <w:rFonts w:eastAsia="仿宋_GB2312"/>
          <w:color w:val="auto"/>
          <w:sz w:val="30"/>
          <w:szCs w:val="30"/>
        </w:rPr>
        <w:t>××同志在我单位任职务，系我单位法定代表人，特此证明。</w:t>
      </w:r>
    </w:p>
    <w:p>
      <w:pPr>
        <w:pStyle w:val="29"/>
        <w:spacing w:line="627" w:lineRule="atLeast"/>
        <w:ind w:firstLine="900" w:firstLineChars="300"/>
        <w:jc w:val="left"/>
        <w:rPr>
          <w:rFonts w:eastAsia="仿宋_GB2312"/>
          <w:color w:val="auto"/>
          <w:sz w:val="30"/>
          <w:szCs w:val="30"/>
        </w:rPr>
      </w:pPr>
    </w:p>
    <w:p>
      <w:pPr>
        <w:pStyle w:val="29"/>
        <w:spacing w:line="627" w:lineRule="atLeast"/>
        <w:ind w:right="900" w:firstLine="900" w:firstLineChars="300"/>
        <w:jc w:val="right"/>
        <w:rPr>
          <w:rFonts w:eastAsia="仿宋_GB2312"/>
          <w:color w:val="auto"/>
          <w:sz w:val="30"/>
          <w:szCs w:val="30"/>
        </w:rPr>
      </w:pPr>
      <w:r>
        <w:rPr>
          <w:rFonts w:eastAsia="仿宋_GB2312"/>
          <w:color w:val="auto"/>
          <w:sz w:val="30"/>
          <w:szCs w:val="30"/>
        </w:rPr>
        <w:t>年   月   日</w:t>
      </w: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rPr>
          <w:color w:val="auto"/>
          <w:sz w:val="28"/>
          <w:szCs w:val="28"/>
        </w:rPr>
      </w:pPr>
    </w:p>
    <w:p>
      <w:pPr>
        <w:pStyle w:val="29"/>
        <w:spacing w:line="586" w:lineRule="atLeast"/>
        <w:jc w:val="center"/>
        <w:rPr>
          <w:color w:val="auto"/>
          <w:sz w:val="28"/>
          <w:szCs w:val="28"/>
        </w:rPr>
      </w:pPr>
    </w:p>
    <w:p>
      <w:pPr>
        <w:pStyle w:val="29"/>
        <w:spacing w:line="586" w:lineRule="atLeast"/>
        <w:jc w:val="left"/>
        <w:rPr>
          <w:color w:val="auto"/>
          <w:sz w:val="28"/>
          <w:szCs w:val="28"/>
        </w:rPr>
      </w:pPr>
    </w:p>
    <w:p>
      <w:pPr>
        <w:pStyle w:val="29"/>
        <w:spacing w:line="586" w:lineRule="atLeast"/>
        <w:jc w:val="left"/>
        <w:rPr>
          <w:color w:val="auto"/>
          <w:sz w:val="28"/>
          <w:szCs w:val="28"/>
        </w:rPr>
      </w:pPr>
      <w:r>
        <w:rPr>
          <w:color w:val="auto"/>
          <w:sz w:val="28"/>
          <w:szCs w:val="28"/>
        </w:rPr>
        <w:t>附注：</w:t>
      </w:r>
    </w:p>
    <w:p>
      <w:pPr>
        <w:pStyle w:val="29"/>
        <w:spacing w:line="586" w:lineRule="atLeast"/>
        <w:ind w:firstLine="560" w:firstLineChars="200"/>
        <w:jc w:val="left"/>
        <w:rPr>
          <w:color w:val="auto"/>
          <w:sz w:val="28"/>
          <w:szCs w:val="28"/>
        </w:rPr>
      </w:pPr>
      <w:r>
        <w:rPr>
          <w:color w:val="auto"/>
          <w:sz w:val="28"/>
          <w:szCs w:val="28"/>
        </w:rPr>
        <w:t>①企事业单位、机关、团体的主要负责人为本单位的法定代表人；</w:t>
      </w:r>
    </w:p>
    <w:p>
      <w:pPr>
        <w:pStyle w:val="29"/>
        <w:spacing w:line="586" w:lineRule="atLeast"/>
        <w:ind w:firstLine="570"/>
        <w:jc w:val="left"/>
        <w:rPr>
          <w:color w:val="auto"/>
          <w:sz w:val="28"/>
          <w:szCs w:val="28"/>
        </w:rPr>
      </w:pPr>
      <w:r>
        <w:rPr>
          <w:color w:val="auto"/>
          <w:sz w:val="28"/>
          <w:szCs w:val="28"/>
        </w:rPr>
        <w:t>②法定代表人办公地点：；</w:t>
      </w:r>
    </w:p>
    <w:p>
      <w:pPr>
        <w:pStyle w:val="29"/>
        <w:spacing w:line="586" w:lineRule="atLeast"/>
        <w:ind w:firstLine="570"/>
        <w:jc w:val="left"/>
        <w:rPr>
          <w:color w:val="auto"/>
          <w:sz w:val="28"/>
          <w:szCs w:val="28"/>
        </w:rPr>
      </w:pPr>
      <w:r>
        <w:rPr>
          <w:color w:val="auto"/>
          <w:sz w:val="28"/>
          <w:szCs w:val="28"/>
        </w:rPr>
        <w:t>③法定代表人身份证号码：；</w:t>
      </w:r>
    </w:p>
    <w:p>
      <w:pPr>
        <w:pStyle w:val="29"/>
        <w:spacing w:line="586" w:lineRule="atLeast"/>
        <w:ind w:left="0" w:firstLine="560" w:firstLineChars="200"/>
        <w:jc w:val="left"/>
        <w:rPr>
          <w:color w:val="auto"/>
          <w:sz w:val="28"/>
          <w:szCs w:val="28"/>
        </w:rPr>
      </w:pPr>
      <w:r>
        <w:rPr>
          <w:color w:val="auto"/>
          <w:sz w:val="28"/>
          <w:szCs w:val="28"/>
        </w:rPr>
        <w:t>④法定代表人联系电话：。</w:t>
      </w:r>
    </w:p>
    <w:p>
      <w:pPr>
        <w:pStyle w:val="15"/>
        <w:rPr>
          <w:rFonts w:ascii="Times New Roman" w:hAnsi="Times New Roman" w:eastAsia="黑体"/>
          <w:color w:val="auto"/>
          <w:sz w:val="44"/>
          <w:szCs w:val="44"/>
        </w:rPr>
      </w:pPr>
      <w:r>
        <w:rPr>
          <w:rFonts w:ascii="Times New Roman" w:hAnsi="Times New Roman" w:eastAsia="Dotum"/>
          <w:color w:val="auto"/>
          <w:sz w:val="44"/>
          <w:szCs w:val="44"/>
        </w:rPr>
        <w:br w:type="page"/>
      </w:r>
      <w:bookmarkStart w:id="16" w:name="_Toc3391978"/>
      <w:bookmarkStart w:id="17" w:name="_Toc3391749"/>
      <w:r>
        <w:rPr>
          <w:rFonts w:ascii="Times New Roman" w:hAnsi="Times New Roman" w:eastAsia="黑体"/>
          <w:color w:val="auto"/>
          <w:sz w:val="44"/>
          <w:szCs w:val="44"/>
        </w:rPr>
        <w:t>授权委托书</w:t>
      </w:r>
      <w:bookmarkEnd w:id="16"/>
      <w:bookmarkEnd w:id="17"/>
    </w:p>
    <w:tbl>
      <w:tblPr>
        <w:tblStyle w:val="16"/>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本人授权（受托人）代表本人参加  年  月   日在马踏洞新区龙马大道与鱼泉路交叉口处新政务服务大楼</w:t>
            </w:r>
            <w:r>
              <w:rPr>
                <w:rFonts w:ascii="仿宋" w:hAnsi="仿宋" w:eastAsia="仿宋"/>
                <w:b/>
                <w:color w:val="auto"/>
                <w:kern w:val="0"/>
                <w:sz w:val="24"/>
                <w:u w:val="single"/>
              </w:rPr>
              <w:t>XXXXXXXX</w:t>
            </w:r>
            <w:r>
              <w:rPr>
                <w:rFonts w:ascii="仿宋" w:hAnsi="仿宋" w:eastAsia="仿宋"/>
                <w:color w:val="auto"/>
                <w:kern w:val="0"/>
                <w:sz w:val="24"/>
              </w:rPr>
              <w:t>举行的地块国有建设用地使用权拍卖出让活动，代表本人签</w:t>
            </w:r>
            <w:r>
              <w:rPr>
                <w:rFonts w:hint="eastAsia" w:ascii="仿宋" w:hAnsi="仿宋" w:eastAsia="仿宋"/>
                <w:color w:val="auto"/>
                <w:kern w:val="0"/>
                <w:sz w:val="24"/>
              </w:rPr>
              <w:t>定</w:t>
            </w:r>
            <w:r>
              <w:rPr>
                <w:rFonts w:ascii="仿宋" w:hAnsi="仿宋" w:eastAsia="仿宋"/>
                <w:color w:val="auto"/>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委托人（签名）：</w:t>
            </w:r>
          </w:p>
          <w:p>
            <w:pPr>
              <w:widowControl/>
              <w:spacing w:line="500" w:lineRule="exact"/>
              <w:ind w:firstLine="3360" w:firstLineChars="1400"/>
              <w:jc w:val="left"/>
              <w:rPr>
                <w:rFonts w:ascii="仿宋" w:hAnsi="仿宋" w:eastAsia="仿宋"/>
                <w:color w:val="auto"/>
                <w:kern w:val="0"/>
                <w:sz w:val="24"/>
              </w:rPr>
            </w:pPr>
            <w:r>
              <w:rPr>
                <w:rFonts w:ascii="仿宋" w:hAnsi="仿宋" w:eastAsia="仿宋"/>
                <w:color w:val="auto"/>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备</w:t>
            </w:r>
          </w:p>
          <w:p>
            <w:pPr>
              <w:widowControl/>
              <w:spacing w:line="400" w:lineRule="exact"/>
              <w:ind w:left="1" w:firstLine="238"/>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auto"/>
                <w:kern w:val="0"/>
                <w:sz w:val="24"/>
              </w:rPr>
            </w:pPr>
          </w:p>
          <w:p>
            <w:pPr>
              <w:widowControl/>
              <w:spacing w:line="400" w:lineRule="exact"/>
              <w:ind w:left="1"/>
              <w:rPr>
                <w:rFonts w:ascii="仿宋" w:hAnsi="仿宋" w:eastAsia="仿宋"/>
                <w:color w:val="auto"/>
                <w:kern w:val="0"/>
                <w:sz w:val="24"/>
              </w:rPr>
            </w:pPr>
            <w:r>
              <w:rPr>
                <w:rFonts w:ascii="仿宋" w:hAnsi="仿宋" w:eastAsia="仿宋"/>
                <w:color w:val="auto"/>
                <w:kern w:val="0"/>
                <w:sz w:val="24"/>
              </w:rPr>
              <w:t>兹证明本委托书确系本单位法定代表人亲自签定</w:t>
            </w: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eastAsia="仿宋"/>
                <w:color w:val="auto"/>
                <w:kern w:val="0"/>
                <w:sz w:val="24"/>
              </w:rPr>
              <w:t> </w:t>
            </w:r>
            <w:r>
              <w:rPr>
                <w:rFonts w:ascii="仿宋" w:hAnsi="仿宋" w:eastAsia="仿宋"/>
                <w:color w:val="auto"/>
                <w:kern w:val="0"/>
                <w:sz w:val="24"/>
              </w:rPr>
              <w:t>单位公章：</w:t>
            </w:r>
          </w:p>
          <w:p>
            <w:pPr>
              <w:widowControl/>
              <w:spacing w:line="400" w:lineRule="exact"/>
              <w:ind w:left="1"/>
              <w:rPr>
                <w:rFonts w:ascii="仿宋" w:hAnsi="仿宋" w:eastAsia="仿宋"/>
                <w:color w:val="auto"/>
                <w:kern w:val="0"/>
                <w:sz w:val="24"/>
              </w:rPr>
            </w:pPr>
          </w:p>
          <w:p>
            <w:pPr>
              <w:widowControl/>
              <w:spacing w:line="400" w:lineRule="exact"/>
              <w:ind w:left="1" w:right="480" w:firstLine="4680" w:firstLineChars="1950"/>
              <w:rPr>
                <w:rFonts w:ascii="仿宋" w:hAnsi="仿宋" w:eastAsia="仿宋"/>
                <w:color w:val="auto"/>
                <w:kern w:val="0"/>
                <w:sz w:val="24"/>
              </w:rPr>
            </w:pPr>
            <w:r>
              <w:rPr>
                <w:rFonts w:ascii="仿宋" w:hAnsi="仿宋" w:eastAsia="仿宋"/>
                <w:color w:val="auto"/>
                <w:kern w:val="0"/>
                <w:sz w:val="24"/>
              </w:rPr>
              <w:t>年月日</w:t>
            </w:r>
          </w:p>
        </w:tc>
      </w:tr>
    </w:tbl>
    <w:p>
      <w:pPr>
        <w:pStyle w:val="29"/>
        <w:spacing w:line="760" w:lineRule="exact"/>
        <w:ind w:left="0"/>
        <w:jc w:val="center"/>
        <w:rPr>
          <w:rFonts w:eastAsia="方正小标宋简体"/>
          <w:color w:val="auto"/>
          <w:spacing w:val="-5"/>
          <w:kern w:val="2"/>
          <w:sz w:val="44"/>
          <w:szCs w:val="44"/>
        </w:rPr>
      </w:pPr>
    </w:p>
    <w:p>
      <w:pPr>
        <w:jc w:val="center"/>
        <w:rPr>
          <w:rFonts w:eastAsia="黑体"/>
          <w:b/>
          <w:bCs/>
          <w:color w:val="auto"/>
          <w:sz w:val="44"/>
          <w:szCs w:val="44"/>
        </w:rPr>
      </w:pPr>
      <w:r>
        <w:rPr>
          <w:rFonts w:eastAsia="方正小标宋简体"/>
          <w:color w:val="auto"/>
          <w:spacing w:val="-5"/>
          <w:sz w:val="44"/>
          <w:szCs w:val="44"/>
        </w:rPr>
        <w:br w:type="page"/>
      </w:r>
      <w:r>
        <w:rPr>
          <w:rFonts w:eastAsia="黑体"/>
          <w:b/>
          <w:bCs/>
          <w:color w:val="auto"/>
          <w:sz w:val="44"/>
          <w:szCs w:val="44"/>
        </w:rPr>
        <w:t>国有建设用地使用权出让成交确认书</w:t>
      </w:r>
    </w:p>
    <w:p>
      <w:pPr>
        <w:spacing w:line="560" w:lineRule="exact"/>
        <w:jc w:val="center"/>
        <w:rPr>
          <w:rFonts w:ascii="仿宋" w:hAnsi="仿宋" w:eastAsia="仿宋"/>
          <w:color w:val="auto"/>
          <w:sz w:val="30"/>
          <w:szCs w:val="30"/>
        </w:rPr>
      </w:pPr>
      <w:r>
        <w:rPr>
          <w:rFonts w:ascii="仿宋" w:hAnsi="仿宋" w:eastAsia="仿宋"/>
          <w:color w:val="auto"/>
          <w:sz w:val="30"/>
          <w:szCs w:val="30"/>
        </w:rPr>
        <w:t>(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受</w:t>
      </w:r>
      <w:r>
        <w:rPr>
          <w:rFonts w:ascii="仿宋" w:hAnsi="仿宋" w:eastAsia="仿宋"/>
          <w:color w:val="auto"/>
          <w:sz w:val="30"/>
          <w:szCs w:val="30"/>
          <w:u w:val="single"/>
        </w:rPr>
        <w:t xml:space="preserve">  （出让人） </w:t>
      </w:r>
      <w:r>
        <w:rPr>
          <w:rFonts w:ascii="仿宋" w:hAnsi="仿宋" w:eastAsia="仿宋"/>
          <w:color w:val="auto"/>
          <w:sz w:val="30"/>
          <w:szCs w:val="30"/>
        </w:rPr>
        <w:t>委托， 年  月  日，</w:t>
      </w:r>
      <w:r>
        <w:rPr>
          <w:rFonts w:ascii="仿宋" w:hAnsi="仿宋" w:eastAsia="仿宋"/>
          <w:b/>
          <w:color w:val="auto"/>
          <w:sz w:val="30"/>
          <w:szCs w:val="30"/>
          <w:u w:val="single"/>
        </w:rPr>
        <w:t>XXXXXXXX</w:t>
      </w:r>
      <w:r>
        <w:rPr>
          <w:rFonts w:ascii="仿宋" w:hAnsi="仿宋" w:eastAsia="仿宋"/>
          <w:color w:val="auto"/>
          <w:sz w:val="30"/>
          <w:szCs w:val="30"/>
        </w:rPr>
        <w:t>对</w:t>
      </w:r>
      <w:r>
        <w:rPr>
          <w:rFonts w:ascii="仿宋" w:hAnsi="仿宋" w:eastAsia="仿宋"/>
          <w:color w:val="auto"/>
          <w:sz w:val="30"/>
          <w:szCs w:val="30"/>
          <w:u w:val="single"/>
        </w:rPr>
        <w:t xml:space="preserve">          号</w:t>
      </w:r>
      <w:r>
        <w:rPr>
          <w:rFonts w:ascii="仿宋" w:hAnsi="仿宋" w:eastAsia="仿宋"/>
          <w:color w:val="auto"/>
          <w:sz w:val="30"/>
          <w:szCs w:val="30"/>
        </w:rPr>
        <w:t xml:space="preserve">国有建设用地使用权进行了公开 </w:t>
      </w:r>
      <w:r>
        <w:rPr>
          <w:rFonts w:ascii="仿宋" w:hAnsi="仿宋" w:eastAsia="仿宋"/>
          <w:color w:val="auto"/>
          <w:sz w:val="30"/>
          <w:szCs w:val="30"/>
          <w:u w:val="single"/>
        </w:rPr>
        <w:t xml:space="preserve"> （招标、拍卖、挂牌）</w:t>
      </w:r>
      <w:r>
        <w:rPr>
          <w:rFonts w:ascii="仿宋" w:hAnsi="仿宋" w:eastAsia="仿宋"/>
          <w:color w:val="auto"/>
          <w:sz w:val="30"/>
          <w:szCs w:val="30"/>
        </w:rPr>
        <w:t>出让，由</w:t>
      </w:r>
      <w:r>
        <w:rPr>
          <w:rFonts w:ascii="仿宋" w:hAnsi="仿宋" w:eastAsia="仿宋"/>
          <w:color w:val="auto"/>
          <w:sz w:val="30"/>
          <w:szCs w:val="30"/>
          <w:u w:val="single"/>
        </w:rPr>
        <w:t xml:space="preserve">   （竞得人）   </w:t>
      </w:r>
      <w:r>
        <w:rPr>
          <w:rFonts w:ascii="仿宋" w:hAnsi="仿宋" w:eastAsia="仿宋"/>
          <w:color w:val="auto"/>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二、竞得人缴纳的竞买保证金自成交之日起自动转作受让地块的定金。</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三、竞得人签</w:t>
      </w:r>
      <w:r>
        <w:rPr>
          <w:rFonts w:hint="eastAsia" w:ascii="仿宋" w:hAnsi="仿宋" w:eastAsia="仿宋"/>
          <w:color w:val="auto"/>
          <w:sz w:val="30"/>
          <w:szCs w:val="30"/>
        </w:rPr>
        <w:t>定</w:t>
      </w:r>
      <w:r>
        <w:rPr>
          <w:rFonts w:ascii="仿宋" w:hAnsi="仿宋" w:eastAsia="仿宋"/>
          <w:color w:val="auto"/>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四、竞得人应在本《成交确认书》签</w:t>
      </w:r>
      <w:r>
        <w:rPr>
          <w:rFonts w:hint="eastAsia" w:ascii="仿宋" w:hAnsi="仿宋" w:eastAsia="仿宋"/>
          <w:color w:val="auto"/>
          <w:sz w:val="30"/>
          <w:szCs w:val="30"/>
        </w:rPr>
        <w:t>定</w:t>
      </w:r>
      <w:r>
        <w:rPr>
          <w:rFonts w:ascii="仿宋" w:hAnsi="仿宋" w:eastAsia="仿宋"/>
          <w:color w:val="auto"/>
          <w:sz w:val="30"/>
          <w:szCs w:val="30"/>
        </w:rPr>
        <w:t>后10个工作日内，持本《成交确认书》与</w:t>
      </w:r>
      <w:r>
        <w:rPr>
          <w:rFonts w:ascii="仿宋" w:hAnsi="仿宋" w:eastAsia="仿宋"/>
          <w:color w:val="auto"/>
          <w:sz w:val="30"/>
          <w:szCs w:val="30"/>
          <w:u w:val="single"/>
        </w:rPr>
        <w:t xml:space="preserve"> （出让人） </w:t>
      </w:r>
      <w:r>
        <w:rPr>
          <w:rFonts w:ascii="仿宋" w:hAnsi="仿宋" w:eastAsia="仿宋"/>
          <w:color w:val="auto"/>
          <w:sz w:val="30"/>
          <w:szCs w:val="30"/>
        </w:rPr>
        <w:t>签订《国有建设用地使用权出让合同》；不按期签订《国有建设用地使用权出让合同》的，视为竞得人自动放弃竞得资格，</w:t>
      </w:r>
      <w:r>
        <w:rPr>
          <w:rFonts w:ascii="仿宋" w:hAnsi="仿宋" w:eastAsia="仿宋"/>
          <w:color w:val="auto"/>
          <w:sz w:val="30"/>
          <w:szCs w:val="30"/>
          <w:u w:val="single"/>
        </w:rPr>
        <w:t>（出让人）</w:t>
      </w:r>
      <w:r>
        <w:rPr>
          <w:rFonts w:ascii="仿宋" w:hAnsi="仿宋" w:eastAsia="仿宋"/>
          <w:color w:val="auto"/>
          <w:sz w:val="30"/>
          <w:szCs w:val="30"/>
        </w:rPr>
        <w:t>终止供地，不退还定金，并承担相应的法律责任。</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五、本《成交确认书》一式</w:t>
      </w:r>
      <w:r>
        <w:rPr>
          <w:rFonts w:hint="eastAsia" w:ascii="仿宋" w:hAnsi="仿宋" w:eastAsia="仿宋"/>
          <w:color w:val="auto"/>
          <w:sz w:val="30"/>
          <w:szCs w:val="30"/>
        </w:rPr>
        <w:t>叁</w:t>
      </w:r>
      <w:r>
        <w:rPr>
          <w:rFonts w:ascii="仿宋" w:hAnsi="仿宋" w:eastAsia="仿宋"/>
          <w:color w:val="auto"/>
          <w:sz w:val="30"/>
          <w:szCs w:val="30"/>
        </w:rPr>
        <w:t>份，达州市公共资源交易服务</w:t>
      </w:r>
      <w:r>
        <w:rPr>
          <w:rFonts w:hint="eastAsia" w:ascii="仿宋" w:hAnsi="仿宋" w:eastAsia="仿宋"/>
          <w:color w:val="auto"/>
          <w:sz w:val="30"/>
          <w:szCs w:val="30"/>
        </w:rPr>
        <w:t>中心</w:t>
      </w:r>
      <w:r>
        <w:rPr>
          <w:rFonts w:ascii="仿宋" w:hAnsi="仿宋" w:eastAsia="仿宋"/>
          <w:color w:val="auto"/>
          <w:sz w:val="30"/>
          <w:szCs w:val="30"/>
        </w:rPr>
        <w:t xml:space="preserve">、出让人、竞得人各执 </w:t>
      </w:r>
      <w:r>
        <w:rPr>
          <w:rFonts w:hint="eastAsia" w:ascii="仿宋" w:hAnsi="仿宋" w:eastAsia="仿宋"/>
          <w:color w:val="auto"/>
          <w:sz w:val="30"/>
          <w:szCs w:val="30"/>
          <w:lang w:val="en-US" w:eastAsia="zh-CN"/>
        </w:rPr>
        <w:t>壹</w:t>
      </w:r>
      <w:r>
        <w:rPr>
          <w:rFonts w:ascii="仿宋" w:hAnsi="仿宋" w:eastAsia="仿宋"/>
          <w:color w:val="auto"/>
          <w:sz w:val="30"/>
          <w:szCs w:val="30"/>
        </w:rPr>
        <w:t>份。</w:t>
      </w:r>
    </w:p>
    <w:p>
      <w:pPr>
        <w:spacing w:line="560" w:lineRule="exact"/>
        <w:rPr>
          <w:rFonts w:ascii="仿宋" w:hAnsi="仿宋" w:eastAsia="仿宋"/>
          <w:color w:val="auto"/>
          <w:sz w:val="30"/>
          <w:szCs w:val="30"/>
        </w:rPr>
      </w:pPr>
      <w:r>
        <w:rPr>
          <w:rFonts w:ascii="仿宋" w:hAnsi="仿宋" w:eastAsia="仿宋"/>
          <w:b/>
          <w:color w:val="auto"/>
          <w:sz w:val="30"/>
          <w:szCs w:val="30"/>
        </w:rPr>
        <w:t>出让人</w:t>
      </w:r>
      <w:r>
        <w:rPr>
          <w:rFonts w:ascii="仿宋" w:hAnsi="仿宋" w:eastAsia="仿宋"/>
          <w:color w:val="auto"/>
          <w:sz w:val="30"/>
          <w:szCs w:val="30"/>
        </w:rPr>
        <w:t>：</w:t>
      </w:r>
      <w:r>
        <w:rPr>
          <w:rFonts w:hint="eastAsia" w:ascii="仿宋" w:hAnsi="仿宋" w:eastAsia="仿宋"/>
          <w:color w:val="auto"/>
          <w:sz w:val="30"/>
          <w:szCs w:val="30"/>
        </w:rPr>
        <w:t xml:space="preserve">            </w:t>
      </w:r>
      <w:r>
        <w:rPr>
          <w:rFonts w:ascii="仿宋" w:hAnsi="仿宋" w:eastAsia="仿宋"/>
          <w:b/>
          <w:color w:val="auto"/>
          <w:sz w:val="30"/>
          <w:szCs w:val="30"/>
        </w:rPr>
        <w:t>竞得人：</w:t>
      </w:r>
      <w:r>
        <w:rPr>
          <w:rFonts w:hint="eastAsia" w:ascii="仿宋" w:hAnsi="仿宋" w:eastAsia="仿宋"/>
          <w:b/>
          <w:color w:val="auto"/>
          <w:sz w:val="30"/>
          <w:szCs w:val="30"/>
        </w:rPr>
        <w:t xml:space="preserve">     </w:t>
      </w:r>
      <w:r>
        <w:rPr>
          <w:rFonts w:ascii="仿宋" w:hAnsi="仿宋" w:eastAsia="仿宋"/>
          <w:color w:val="auto"/>
          <w:sz w:val="30"/>
          <w:szCs w:val="30"/>
        </w:rPr>
        <w:t>达州市公共资源交易服务</w:t>
      </w:r>
      <w:r>
        <w:rPr>
          <w:rFonts w:hint="eastAsia" w:ascii="仿宋" w:hAnsi="仿宋" w:eastAsia="仿宋"/>
          <w:color w:val="auto"/>
          <w:sz w:val="30"/>
          <w:szCs w:val="30"/>
        </w:rPr>
        <w:t>中心</w:t>
      </w:r>
    </w:p>
    <w:p>
      <w:pPr>
        <w:spacing w:line="560" w:lineRule="exact"/>
        <w:rPr>
          <w:rFonts w:ascii="仿宋" w:hAnsi="仿宋" w:eastAsia="仿宋"/>
          <w:b/>
          <w:color w:val="auto"/>
          <w:sz w:val="30"/>
          <w:szCs w:val="30"/>
        </w:rPr>
      </w:pP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p>
    <w:p>
      <w:pPr>
        <w:spacing w:line="560" w:lineRule="exact"/>
        <w:rPr>
          <w:rFonts w:ascii="仿宋" w:hAnsi="仿宋" w:eastAsia="仿宋"/>
          <w:color w:val="auto"/>
          <w:sz w:val="30"/>
          <w:szCs w:val="30"/>
        </w:rPr>
      </w:pP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hint="eastAsia" w:ascii="仿宋" w:hAnsi="仿宋" w:eastAsia="仿宋"/>
          <w:color w:val="auto"/>
          <w:sz w:val="30"/>
          <w:szCs w:val="30"/>
        </w:rPr>
        <w:t xml:space="preserve">    </w:t>
      </w:r>
      <w:r>
        <w:rPr>
          <w:rFonts w:ascii="仿宋" w:hAnsi="仿宋" w:eastAsia="仿宋"/>
          <w:color w:val="auto"/>
          <w:sz w:val="30"/>
          <w:szCs w:val="30"/>
        </w:rPr>
        <w:t xml:space="preserve">    </w:t>
      </w:r>
    </w:p>
    <w:p>
      <w:pPr>
        <w:spacing w:line="560" w:lineRule="exact"/>
        <w:rPr>
          <w:rFonts w:ascii="仿宋" w:hAnsi="仿宋" w:eastAsia="仿宋"/>
          <w:b/>
          <w:color w:val="auto"/>
          <w:sz w:val="30"/>
          <w:szCs w:val="30"/>
        </w:rPr>
      </w:pPr>
      <w:r>
        <w:rPr>
          <w:rFonts w:ascii="仿宋" w:hAnsi="仿宋" w:eastAsia="仿宋"/>
          <w:b/>
          <w:color w:val="auto"/>
          <w:sz w:val="30"/>
          <w:szCs w:val="30"/>
        </w:rPr>
        <w:t xml:space="preserve">公证员：                    </w:t>
      </w:r>
      <w:r>
        <w:rPr>
          <w:rFonts w:ascii="仿宋" w:hAnsi="仿宋" w:eastAsia="仿宋"/>
          <w:color w:val="auto"/>
          <w:sz w:val="30"/>
          <w:szCs w:val="30"/>
        </w:rPr>
        <w:t>签定时间：年   月   日</w:t>
      </w:r>
    </w:p>
    <w:p>
      <w:pPr>
        <w:pStyle w:val="29"/>
        <w:spacing w:line="560" w:lineRule="exact"/>
        <w:ind w:left="0"/>
        <w:jc w:val="left"/>
        <w:rPr>
          <w:rFonts w:eastAsia="仿宋_GB2312"/>
          <w:color w:val="auto"/>
          <w:sz w:val="32"/>
          <w:szCs w:val="32"/>
        </w:rPr>
        <w:sectPr>
          <w:pgSz w:w="11906" w:h="16838"/>
          <w:pgMar w:top="1418" w:right="1418" w:bottom="1418" w:left="1701" w:header="851" w:footer="992" w:gutter="0"/>
          <w:pgNumType w:fmt="numberInDash"/>
          <w:cols w:space="425" w:num="1"/>
          <w:docGrid w:type="lines" w:linePitch="312" w:charSpace="0"/>
        </w:sectPr>
      </w:pPr>
    </w:p>
    <w:p>
      <w:pPr>
        <w:pStyle w:val="29"/>
        <w:spacing w:line="600" w:lineRule="exact"/>
        <w:ind w:left="0"/>
        <w:rPr>
          <w:color w:val="auto"/>
        </w:rPr>
      </w:pPr>
    </w:p>
    <w:p>
      <w:pPr>
        <w:pStyle w:val="29"/>
        <w:spacing w:line="600" w:lineRule="exact"/>
        <w:rPr>
          <w:color w:val="auto"/>
          <w:w w:val="90"/>
          <w:sz w:val="32"/>
          <w:szCs w:val="32"/>
        </w:rPr>
      </w:pPr>
      <w:r>
        <w:rPr>
          <w:color w:val="auto"/>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auto"/>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auto"/>
        </w:rPr>
      </w:pPr>
      <w:r>
        <w:rPr>
          <w:rFonts w:ascii="Times New Roman" w:hAnsi="Times New Roman"/>
          <w:color w:val="auto"/>
        </w:rPr>
        <w:t>电子监管号：</w:t>
      </w:r>
    </w:p>
    <w:p>
      <w:pPr>
        <w:pStyle w:val="6"/>
        <w:rPr>
          <w:rFonts w:ascii="Times New Roman" w:hAnsi="Times New Roman"/>
          <w:color w:val="auto"/>
        </w:rPr>
      </w:pPr>
    </w:p>
    <w:p>
      <w:pPr>
        <w:pStyle w:val="6"/>
        <w:rPr>
          <w:rFonts w:ascii="Times New Roman" w:hAnsi="Times New Roman" w:eastAsia="黑体"/>
          <w:color w:val="auto"/>
        </w:rPr>
      </w:pPr>
      <w:r>
        <w:rPr>
          <w:rFonts w:ascii="Times New Roman" w:hAnsi="Times New Roman" w:eastAsia="黑体"/>
          <w:color w:val="auto"/>
        </w:rPr>
        <w:t>（样本）</w:t>
      </w:r>
    </w:p>
    <w:p>
      <w:pPr>
        <w:pStyle w:val="6"/>
        <w:rPr>
          <w:rStyle w:val="28"/>
          <w:rFonts w:ascii="Times New Roman" w:hAnsi="Times New Roman"/>
          <w:color w:val="auto"/>
        </w:rPr>
      </w:pPr>
    </w:p>
    <w:p>
      <w:pPr>
        <w:pStyle w:val="6"/>
        <w:rPr>
          <w:rStyle w:val="28"/>
          <w:rFonts w:ascii="Times New Roman" w:hAnsi="Times New Roman"/>
          <w:color w:val="auto"/>
        </w:rPr>
      </w:pPr>
    </w:p>
    <w:p>
      <w:pPr>
        <w:pStyle w:val="3"/>
        <w:jc w:val="center"/>
        <w:rPr>
          <w:rFonts w:eastAsia="宋体"/>
          <w:color w:val="auto"/>
          <w:sz w:val="18"/>
          <w:szCs w:val="18"/>
        </w:rPr>
      </w:pPr>
      <w:bookmarkStart w:id="18" w:name="_Toc3391980"/>
      <w:bookmarkStart w:id="19" w:name="_Toc3391751"/>
      <w:r>
        <w:rPr>
          <w:rFonts w:eastAsia="宋体"/>
          <w:color w:val="auto"/>
        </w:rPr>
        <w:t>国有建设用地使用权出让合同</w:t>
      </w:r>
      <w:bookmarkEnd w:id="18"/>
      <w:bookmarkEnd w:id="19"/>
    </w:p>
    <w:p>
      <w:pPr>
        <w:pStyle w:val="6"/>
        <w:rPr>
          <w:rFonts w:ascii="Times New Roman" w:hAnsi="Times New Roman"/>
          <w:b/>
          <w:bCs/>
          <w:color w:val="auto"/>
          <w:sz w:val="18"/>
          <w:szCs w:val="1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spacing w:line="500" w:lineRule="exact"/>
        <w:jc w:val="left"/>
        <w:rPr>
          <w:rFonts w:ascii="Times New Roman" w:hAnsi="Times New Roman"/>
          <w:bCs/>
          <w:color w:val="auto"/>
        </w:rPr>
      </w:pPr>
      <w:r>
        <w:rPr>
          <w:rFonts w:ascii="Times New Roman" w:hAnsi="Times New Roman"/>
          <w:color w:val="auto"/>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6"/>
        <w:spacing w:line="500" w:lineRule="exact"/>
        <w:jc w:val="left"/>
        <w:rPr>
          <w:rFonts w:ascii="Times New Roman" w:hAnsi="Times New Roman"/>
          <w:b/>
          <w:bCs/>
          <w:color w:val="auto"/>
          <w:sz w:val="36"/>
          <w:szCs w:val="36"/>
        </w:rPr>
      </w:pPr>
    </w:p>
    <w:p>
      <w:pPr>
        <w:pStyle w:val="6"/>
        <w:spacing w:line="578" w:lineRule="exact"/>
        <w:ind w:right="640"/>
        <w:jc w:val="right"/>
        <w:rPr>
          <w:rFonts w:ascii="Times New Roman" w:hAnsi="Times New Roman"/>
          <w:color w:val="auto"/>
          <w:sz w:val="28"/>
          <w:szCs w:val="28"/>
        </w:rPr>
      </w:pPr>
    </w:p>
    <w:p>
      <w:pPr>
        <w:pStyle w:val="6"/>
        <w:spacing w:line="578" w:lineRule="exact"/>
        <w:ind w:right="640"/>
        <w:jc w:val="right"/>
        <w:rPr>
          <w:rFonts w:ascii="Times New Roman" w:hAnsi="Times New Roman"/>
          <w:color w:val="auto"/>
          <w:sz w:val="28"/>
          <w:szCs w:val="28"/>
          <w:u w:val="single"/>
        </w:rPr>
      </w:pPr>
      <w:r>
        <w:rPr>
          <w:rFonts w:ascii="Times New Roman" w:hAnsi="Times New Roman"/>
          <w:color w:val="auto"/>
          <w:sz w:val="28"/>
          <w:szCs w:val="28"/>
        </w:rPr>
        <w:t>合同编号：</w:t>
      </w:r>
    </w:p>
    <w:p>
      <w:pPr>
        <w:pStyle w:val="6"/>
        <w:spacing w:line="578" w:lineRule="exact"/>
        <w:jc w:val="center"/>
        <w:rPr>
          <w:rFonts w:ascii="Times New Roman" w:hAnsi="Times New Roman" w:eastAsia="方正小标宋简体"/>
          <w:color w:val="auto"/>
          <w:sz w:val="44"/>
          <w:szCs w:val="44"/>
        </w:rPr>
      </w:pPr>
    </w:p>
    <w:p>
      <w:pPr>
        <w:pStyle w:val="6"/>
        <w:spacing w:line="578" w:lineRule="exact"/>
        <w:jc w:val="center"/>
        <w:rPr>
          <w:rFonts w:ascii="Times New Roman" w:hAnsi="Times New Roman" w:eastAsia="方正小标宋简体"/>
          <w:color w:val="auto"/>
          <w:sz w:val="44"/>
          <w:szCs w:val="44"/>
        </w:rPr>
      </w:pPr>
      <w:r>
        <w:rPr>
          <w:rFonts w:ascii="Times New Roman" w:hAnsi="Times New Roman" w:eastAsia="方正小标宋简体"/>
          <w:color w:val="auto"/>
          <w:sz w:val="44"/>
          <w:szCs w:val="44"/>
        </w:rPr>
        <w:t>国有建设用地使用权出让合同</w:t>
      </w:r>
    </w:p>
    <w:p>
      <w:pPr>
        <w:pStyle w:val="6"/>
        <w:spacing w:line="578" w:lineRule="exact"/>
        <w:jc w:val="center"/>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本合同双方当事人：</w:t>
      </w:r>
      <w:r>
        <w:rPr>
          <w:rFonts w:hint="eastAsia" w:ascii="仿宋" w:hAnsi="仿宋" w:eastAsia="仿宋"/>
          <w:color w:val="auto"/>
          <w:sz w:val="28"/>
          <w:szCs w:val="28"/>
        </w:rPr>
        <w:t>；</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出让人：；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Times New Roman" w:hAnsi="Times New Roman"/>
          <w:color w:val="auto"/>
          <w:sz w:val="28"/>
          <w:szCs w:val="28"/>
        </w:rPr>
      </w:pPr>
    </w:p>
    <w:p>
      <w:pPr>
        <w:pStyle w:val="6"/>
        <w:spacing w:line="578" w:lineRule="exact"/>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第一章总则</w:t>
      </w:r>
    </w:p>
    <w:p>
      <w:pPr>
        <w:pStyle w:val="6"/>
        <w:spacing w:line="578" w:lineRule="exact"/>
        <w:jc w:val="center"/>
        <w:rPr>
          <w:rFonts w:ascii="仿宋" w:hAnsi="仿宋" w:eastAsia="仿宋"/>
          <w:color w:val="auto"/>
          <w:sz w:val="28"/>
          <w:szCs w:val="28"/>
        </w:rPr>
      </w:pPr>
    </w:p>
    <w:p>
      <w:pPr>
        <w:pStyle w:val="6"/>
        <w:spacing w:line="578" w:lineRule="exact"/>
        <w:ind w:firstLine="551" w:firstLineChars="196"/>
        <w:rPr>
          <w:rFonts w:ascii="仿宋" w:hAnsi="仿宋" w:eastAsia="仿宋"/>
          <w:color w:val="auto"/>
          <w:sz w:val="28"/>
          <w:szCs w:val="28"/>
        </w:rPr>
      </w:pPr>
      <w:r>
        <w:rPr>
          <w:rFonts w:ascii="仿宋" w:hAnsi="仿宋" w:eastAsia="仿宋"/>
          <w:b/>
          <w:bCs/>
          <w:color w:val="auto"/>
          <w:sz w:val="28"/>
          <w:szCs w:val="28"/>
        </w:rPr>
        <w:t>第一条</w:t>
      </w:r>
      <w:r>
        <w:rPr>
          <w:rFonts w:ascii="仿宋" w:hAnsi="仿宋" w:eastAsia="仿宋"/>
          <w:color w:val="auto"/>
          <w:sz w:val="28"/>
          <w:szCs w:val="28"/>
        </w:rPr>
        <w:t>根据《中华人民共和国</w:t>
      </w:r>
      <w:r>
        <w:rPr>
          <w:rFonts w:hint="eastAsia" w:ascii="仿宋" w:hAnsi="仿宋" w:eastAsia="仿宋"/>
          <w:color w:val="auto"/>
          <w:sz w:val="28"/>
          <w:szCs w:val="28"/>
        </w:rPr>
        <w:t>民法典</w:t>
      </w:r>
      <w:r>
        <w:rPr>
          <w:rFonts w:ascii="仿宋" w:hAnsi="仿宋" w:eastAsia="仿宋"/>
          <w:color w:val="auto"/>
          <w:sz w:val="28"/>
          <w:szCs w:val="28"/>
        </w:rPr>
        <w:t>》</w:t>
      </w:r>
      <w:r>
        <w:rPr>
          <w:rFonts w:hint="eastAsia" w:ascii="仿宋" w:hAnsi="仿宋" w:eastAsia="仿宋"/>
          <w:color w:val="auto"/>
          <w:sz w:val="28"/>
          <w:szCs w:val="28"/>
        </w:rPr>
        <w:t>、</w:t>
      </w:r>
      <w:r>
        <w:rPr>
          <w:rFonts w:ascii="仿宋" w:hAnsi="仿宋" w:eastAsia="仿宋"/>
          <w:color w:val="auto"/>
          <w:sz w:val="28"/>
          <w:szCs w:val="28"/>
        </w:rPr>
        <w:t>《中华人民共和国土地管理法》、《中华人民共和国城市房地产管理法》等法律、有关行政法规及土地供应政策规定，双方本着平等、自愿、有偿、诚实信用的原则，订立本合同。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第二条</w:t>
      </w:r>
      <w:r>
        <w:rPr>
          <w:rFonts w:ascii="仿宋" w:hAnsi="仿宋" w:eastAsia="仿宋"/>
          <w:color w:val="auto"/>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第三条</w:t>
      </w:r>
      <w:r>
        <w:rPr>
          <w:rFonts w:ascii="仿宋" w:hAnsi="仿宋" w:eastAsia="仿宋"/>
          <w:color w:val="auto"/>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第二章出让土地的交付与出让价款的缴纳</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第四条</w:t>
      </w:r>
      <w:r>
        <w:rPr>
          <w:rFonts w:ascii="仿宋" w:hAnsi="仿宋" w:eastAsia="仿宋"/>
          <w:color w:val="auto"/>
          <w:sz w:val="28"/>
          <w:szCs w:val="28"/>
        </w:rPr>
        <w:t>本合同项下出让宗地编号为，宗地总面积大写平方米（小写平方米），其中出让宗地面积为大写平方米（小写平方米）。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本合同项下的出让宗地坐落于。</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本合同项下出让宗地的平面界址为；出让宗地的平面界址图见附件1。</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本合同项下出让宗地的竖向界限以为上界限，以为下界限，高差为米。出让宗地竖向界限见附件2。</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仿宋" w:hAnsi="仿宋" w:eastAsia="仿宋"/>
          <w:color w:val="auto"/>
          <w:sz w:val="28"/>
          <w:szCs w:val="28"/>
          <w:u w:val="single"/>
        </w:rPr>
      </w:pPr>
      <w:r>
        <w:rPr>
          <w:rFonts w:ascii="仿宋" w:hAnsi="仿宋" w:eastAsia="仿宋"/>
          <w:b/>
          <w:bCs/>
          <w:color w:val="auto"/>
          <w:sz w:val="28"/>
          <w:szCs w:val="28"/>
        </w:rPr>
        <w:t>第五条</w:t>
      </w:r>
      <w:r>
        <w:rPr>
          <w:rFonts w:ascii="仿宋" w:hAnsi="仿宋" w:eastAsia="仿宋"/>
          <w:color w:val="auto"/>
          <w:sz w:val="28"/>
          <w:szCs w:val="28"/>
        </w:rPr>
        <w:t>本合同项下出让宗地的用途为</w:t>
      </w:r>
      <w:r>
        <w:rPr>
          <w:rFonts w:ascii="仿宋" w:hAnsi="仿宋" w:eastAsia="仿宋"/>
          <w:color w:val="auto"/>
          <w:sz w:val="28"/>
          <w:szCs w:val="28"/>
          <w:u w:val="single"/>
        </w:rPr>
        <w:t>：</w:t>
      </w:r>
      <w:r>
        <w:rPr>
          <w:rFonts w:ascii="仿宋" w:hAnsi="仿宋" w:eastAsia="仿宋"/>
          <w:color w:val="auto"/>
          <w:sz w:val="28"/>
          <w:szCs w:val="28"/>
        </w:rPr>
        <w:t>。</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第六条</w:t>
      </w:r>
      <w:r>
        <w:rPr>
          <w:rFonts w:ascii="仿宋" w:hAnsi="仿宋" w:eastAsia="仿宋"/>
          <w:color w:val="auto"/>
          <w:sz w:val="28"/>
          <w:szCs w:val="28"/>
        </w:rPr>
        <w:t>出让人同意在年月日前将出让宗地交付给受让人，出让人同意在交付土地时该宗地应达到本条第</w:t>
      </w:r>
      <w:r>
        <w:rPr>
          <w:rFonts w:ascii="仿宋" w:hAnsi="仿宋" w:eastAsia="仿宋"/>
          <w:color w:val="auto"/>
          <w:sz w:val="28"/>
          <w:szCs w:val="28"/>
          <w:u w:val="single"/>
        </w:rPr>
        <w:t xml:space="preserve"> (二) </w:t>
      </w:r>
      <w:r>
        <w:rPr>
          <w:rFonts w:ascii="仿宋" w:hAnsi="仿宋" w:eastAsia="仿宋"/>
          <w:color w:val="auto"/>
          <w:sz w:val="28"/>
          <w:szCs w:val="28"/>
        </w:rPr>
        <w:t>项规定的土地条件：</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（一）场地平整达到；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周围基础设施达到；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（二）现状土地条件。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第七条</w:t>
      </w:r>
      <w:r>
        <w:rPr>
          <w:rFonts w:ascii="仿宋" w:hAnsi="仿宋" w:eastAsia="仿宋"/>
          <w:color w:val="auto"/>
          <w:sz w:val="28"/>
          <w:szCs w:val="28"/>
        </w:rPr>
        <w:t>本合同项下的国有建设用地使用权出让年期为</w:t>
      </w:r>
    </w:p>
    <w:p>
      <w:pPr>
        <w:pStyle w:val="6"/>
        <w:spacing w:line="578" w:lineRule="exact"/>
        <w:rPr>
          <w:rFonts w:ascii="仿宋" w:hAnsi="仿宋" w:eastAsia="仿宋"/>
          <w:color w:val="auto"/>
          <w:sz w:val="28"/>
          <w:szCs w:val="28"/>
        </w:rPr>
      </w:pPr>
      <w:r>
        <w:rPr>
          <w:rFonts w:ascii="仿宋" w:hAnsi="仿宋" w:eastAsia="仿宋"/>
          <w:color w:val="auto"/>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第八条</w:t>
      </w:r>
      <w:r>
        <w:rPr>
          <w:rFonts w:ascii="仿宋" w:hAnsi="仿宋" w:eastAsia="仿宋"/>
          <w:color w:val="auto"/>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仿宋" w:hAnsi="仿宋" w:eastAsia="仿宋"/>
          <w:color w:val="auto"/>
          <w:sz w:val="28"/>
          <w:szCs w:val="28"/>
          <w:u w:val="single"/>
        </w:rPr>
      </w:pPr>
      <w:r>
        <w:rPr>
          <w:rFonts w:ascii="仿宋" w:hAnsi="仿宋" w:eastAsia="仿宋"/>
          <w:b/>
          <w:bCs/>
          <w:color w:val="auto"/>
          <w:sz w:val="28"/>
          <w:szCs w:val="28"/>
        </w:rPr>
        <w:t>第九条</w:t>
      </w:r>
      <w:r>
        <w:rPr>
          <w:rFonts w:ascii="仿宋" w:hAnsi="仿宋" w:eastAsia="仿宋"/>
          <w:color w:val="auto"/>
          <w:sz w:val="28"/>
          <w:szCs w:val="28"/>
        </w:rPr>
        <w:t>本合同项下宗地的定金为人民币大写元（小写元），定金抵作土地出让价款。</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第十条</w:t>
      </w:r>
      <w:r>
        <w:rPr>
          <w:rFonts w:ascii="仿宋" w:hAnsi="仿宋" w:eastAsia="仿宋"/>
          <w:color w:val="auto"/>
          <w:sz w:val="28"/>
          <w:szCs w:val="28"/>
        </w:rPr>
        <w:t>受让人同意按照本条第一款第项的规定向出让人支付国有建设用地使用权出让价款：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（一）本合同签订之日起日内，一次性付清国有建设用地使用权出让价款；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（二）按以下时间和金额分期向出让人支付国有建设用地使用权出让价款。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该宗地分期支付国有建设用地使用权出让价款不计利息。</w:t>
      </w:r>
    </w:p>
    <w:p>
      <w:pPr>
        <w:pStyle w:val="6"/>
        <w:spacing w:line="578" w:lineRule="exact"/>
        <w:ind w:firstLine="562" w:firstLineChars="200"/>
        <w:rPr>
          <w:rFonts w:ascii="仿宋" w:hAnsi="仿宋" w:eastAsia="仿宋"/>
          <w:color w:val="auto"/>
          <w:kern w:val="0"/>
          <w:sz w:val="28"/>
          <w:szCs w:val="28"/>
        </w:rPr>
      </w:pPr>
      <w:r>
        <w:rPr>
          <w:rFonts w:ascii="仿宋" w:hAnsi="仿宋" w:eastAsia="仿宋"/>
          <w:b/>
          <w:bCs/>
          <w:color w:val="auto"/>
          <w:sz w:val="28"/>
          <w:szCs w:val="28"/>
        </w:rPr>
        <w:t>第十一条</w:t>
      </w:r>
      <w:r>
        <w:rPr>
          <w:rFonts w:ascii="仿宋" w:hAnsi="仿宋" w:eastAsia="仿宋"/>
          <w:color w:val="auto"/>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仿宋" w:hAnsi="仿宋" w:eastAsia="仿宋"/>
          <w:color w:val="auto"/>
          <w:kern w:val="0"/>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第三章土地开发建设与利用</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第十二条</w:t>
      </w:r>
      <w:r>
        <w:rPr>
          <w:rFonts w:ascii="仿宋" w:hAnsi="仿宋" w:eastAsia="仿宋"/>
          <w:color w:val="auto"/>
          <w:sz w:val="28"/>
          <w:szCs w:val="28"/>
        </w:rPr>
        <w:t>受让人同意本合同项下宗地开发投资强度按本条项规定执行：</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第十三条</w:t>
      </w:r>
      <w:r>
        <w:rPr>
          <w:rFonts w:ascii="仿宋" w:hAnsi="仿宋" w:eastAsia="仿宋"/>
          <w:color w:val="auto"/>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主体建筑物性质；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附属建筑物性质；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建筑总面积平方米；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建筑容积率不高于不低于</w:t>
      </w:r>
      <w:r>
        <w:rPr>
          <w:rFonts w:ascii="仿宋" w:hAnsi="仿宋" w:eastAsia="仿宋"/>
          <w:b/>
          <w:bCs/>
          <w:color w:val="auto"/>
          <w:sz w:val="28"/>
          <w:szCs w:val="28"/>
        </w:rPr>
        <w:t>；</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建筑限高不高于不低于；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建筑密度不高于不低于；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绿地率不高于不低于；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其他土地利用要求。</w:t>
      </w:r>
    </w:p>
    <w:p>
      <w:pPr>
        <w:pStyle w:val="6"/>
        <w:spacing w:line="578" w:lineRule="exact"/>
        <w:ind w:firstLine="645"/>
        <w:jc w:val="left"/>
        <w:rPr>
          <w:rFonts w:ascii="仿宋" w:hAnsi="仿宋" w:eastAsia="仿宋"/>
          <w:color w:val="auto"/>
          <w:sz w:val="28"/>
          <w:szCs w:val="28"/>
        </w:rPr>
      </w:pPr>
      <w:r>
        <w:rPr>
          <w:rFonts w:ascii="仿宋" w:hAnsi="仿宋" w:eastAsia="仿宋"/>
          <w:b/>
          <w:bCs/>
          <w:color w:val="auto"/>
          <w:sz w:val="28"/>
          <w:szCs w:val="28"/>
        </w:rPr>
        <w:t>第十四条</w:t>
      </w:r>
      <w:r>
        <w:rPr>
          <w:rFonts w:ascii="仿宋" w:hAnsi="仿宋" w:eastAsia="仿宋"/>
          <w:color w:val="auto"/>
          <w:sz w:val="28"/>
          <w:szCs w:val="28"/>
        </w:rPr>
        <w:t>受让人同意本合同项下宗地建设配套按本条第项规定执行：</w:t>
      </w:r>
    </w:p>
    <w:p>
      <w:pPr>
        <w:pStyle w:val="6"/>
        <w:spacing w:line="578" w:lineRule="exact"/>
        <w:ind w:firstLine="645"/>
        <w:jc w:val="left"/>
        <w:rPr>
          <w:rFonts w:ascii="仿宋" w:hAnsi="仿宋" w:eastAsia="仿宋"/>
          <w:color w:val="auto"/>
          <w:sz w:val="28"/>
          <w:szCs w:val="28"/>
        </w:rPr>
      </w:pPr>
      <w:r>
        <w:rPr>
          <w:rFonts w:ascii="仿宋" w:hAnsi="仿宋" w:eastAsia="仿宋"/>
          <w:color w:val="auto"/>
          <w:sz w:val="28"/>
          <w:szCs w:val="28"/>
        </w:rPr>
        <w:t>（一）本合同项下宗地用于工业项目建设，根据规划部门确定的规划设计条件，</w:t>
      </w:r>
      <w:r>
        <w:rPr>
          <w:rFonts w:ascii="仿宋" w:hAnsi="仿宋" w:eastAsia="仿宋"/>
          <w:color w:val="auto"/>
          <w:spacing w:val="2"/>
          <w:sz w:val="28"/>
          <w:szCs w:val="28"/>
        </w:rPr>
        <w:t>本合同受让宗地范围内用于企业内部行政办公及生活服务设施的占地面积不超过受让宗地面积</w:t>
      </w:r>
      <w:r>
        <w:rPr>
          <w:rFonts w:ascii="仿宋" w:hAnsi="仿宋" w:eastAsia="仿宋"/>
          <w:color w:val="auto"/>
          <w:sz w:val="28"/>
          <w:szCs w:val="28"/>
        </w:rPr>
        <w:t>的</w:t>
      </w:r>
    </w:p>
    <w:p>
      <w:pPr>
        <w:pStyle w:val="6"/>
        <w:spacing w:line="578" w:lineRule="exact"/>
        <w:ind w:left="6" w:leftChars="3"/>
        <w:jc w:val="left"/>
        <w:rPr>
          <w:rFonts w:ascii="仿宋" w:hAnsi="仿宋" w:eastAsia="仿宋"/>
          <w:color w:val="auto"/>
          <w:sz w:val="28"/>
          <w:szCs w:val="28"/>
        </w:rPr>
      </w:pPr>
      <w:r>
        <w:rPr>
          <w:rFonts w:ascii="仿宋" w:hAnsi="仿宋" w:eastAsia="仿宋"/>
          <w:color w:val="auto"/>
          <w:sz w:val="28"/>
          <w:szCs w:val="28"/>
          <w:u w:val="single"/>
        </w:rPr>
        <w:t xml:space="preserve">  /  </w:t>
      </w:r>
      <w:r>
        <w:rPr>
          <w:rFonts w:ascii="仿宋" w:hAnsi="仿宋" w:eastAsia="仿宋"/>
          <w:color w:val="auto"/>
          <w:sz w:val="28"/>
          <w:szCs w:val="28"/>
        </w:rPr>
        <w:t>％，即不超过</w:t>
      </w:r>
      <w:r>
        <w:rPr>
          <w:rFonts w:ascii="仿宋" w:hAnsi="仿宋" w:eastAsia="仿宋"/>
          <w:color w:val="auto"/>
          <w:sz w:val="28"/>
          <w:szCs w:val="28"/>
          <w:u w:val="single"/>
        </w:rPr>
        <w:t xml:space="preserve">   /  </w:t>
      </w:r>
      <w:r>
        <w:rPr>
          <w:rFonts w:ascii="仿宋" w:hAnsi="仿宋" w:eastAsia="仿宋"/>
          <w:color w:val="auto"/>
          <w:sz w:val="28"/>
          <w:szCs w:val="28"/>
        </w:rPr>
        <w:t>平方米, 建筑面积不超过</w:t>
      </w:r>
      <w:r>
        <w:rPr>
          <w:rFonts w:ascii="仿宋" w:hAnsi="仿宋" w:eastAsia="仿宋"/>
          <w:color w:val="auto"/>
          <w:sz w:val="28"/>
          <w:szCs w:val="28"/>
          <w:u w:val="single"/>
        </w:rPr>
        <w:t xml:space="preserve">  /         </w:t>
      </w:r>
      <w:r>
        <w:rPr>
          <w:rFonts w:ascii="仿宋" w:hAnsi="仿宋" w:eastAsia="仿宋"/>
          <w:color w:val="auto"/>
          <w:sz w:val="28"/>
          <w:szCs w:val="28"/>
        </w:rPr>
        <w:t>平方米。受让人同意不在受让宗地范围内建造成套住宅、专家楼、宾馆、招待所和培训中心等非生产性设施；</w:t>
      </w:r>
    </w:p>
    <w:p>
      <w:pPr>
        <w:pStyle w:val="6"/>
        <w:spacing w:line="578" w:lineRule="exact"/>
        <w:ind w:firstLine="645"/>
        <w:rPr>
          <w:rFonts w:ascii="仿宋" w:hAnsi="仿宋" w:eastAsia="仿宋"/>
          <w:b/>
          <w:bCs/>
          <w:color w:val="auto"/>
          <w:sz w:val="28"/>
          <w:szCs w:val="28"/>
        </w:rPr>
      </w:pPr>
      <w:r>
        <w:rPr>
          <w:rFonts w:ascii="仿宋" w:hAnsi="仿宋" w:eastAsia="仿宋"/>
          <w:color w:val="auto"/>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auto"/>
          <w:sz w:val="28"/>
          <w:szCs w:val="28"/>
          <w:u w:val="single"/>
        </w:rPr>
        <w:t xml:space="preserve"> / </w:t>
      </w:r>
      <w:r>
        <w:rPr>
          <w:rFonts w:ascii="仿宋" w:hAnsi="仿宋" w:eastAsia="仿宋"/>
          <w:color w:val="auto"/>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1．移交给政府；</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2．由政府回购；</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3．按政府经济适用住房建设和销售管理的有关规定执行；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4．。</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第十五条</w:t>
      </w:r>
      <w:r>
        <w:rPr>
          <w:rFonts w:ascii="仿宋" w:hAnsi="仿宋" w:eastAsia="仿宋"/>
          <w:color w:val="auto"/>
          <w:sz w:val="28"/>
          <w:szCs w:val="28"/>
        </w:rPr>
        <w:t>受让人同意在本合同项下宗地范围内同步修建下列工程配套项目，并在建成后无偿移交给政府：</w:t>
      </w:r>
    </w:p>
    <w:p>
      <w:pPr>
        <w:pStyle w:val="6"/>
        <w:spacing w:line="578" w:lineRule="exact"/>
        <w:ind w:firstLine="645"/>
        <w:rPr>
          <w:rFonts w:ascii="仿宋" w:hAnsi="仿宋" w:eastAsia="仿宋"/>
          <w:color w:val="auto"/>
          <w:sz w:val="28"/>
          <w:szCs w:val="28"/>
          <w:u w:val="single"/>
        </w:rPr>
      </w:pPr>
      <w:r>
        <w:rPr>
          <w:rFonts w:ascii="仿宋" w:hAnsi="仿宋" w:eastAsia="仿宋"/>
          <w:b/>
          <w:bCs/>
          <w:color w:val="auto"/>
          <w:sz w:val="28"/>
          <w:szCs w:val="28"/>
        </w:rPr>
        <w:t>第十六条</w:t>
      </w:r>
      <w:r>
        <w:rPr>
          <w:rFonts w:ascii="仿宋" w:hAnsi="仿宋" w:eastAsia="仿宋"/>
          <w:color w:val="auto"/>
          <w:sz w:val="28"/>
          <w:szCs w:val="28"/>
        </w:rPr>
        <w:t>受让人同意本合同项下宗地建设项目在</w:t>
      </w:r>
    </w:p>
    <w:p>
      <w:pPr>
        <w:pStyle w:val="6"/>
        <w:spacing w:line="578" w:lineRule="exact"/>
        <w:rPr>
          <w:rFonts w:ascii="仿宋" w:hAnsi="仿宋" w:eastAsia="仿宋"/>
          <w:color w:val="auto"/>
          <w:sz w:val="28"/>
          <w:szCs w:val="28"/>
          <w:u w:val="single"/>
        </w:rPr>
      </w:pPr>
      <w:r>
        <w:rPr>
          <w:rFonts w:ascii="仿宋" w:hAnsi="仿宋" w:eastAsia="仿宋"/>
          <w:color w:val="auto"/>
          <w:sz w:val="28"/>
          <w:szCs w:val="28"/>
        </w:rPr>
        <w:t>年月日之前开工，在年月日之前竣工。</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第十七条</w:t>
      </w:r>
      <w:r>
        <w:rPr>
          <w:rFonts w:ascii="仿宋" w:hAnsi="仿宋" w:eastAsia="仿宋"/>
          <w:color w:val="auto"/>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仿宋" w:hAnsi="仿宋" w:eastAsia="仿宋"/>
          <w:b/>
          <w:color w:val="auto"/>
          <w:sz w:val="28"/>
          <w:szCs w:val="28"/>
        </w:rPr>
      </w:pPr>
      <w:r>
        <w:rPr>
          <w:rFonts w:ascii="仿宋" w:hAnsi="仿宋" w:eastAsia="仿宋"/>
          <w:color w:val="auto"/>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第十八条</w:t>
      </w:r>
      <w:r>
        <w:rPr>
          <w:rFonts w:ascii="仿宋" w:hAnsi="仿宋" w:eastAsia="仿宋"/>
          <w:color w:val="auto"/>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（一）由出让人有偿收回建设用地使用权；</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第十九条</w:t>
      </w:r>
      <w:r>
        <w:rPr>
          <w:rFonts w:ascii="仿宋" w:hAnsi="仿宋" w:eastAsia="仿宋"/>
          <w:color w:val="auto"/>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第二十条</w:t>
      </w:r>
      <w:r>
        <w:rPr>
          <w:rFonts w:ascii="仿宋" w:hAnsi="仿宋" w:eastAsia="仿宋"/>
          <w:color w:val="auto"/>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第四章国有建设用地使用权转让、出租、抵押</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第二十一条</w:t>
      </w:r>
      <w:r>
        <w:rPr>
          <w:rFonts w:ascii="仿宋" w:hAnsi="仿宋" w:eastAsia="仿宋"/>
          <w:color w:val="auto"/>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（一）按照本合同约定进行投资开发，完成开发投资总额的百分之二十五以上；</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（二）按照本合同约定进行投资开发，已形成工业用地或其他建设用地条件。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第二十二条</w:t>
      </w:r>
      <w:r>
        <w:rPr>
          <w:rFonts w:ascii="仿宋" w:hAnsi="仿宋" w:eastAsia="仿宋"/>
          <w:color w:val="auto"/>
          <w:sz w:val="28"/>
          <w:szCs w:val="28"/>
        </w:rPr>
        <w:t>国有建设用地使用权的转让、出租及抵押合同，不得违背国家法律、法规规定和本合同约定。</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第二十三条</w:t>
      </w:r>
      <w:r>
        <w:rPr>
          <w:rFonts w:ascii="仿宋" w:hAnsi="仿宋" w:eastAsia="仿宋"/>
          <w:color w:val="auto"/>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第二十四条</w:t>
      </w:r>
      <w:r>
        <w:rPr>
          <w:rFonts w:ascii="仿宋" w:hAnsi="仿宋" w:eastAsia="仿宋"/>
          <w:color w:val="auto"/>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第五章期限届满</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第二十五条</w:t>
      </w:r>
      <w:r>
        <w:rPr>
          <w:rFonts w:ascii="仿宋" w:hAnsi="仿宋" w:eastAsia="仿宋"/>
          <w:color w:val="auto"/>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住宅建设用地使用权期限届满的，自动续期。</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第二十六条</w:t>
      </w:r>
      <w:r>
        <w:rPr>
          <w:rFonts w:ascii="仿宋" w:hAnsi="仿宋" w:eastAsia="仿宋"/>
          <w:color w:val="auto"/>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（二）由出让人无偿收回地上建筑物、构筑物及其附属设施。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第二十七条</w:t>
      </w:r>
      <w:r>
        <w:rPr>
          <w:rFonts w:ascii="仿宋" w:hAnsi="仿宋" w:eastAsia="仿宋"/>
          <w:color w:val="auto"/>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第六章不可抗力</w:t>
      </w:r>
    </w:p>
    <w:p>
      <w:pPr>
        <w:pStyle w:val="6"/>
        <w:spacing w:line="578" w:lineRule="exact"/>
        <w:ind w:firstLine="560" w:firstLineChars="200"/>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第二十八条</w:t>
      </w:r>
      <w:r>
        <w:rPr>
          <w:rFonts w:ascii="仿宋" w:hAnsi="仿宋" w:eastAsia="仿宋"/>
          <w:color w:val="auto"/>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第二十九条</w:t>
      </w:r>
      <w:r>
        <w:rPr>
          <w:rFonts w:ascii="仿宋" w:hAnsi="仿宋" w:eastAsia="仿宋"/>
          <w:color w:val="auto"/>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第七章违约责任</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第三十条</w:t>
      </w:r>
      <w:r>
        <w:rPr>
          <w:rFonts w:ascii="仿宋" w:hAnsi="仿宋" w:eastAsia="仿宋"/>
          <w:color w:val="auto"/>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auto"/>
          <w:spacing w:val="26"/>
          <w:sz w:val="28"/>
          <w:szCs w:val="28"/>
        </w:rPr>
        <w:t>每日按迟延支付款项</w:t>
      </w:r>
      <w:r>
        <w:rPr>
          <w:rFonts w:ascii="仿宋" w:hAnsi="仿宋" w:eastAsia="仿宋"/>
          <w:color w:val="auto"/>
          <w:sz w:val="28"/>
          <w:szCs w:val="28"/>
        </w:rPr>
        <w:t>的</w:t>
      </w:r>
    </w:p>
    <w:p>
      <w:pPr>
        <w:pStyle w:val="6"/>
        <w:spacing w:line="578" w:lineRule="exact"/>
        <w:ind w:hanging="6"/>
        <w:rPr>
          <w:rFonts w:ascii="仿宋" w:hAnsi="仿宋" w:eastAsia="仿宋"/>
          <w:color w:val="auto"/>
          <w:sz w:val="28"/>
          <w:szCs w:val="28"/>
          <w:u w:val="single"/>
        </w:rPr>
      </w:pPr>
      <w:r>
        <w:rPr>
          <w:rFonts w:ascii="仿宋" w:hAnsi="仿宋" w:eastAsia="仿宋"/>
          <w:color w:val="auto"/>
          <w:sz w:val="28"/>
          <w:szCs w:val="28"/>
          <w:u w:val="single"/>
        </w:rPr>
        <w:t xml:space="preserve"> 1  </w:t>
      </w:r>
      <w:r>
        <w:rPr>
          <w:rFonts w:ascii="仿宋" w:hAnsi="仿宋" w:eastAsia="仿宋"/>
          <w:color w:val="auto"/>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第三十一条</w:t>
      </w:r>
      <w:r>
        <w:rPr>
          <w:rFonts w:ascii="仿宋" w:hAnsi="仿宋" w:eastAsia="仿宋"/>
          <w:color w:val="auto"/>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仿宋" w:hAnsi="仿宋" w:eastAsia="仿宋"/>
          <w:color w:val="auto"/>
          <w:sz w:val="28"/>
          <w:szCs w:val="28"/>
        </w:rPr>
      </w:pPr>
      <w:r>
        <w:rPr>
          <w:rFonts w:ascii="仿宋" w:hAnsi="仿宋" w:eastAsia="仿宋"/>
          <w:color w:val="auto"/>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第三十二条</w:t>
      </w:r>
      <w:r>
        <w:rPr>
          <w:rFonts w:ascii="仿宋" w:hAnsi="仿宋" w:eastAsia="仿宋"/>
          <w:color w:val="auto"/>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第三十三条</w:t>
      </w:r>
      <w:r>
        <w:rPr>
          <w:rFonts w:ascii="仿宋" w:hAnsi="仿宋" w:eastAsia="仿宋"/>
          <w:color w:val="auto"/>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第三十四条</w:t>
      </w:r>
      <w:r>
        <w:rPr>
          <w:rFonts w:ascii="仿宋" w:hAnsi="仿宋" w:eastAsia="仿宋"/>
          <w:color w:val="auto"/>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第三十五条</w:t>
      </w:r>
      <w:r>
        <w:rPr>
          <w:rFonts w:ascii="仿宋" w:hAnsi="仿宋" w:eastAsia="仿宋"/>
          <w:color w:val="auto"/>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第三十六条</w:t>
      </w:r>
      <w:r>
        <w:rPr>
          <w:rFonts w:ascii="仿宋" w:hAnsi="仿宋" w:eastAsia="仿宋"/>
          <w:color w:val="auto"/>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第三十七条</w:t>
      </w:r>
      <w:r>
        <w:rPr>
          <w:rFonts w:ascii="仿宋" w:hAnsi="仿宋" w:eastAsia="仿宋"/>
          <w:color w:val="auto"/>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仿宋" w:hAnsi="仿宋" w:eastAsia="仿宋"/>
          <w:b/>
          <w:color w:val="auto"/>
          <w:sz w:val="28"/>
          <w:szCs w:val="28"/>
        </w:rPr>
      </w:pPr>
      <w:r>
        <w:rPr>
          <w:rFonts w:ascii="仿宋" w:hAnsi="仿宋" w:eastAsia="仿宋"/>
          <w:b/>
          <w:bCs/>
          <w:color w:val="auto"/>
          <w:sz w:val="28"/>
          <w:szCs w:val="28"/>
        </w:rPr>
        <w:t>第三十八条</w:t>
      </w:r>
      <w:r>
        <w:rPr>
          <w:rFonts w:ascii="仿宋" w:hAnsi="仿宋" w:eastAsia="仿宋"/>
          <w:color w:val="auto"/>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第八章适用法律及争议解决</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第三十九条</w:t>
      </w:r>
      <w:r>
        <w:rPr>
          <w:rFonts w:ascii="仿宋" w:hAnsi="仿宋" w:eastAsia="仿宋"/>
          <w:color w:val="auto"/>
          <w:sz w:val="28"/>
          <w:szCs w:val="28"/>
        </w:rPr>
        <w:t>本合同订立、效力、解释、履行及争议的解决，适用中华人民共和国法律。</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第四十条</w:t>
      </w:r>
      <w:r>
        <w:rPr>
          <w:rFonts w:ascii="仿宋" w:hAnsi="仿宋" w:eastAsia="仿宋"/>
          <w:color w:val="auto"/>
          <w:sz w:val="28"/>
          <w:szCs w:val="28"/>
        </w:rPr>
        <w:t>因履行本合同发生争议，由争议双方协商解决，协商不成的，按本条第项约定的方式解决：</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（一）提交仲裁委员会仲裁；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（二）依法向人民法院起诉。</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第九章附则</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第四十一条</w:t>
      </w:r>
      <w:r>
        <w:rPr>
          <w:rFonts w:ascii="仿宋" w:hAnsi="仿宋" w:eastAsia="仿宋"/>
          <w:color w:val="auto"/>
          <w:sz w:val="28"/>
          <w:szCs w:val="28"/>
        </w:rPr>
        <w:t>本合同项下宗地出让方案业经人民政府批准，本合同自双方签订之日起生效。</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第四十二条</w:t>
      </w:r>
      <w:r>
        <w:rPr>
          <w:rFonts w:ascii="仿宋" w:hAnsi="仿宋" w:eastAsia="仿宋"/>
          <w:color w:val="auto"/>
          <w:sz w:val="28"/>
          <w:szCs w:val="28"/>
        </w:rPr>
        <w:t>本</w:t>
      </w:r>
      <w:r>
        <w:rPr>
          <w:rFonts w:ascii="仿宋" w:hAnsi="仿宋" w:eastAsia="仿宋"/>
          <w:color w:val="auto"/>
          <w:kern w:val="0"/>
          <w:sz w:val="28"/>
          <w:szCs w:val="28"/>
        </w:rPr>
        <w:t>合同双方当事人均保证本合同中所填写的姓名、</w:t>
      </w:r>
      <w:r>
        <w:rPr>
          <w:rFonts w:ascii="仿宋" w:hAnsi="仿宋" w:eastAsia="仿宋"/>
          <w:color w:val="auto"/>
          <w:sz w:val="28"/>
          <w:szCs w:val="28"/>
        </w:rPr>
        <w:t>通讯地址、电话、传真、开户银行、</w:t>
      </w:r>
      <w:r>
        <w:rPr>
          <w:rFonts w:ascii="仿宋" w:hAnsi="仿宋" w:eastAsia="仿宋"/>
          <w:color w:val="auto"/>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第四十三条</w:t>
      </w:r>
      <w:r>
        <w:rPr>
          <w:rFonts w:ascii="仿宋" w:hAnsi="仿宋" w:eastAsia="仿宋"/>
          <w:color w:val="auto"/>
          <w:sz w:val="28"/>
          <w:szCs w:val="28"/>
        </w:rPr>
        <w:t>本合同和附件共页整，以中文书写为准。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第四十四条</w:t>
      </w:r>
      <w:r>
        <w:rPr>
          <w:rFonts w:ascii="仿宋" w:hAnsi="仿宋" w:eastAsia="仿宋"/>
          <w:color w:val="auto"/>
          <w:sz w:val="28"/>
          <w:szCs w:val="28"/>
        </w:rPr>
        <w:t>本合同的价款、金额、面积等项应当同时以大、小写表示，大小写数额应当一致，不一致的，以大写为准。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第四十五条</w:t>
      </w:r>
      <w:r>
        <w:rPr>
          <w:rFonts w:ascii="仿宋" w:hAnsi="仿宋" w:eastAsia="仿宋"/>
          <w:color w:val="auto"/>
          <w:sz w:val="28"/>
          <w:szCs w:val="28"/>
        </w:rPr>
        <w:t>本合同未尽事宜，可由双方约定后作为合同附件，与本合同具有同等法律效力。</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第四十六条</w:t>
      </w:r>
      <w:r>
        <w:rPr>
          <w:rFonts w:ascii="仿宋" w:hAnsi="仿宋" w:eastAsia="仿宋"/>
          <w:color w:val="auto"/>
          <w:sz w:val="28"/>
          <w:szCs w:val="28"/>
        </w:rPr>
        <w:t>本合同一式</w:t>
      </w:r>
      <w:r>
        <w:rPr>
          <w:rFonts w:ascii="仿宋" w:hAnsi="仿宋" w:eastAsia="仿宋"/>
          <w:color w:val="auto"/>
          <w:sz w:val="28"/>
          <w:szCs w:val="28"/>
          <w:u w:val="single"/>
        </w:rPr>
        <w:t>陆</w:t>
      </w:r>
      <w:r>
        <w:rPr>
          <w:rFonts w:ascii="仿宋" w:hAnsi="仿宋" w:eastAsia="仿宋"/>
          <w:color w:val="auto"/>
          <w:sz w:val="28"/>
          <w:szCs w:val="28"/>
        </w:rPr>
        <w:t>份，出让人</w:t>
      </w:r>
      <w:r>
        <w:rPr>
          <w:rFonts w:ascii="仿宋" w:hAnsi="仿宋" w:eastAsia="仿宋"/>
          <w:color w:val="auto"/>
          <w:sz w:val="28"/>
          <w:szCs w:val="28"/>
          <w:u w:val="single"/>
        </w:rPr>
        <w:t>叁</w:t>
      </w:r>
      <w:r>
        <w:rPr>
          <w:rFonts w:ascii="仿宋" w:hAnsi="仿宋" w:eastAsia="仿宋"/>
          <w:color w:val="auto"/>
          <w:sz w:val="28"/>
          <w:szCs w:val="28"/>
        </w:rPr>
        <w:t>份,受让人</w:t>
      </w:r>
      <w:r>
        <w:rPr>
          <w:rFonts w:ascii="仿宋" w:hAnsi="仿宋" w:eastAsia="仿宋"/>
          <w:color w:val="auto"/>
          <w:sz w:val="28"/>
          <w:szCs w:val="28"/>
          <w:u w:val="single"/>
        </w:rPr>
        <w:t>叁</w:t>
      </w:r>
      <w:r>
        <w:rPr>
          <w:rFonts w:ascii="仿宋" w:hAnsi="仿宋" w:eastAsia="仿宋"/>
          <w:color w:val="auto"/>
          <w:sz w:val="28"/>
          <w:szCs w:val="28"/>
        </w:rPr>
        <w:t>份，具有同等法律效力。</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补充条款：</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出让人（章）：受让人（章）：</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法定代表人（委托代理人）法定代表人(委托代理人)：</w:t>
      </w:r>
    </w:p>
    <w:p>
      <w:pPr>
        <w:pStyle w:val="6"/>
        <w:spacing w:line="578" w:lineRule="exact"/>
        <w:rPr>
          <w:rFonts w:ascii="仿宋" w:hAnsi="仿宋" w:eastAsia="仿宋"/>
          <w:color w:val="auto"/>
          <w:sz w:val="28"/>
          <w:szCs w:val="28"/>
        </w:rPr>
      </w:pPr>
      <w:r>
        <w:rPr>
          <w:rFonts w:ascii="仿宋" w:hAnsi="仿宋" w:eastAsia="仿宋"/>
          <w:color w:val="auto"/>
          <w:sz w:val="28"/>
          <w:szCs w:val="28"/>
        </w:rPr>
        <w:t>（签字）：（签字）：</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ind w:firstLine="4340" w:firstLineChars="1550"/>
        <w:rPr>
          <w:rFonts w:ascii="仿宋" w:hAnsi="仿宋" w:eastAsia="仿宋"/>
          <w:color w:val="auto"/>
        </w:rPr>
      </w:pPr>
      <w:r>
        <w:rPr>
          <w:rFonts w:ascii="仿宋" w:hAnsi="仿宋" w:eastAsia="仿宋"/>
          <w:color w:val="auto"/>
          <w:sz w:val="28"/>
          <w:szCs w:val="28"/>
        </w:rPr>
        <w:t>二〇二</w:t>
      </w:r>
      <w:r>
        <w:rPr>
          <w:rFonts w:hint="eastAsia" w:ascii="仿宋" w:hAnsi="仿宋" w:eastAsia="仿宋"/>
          <w:color w:val="auto"/>
          <w:sz w:val="28"/>
          <w:szCs w:val="28"/>
        </w:rPr>
        <w:t>三</w:t>
      </w:r>
      <w:r>
        <w:rPr>
          <w:rFonts w:ascii="仿宋" w:hAnsi="仿宋" w:eastAsia="仿宋"/>
          <w:color w:val="auto"/>
          <w:sz w:val="28"/>
          <w:szCs w:val="28"/>
        </w:rPr>
        <w:t>年  月  日</w:t>
      </w:r>
    </w:p>
    <w:p>
      <w:pPr>
        <w:pStyle w:val="6"/>
        <w:spacing w:line="578" w:lineRule="exact"/>
        <w:jc w:val="right"/>
        <w:rPr>
          <w:rFonts w:ascii="Times New Roman" w:hAnsi="Times New Roman"/>
          <w:color w:val="auto"/>
          <w:sz w:val="28"/>
          <w:szCs w:val="28"/>
        </w:rPr>
        <w:sectPr>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bookmarkStart w:id="20" w:name="_Toc3391981"/>
      <w:r>
        <w:rPr>
          <w:rFonts w:ascii="Times New Roman" w:hAnsi="Times New Roman" w:eastAsia="黑体"/>
          <w:color w:val="auto"/>
          <w:sz w:val="44"/>
          <w:szCs w:val="44"/>
        </w:rPr>
        <w:t>国有建设用地交接地确认书</w:t>
      </w:r>
      <w:bookmarkEnd w:id="20"/>
    </w:p>
    <w:p>
      <w:pPr>
        <w:jc w:val="center"/>
        <w:rPr>
          <w:rFonts w:eastAsia="仿宋_GB2312"/>
          <w:color w:val="auto"/>
          <w:sz w:val="32"/>
          <w:szCs w:val="32"/>
        </w:rPr>
      </w:pPr>
      <w:r>
        <w:rPr>
          <w:rFonts w:eastAsia="仿宋_GB2312"/>
          <w:color w:val="auto"/>
          <w:sz w:val="32"/>
          <w:szCs w:val="32"/>
        </w:rPr>
        <w:t>达市自然资交字〔〕号</w:t>
      </w:r>
    </w:p>
    <w:p>
      <w:pPr>
        <w:spacing w:line="560" w:lineRule="exact"/>
        <w:ind w:firstLine="640" w:firstLineChars="200"/>
        <w:rPr>
          <w:rFonts w:eastAsia="仿宋_GB2312"/>
          <w:color w:val="auto"/>
          <w:sz w:val="32"/>
          <w:szCs w:val="32"/>
        </w:rPr>
      </w:pPr>
    </w:p>
    <w:p>
      <w:pPr>
        <w:spacing w:line="560" w:lineRule="exact"/>
        <w:ind w:firstLine="643" w:firstLineChars="200"/>
        <w:rPr>
          <w:rFonts w:ascii="仿宋" w:hAnsi="仿宋" w:eastAsia="仿宋"/>
          <w:b/>
          <w:color w:val="auto"/>
          <w:sz w:val="32"/>
          <w:szCs w:val="32"/>
          <w:u w:val="single"/>
        </w:rPr>
      </w:pPr>
      <w:r>
        <w:rPr>
          <w:rFonts w:ascii="仿宋" w:hAnsi="仿宋" w:eastAsia="仿宋"/>
          <w:b/>
          <w:color w:val="auto"/>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本确认书一式三份，局执二份，接地方执一份。</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特此确认。</w:t>
      </w:r>
    </w:p>
    <w:p>
      <w:pPr>
        <w:spacing w:line="560" w:lineRule="exact"/>
        <w:ind w:firstLine="643" w:firstLineChars="200"/>
        <w:rPr>
          <w:rFonts w:ascii="仿宋" w:hAnsi="仿宋" w:eastAsia="仿宋"/>
          <w:b/>
          <w:color w:val="auto"/>
          <w:sz w:val="32"/>
          <w:szCs w:val="32"/>
        </w:rPr>
      </w:pP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交地方：               （印章）</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接地方：               （印章）</w:t>
      </w:r>
    </w:p>
    <w:p>
      <w:pPr>
        <w:spacing w:line="560" w:lineRule="exact"/>
        <w:ind w:firstLine="643" w:firstLineChars="200"/>
        <w:rPr>
          <w:rFonts w:ascii="仿宋" w:hAnsi="仿宋" w:eastAsia="仿宋"/>
          <w:b/>
          <w:color w:val="auto"/>
          <w:sz w:val="32"/>
          <w:szCs w:val="32"/>
        </w:rPr>
      </w:pPr>
    </w:p>
    <w:p>
      <w:pPr>
        <w:spacing w:line="560" w:lineRule="exact"/>
        <w:ind w:firstLine="4176" w:firstLineChars="1300"/>
        <w:rPr>
          <w:rFonts w:ascii="仿宋" w:hAnsi="仿宋" w:eastAsia="仿宋"/>
          <w:b/>
          <w:color w:val="auto"/>
          <w:sz w:val="32"/>
          <w:szCs w:val="32"/>
        </w:rPr>
      </w:pPr>
      <w:r>
        <w:rPr>
          <w:rFonts w:ascii="仿宋" w:hAnsi="仿宋" w:eastAsia="仿宋"/>
          <w:b/>
          <w:color w:val="auto"/>
          <w:sz w:val="32"/>
          <w:szCs w:val="32"/>
        </w:rPr>
        <w:t>年  月  日</w:t>
      </w:r>
    </w:p>
    <w:p>
      <w:pPr>
        <w:spacing w:line="560" w:lineRule="exact"/>
        <w:rPr>
          <w:rFonts w:ascii="仿宋" w:hAnsi="仿宋" w:eastAsia="仿宋"/>
          <w:color w:val="auto"/>
          <w:sz w:val="32"/>
          <w:szCs w:val="32"/>
        </w:rPr>
      </w:pPr>
    </w:p>
    <w:p>
      <w:pPr>
        <w:spacing w:line="560" w:lineRule="exact"/>
        <w:rPr>
          <w:rFonts w:ascii="仿宋" w:hAnsi="仿宋" w:eastAsia="仿宋"/>
          <w:color w:val="auto"/>
          <w:sz w:val="32"/>
          <w:szCs w:val="32"/>
        </w:rPr>
      </w:pPr>
      <w:r>
        <w:rPr>
          <w:rFonts w:ascii="仿宋" w:hAnsi="仿宋" w:eastAsia="仿宋"/>
          <w:color w:val="auto"/>
          <w:sz w:val="32"/>
          <w:szCs w:val="32"/>
        </w:rPr>
        <w:t>注：1.接地方须为受让方；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2.接地方到场人员须持受让方的委托书，委托书须现场交给交地方；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3.接地方须在到场后三日内将加盖印章的确认书返还交地方，否则视为违约；</w:t>
      </w:r>
    </w:p>
    <w:p>
      <w:pPr>
        <w:spacing w:line="560" w:lineRule="exact"/>
        <w:ind w:firstLine="645"/>
        <w:rPr>
          <w:rFonts w:ascii="仿宋" w:hAnsi="仿宋" w:eastAsia="仿宋"/>
          <w:color w:val="auto"/>
          <w:sz w:val="32"/>
          <w:szCs w:val="32"/>
        </w:rPr>
      </w:pPr>
      <w:r>
        <w:rPr>
          <w:rFonts w:ascii="仿宋" w:hAnsi="仿宋" w:eastAsia="仿宋"/>
          <w:color w:val="auto"/>
          <w:sz w:val="32"/>
          <w:szCs w:val="32"/>
        </w:rPr>
        <w:t>4.三份确认书中只二份加盖接地方印章。</w:t>
      </w:r>
    </w:p>
    <w:p>
      <w:pPr>
        <w:spacing w:line="560" w:lineRule="exact"/>
        <w:ind w:firstLine="645"/>
        <w:rPr>
          <w:rFonts w:ascii="仿宋" w:hAnsi="仿宋" w:eastAsia="仿宋"/>
          <w:color w:val="auto"/>
          <w:sz w:val="32"/>
          <w:szCs w:val="32"/>
        </w:rPr>
      </w:pPr>
    </w:p>
    <w:p>
      <w:pPr>
        <w:spacing w:line="560" w:lineRule="exact"/>
        <w:ind w:firstLine="645"/>
        <w:rPr>
          <w:rFonts w:eastAsia="仿宋"/>
          <w:color w:val="auto"/>
          <w:sz w:val="32"/>
          <w:szCs w:val="32"/>
        </w:rPr>
      </w:pPr>
    </w:p>
    <w:p>
      <w:pPr>
        <w:spacing w:line="560" w:lineRule="exact"/>
        <w:jc w:val="center"/>
        <w:rPr>
          <w:rFonts w:eastAsia="黑体"/>
          <w:color w:val="auto"/>
          <w:sz w:val="44"/>
          <w:szCs w:val="44"/>
        </w:rPr>
      </w:pPr>
    </w:p>
    <w:p>
      <w:pPr>
        <w:spacing w:line="560" w:lineRule="exact"/>
        <w:jc w:val="center"/>
        <w:rPr>
          <w:rFonts w:eastAsia="黑体"/>
          <w:color w:val="auto"/>
          <w:sz w:val="44"/>
          <w:szCs w:val="44"/>
        </w:rPr>
      </w:pPr>
      <w:r>
        <w:rPr>
          <w:rFonts w:eastAsia="黑体"/>
          <w:color w:val="auto"/>
          <w:sz w:val="44"/>
          <w:szCs w:val="44"/>
        </w:rPr>
        <w:t>国有建设用地交接地现场人员签到表</w:t>
      </w:r>
    </w:p>
    <w:p>
      <w:pPr>
        <w:spacing w:line="560" w:lineRule="exact"/>
        <w:ind w:firstLine="645"/>
        <w:rPr>
          <w:rFonts w:eastAsia="仿宋"/>
          <w:color w:val="auto"/>
          <w:sz w:val="32"/>
          <w:szCs w:val="32"/>
        </w:rPr>
      </w:pPr>
    </w:p>
    <w:p>
      <w:pPr>
        <w:spacing w:line="560" w:lineRule="exact"/>
        <w:rPr>
          <w:rFonts w:eastAsia="仿宋"/>
          <w:b/>
          <w:color w:val="auto"/>
          <w:sz w:val="32"/>
          <w:szCs w:val="32"/>
        </w:rPr>
      </w:pPr>
      <w:r>
        <w:rPr>
          <w:rFonts w:eastAsia="仿宋"/>
          <w:b/>
          <w:color w:val="auto"/>
          <w:sz w:val="32"/>
          <w:szCs w:val="32"/>
        </w:rPr>
        <w:t>时间：</w:t>
      </w:r>
    </w:p>
    <w:p>
      <w:pPr>
        <w:spacing w:line="560" w:lineRule="exact"/>
        <w:rPr>
          <w:rFonts w:eastAsia="仿宋"/>
          <w:b/>
          <w:color w:val="auto"/>
          <w:sz w:val="32"/>
          <w:szCs w:val="32"/>
        </w:rPr>
      </w:pPr>
      <w:r>
        <w:rPr>
          <w:rFonts w:eastAsia="仿宋"/>
          <w:b/>
          <w:color w:val="auto"/>
          <w:sz w:val="32"/>
          <w:szCs w:val="32"/>
        </w:rPr>
        <w:t>地块名称或编号：</w:t>
      </w:r>
    </w:p>
    <w:p>
      <w:pPr>
        <w:spacing w:line="560" w:lineRule="exact"/>
        <w:rPr>
          <w:rFonts w:eastAsia="仿宋"/>
          <w:b/>
          <w:color w:val="auto"/>
          <w:sz w:val="32"/>
          <w:szCs w:val="32"/>
        </w:rPr>
      </w:pPr>
      <w:r>
        <w:rPr>
          <w:rFonts w:eastAsia="仿宋"/>
          <w:b/>
          <w:color w:val="auto"/>
          <w:sz w:val="32"/>
          <w:szCs w:val="32"/>
        </w:rPr>
        <w:t>人员：</w:t>
      </w:r>
    </w:p>
    <w:tbl>
      <w:tblPr>
        <w:tblStyle w:val="16"/>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auto"/>
                <w:sz w:val="32"/>
                <w:szCs w:val="32"/>
              </w:rPr>
            </w:pPr>
            <w:r>
              <w:rPr>
                <w:rFonts w:eastAsia="仿宋"/>
                <w:b/>
                <w:color w:val="auto"/>
                <w:sz w:val="32"/>
                <w:szCs w:val="32"/>
              </w:rPr>
              <w:t>姓名</w:t>
            </w:r>
          </w:p>
        </w:tc>
        <w:tc>
          <w:tcPr>
            <w:tcW w:w="2736" w:type="dxa"/>
            <w:vAlign w:val="center"/>
          </w:tcPr>
          <w:p>
            <w:pPr>
              <w:spacing w:line="560" w:lineRule="exact"/>
              <w:jc w:val="center"/>
              <w:rPr>
                <w:rFonts w:eastAsia="仿宋"/>
                <w:b/>
                <w:color w:val="auto"/>
                <w:sz w:val="32"/>
                <w:szCs w:val="32"/>
              </w:rPr>
            </w:pPr>
            <w:r>
              <w:rPr>
                <w:rFonts w:eastAsia="仿宋"/>
                <w:b/>
                <w:color w:val="auto"/>
                <w:sz w:val="32"/>
                <w:szCs w:val="32"/>
              </w:rPr>
              <w:t>工作单位</w:t>
            </w:r>
          </w:p>
        </w:tc>
        <w:tc>
          <w:tcPr>
            <w:tcW w:w="1604" w:type="dxa"/>
            <w:vAlign w:val="center"/>
          </w:tcPr>
          <w:p>
            <w:pPr>
              <w:spacing w:line="360" w:lineRule="exact"/>
              <w:jc w:val="center"/>
              <w:rPr>
                <w:rFonts w:eastAsia="仿宋"/>
                <w:b/>
                <w:color w:val="auto"/>
                <w:sz w:val="32"/>
                <w:szCs w:val="32"/>
              </w:rPr>
            </w:pPr>
            <w:r>
              <w:rPr>
                <w:rFonts w:eastAsia="仿宋"/>
                <w:b/>
                <w:color w:val="auto"/>
                <w:sz w:val="32"/>
                <w:szCs w:val="32"/>
              </w:rPr>
              <w:t>职务</w:t>
            </w:r>
          </w:p>
          <w:p>
            <w:pPr>
              <w:spacing w:line="360" w:lineRule="exact"/>
              <w:jc w:val="center"/>
              <w:rPr>
                <w:rFonts w:eastAsia="仿宋"/>
                <w:b/>
                <w:color w:val="auto"/>
                <w:sz w:val="32"/>
                <w:szCs w:val="32"/>
              </w:rPr>
            </w:pPr>
            <w:r>
              <w:rPr>
                <w:rFonts w:eastAsia="仿宋"/>
                <w:b/>
                <w:color w:val="auto"/>
                <w:sz w:val="32"/>
                <w:szCs w:val="32"/>
              </w:rPr>
              <w:t>(或职称)</w:t>
            </w:r>
          </w:p>
        </w:tc>
        <w:tc>
          <w:tcPr>
            <w:tcW w:w="2263" w:type="dxa"/>
            <w:vAlign w:val="center"/>
          </w:tcPr>
          <w:p>
            <w:pPr>
              <w:spacing w:line="560" w:lineRule="exact"/>
              <w:jc w:val="center"/>
              <w:rPr>
                <w:rFonts w:eastAsia="仿宋"/>
                <w:b/>
                <w:color w:val="auto"/>
                <w:sz w:val="32"/>
                <w:szCs w:val="32"/>
              </w:rPr>
            </w:pPr>
            <w:r>
              <w:rPr>
                <w:rFonts w:eastAsia="仿宋"/>
                <w:b/>
                <w:color w:val="auto"/>
                <w:sz w:val="32"/>
                <w:szCs w:val="32"/>
              </w:rPr>
              <w:t>联系电话</w:t>
            </w:r>
          </w:p>
        </w:tc>
        <w:tc>
          <w:tcPr>
            <w:tcW w:w="1093" w:type="dxa"/>
            <w:vAlign w:val="center"/>
          </w:tcPr>
          <w:p>
            <w:pPr>
              <w:spacing w:line="560" w:lineRule="exact"/>
              <w:jc w:val="center"/>
              <w:rPr>
                <w:rFonts w:eastAsia="仿宋"/>
                <w:b/>
                <w:color w:val="auto"/>
                <w:sz w:val="32"/>
                <w:szCs w:val="32"/>
              </w:rPr>
            </w:pPr>
            <w:r>
              <w:rPr>
                <w:rFonts w:eastAsia="仿宋"/>
                <w:b/>
                <w:color w:val="auto"/>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bl>
    <w:p>
      <w:pPr>
        <w:spacing w:line="560" w:lineRule="exact"/>
        <w:rPr>
          <w:rFonts w:eastAsia="仿宋"/>
          <w:color w:val="auto"/>
          <w:sz w:val="32"/>
          <w:szCs w:val="32"/>
        </w:rPr>
      </w:pPr>
      <w:r>
        <w:rPr>
          <w:rFonts w:eastAsia="仿宋"/>
          <w:color w:val="auto"/>
          <w:sz w:val="32"/>
          <w:szCs w:val="32"/>
        </w:rPr>
        <w:t>注：1.表格内容须由现场人员亲自填写；</w:t>
      </w:r>
    </w:p>
    <w:p>
      <w:pPr>
        <w:spacing w:line="560" w:lineRule="exact"/>
        <w:rPr>
          <w:rFonts w:eastAsia="仿宋"/>
          <w:color w:val="auto"/>
          <w:sz w:val="32"/>
          <w:szCs w:val="32"/>
        </w:rPr>
      </w:pPr>
      <w:r>
        <w:rPr>
          <w:rFonts w:eastAsia="仿宋"/>
          <w:color w:val="auto"/>
          <w:sz w:val="32"/>
          <w:szCs w:val="32"/>
        </w:rPr>
        <w:t xml:space="preserve">    2.接地方主要代表须现场按手印。</w:t>
      </w:r>
    </w:p>
    <w:p>
      <w:pPr>
        <w:pStyle w:val="6"/>
        <w:ind w:left="-141" w:leftChars="-67" w:right="480"/>
        <w:jc w:val="center"/>
        <w:rPr>
          <w:rFonts w:ascii="Times New Roman" w:hAnsi="Times New Roman" w:eastAsia="黑体"/>
          <w:color w:val="auto"/>
          <w:sz w:val="44"/>
          <w:szCs w:val="44"/>
        </w:rPr>
      </w:pPr>
    </w:p>
    <w:p>
      <w:pPr>
        <w:pStyle w:val="6"/>
        <w:ind w:left="-141" w:leftChars="-67" w:right="480"/>
        <w:jc w:val="center"/>
        <w:rPr>
          <w:rFonts w:ascii="Times New Roman" w:hAnsi="Times New Roman" w:eastAsia="黑体"/>
          <w:color w:val="auto"/>
          <w:sz w:val="44"/>
          <w:szCs w:val="44"/>
        </w:rPr>
      </w:pPr>
      <w:r>
        <w:rPr>
          <w:rFonts w:ascii="Times New Roman" w:hAnsi="Times New Roman" w:eastAsia="黑体"/>
          <w:color w:val="auto"/>
          <w:sz w:val="44"/>
          <w:szCs w:val="44"/>
        </w:rPr>
        <w:t>建设项目动工开发申报书</w:t>
      </w:r>
    </w:p>
    <w:p>
      <w:pPr>
        <w:pStyle w:val="6"/>
        <w:ind w:left="-141" w:leftChars="-67" w:right="480"/>
        <w:jc w:val="left"/>
        <w:rPr>
          <w:rFonts w:ascii="Times New Roman" w:hAnsi="Times New Roman"/>
          <w:color w:val="auto"/>
        </w:rPr>
      </w:pPr>
    </w:p>
    <w:p>
      <w:pPr>
        <w:pStyle w:val="6"/>
        <w:ind w:right="480"/>
        <w:jc w:val="left"/>
        <w:rPr>
          <w:rFonts w:ascii="仿宋" w:hAnsi="仿宋" w:eastAsia="仿宋"/>
          <w:color w:val="auto"/>
        </w:rPr>
      </w:pPr>
      <w:r>
        <w:rPr>
          <w:rFonts w:ascii="仿宋" w:hAnsi="仿宋" w:eastAsia="仿宋"/>
          <w:color w:val="auto"/>
        </w:rPr>
        <w:t>×××局：</w:t>
      </w:r>
    </w:p>
    <w:p>
      <w:pPr>
        <w:pStyle w:val="6"/>
        <w:ind w:left="-141" w:leftChars="-67" w:right="480" w:firstLine="480" w:firstLineChars="150"/>
        <w:jc w:val="left"/>
        <w:rPr>
          <w:rFonts w:ascii="仿宋" w:hAnsi="仿宋" w:eastAsia="仿宋"/>
          <w:color w:val="auto"/>
          <w:u w:val="single"/>
        </w:rPr>
      </w:pPr>
      <w:r>
        <w:rPr>
          <w:rFonts w:ascii="仿宋" w:hAnsi="仿宋" w:eastAsia="仿宋"/>
          <w:color w:val="auto"/>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auto"/>
          <w:u w:val="single"/>
        </w:rPr>
        <w:t>。</w:t>
      </w:r>
    </w:p>
    <w:p>
      <w:pPr>
        <w:pStyle w:val="6"/>
        <w:ind w:left="-141" w:leftChars="-67" w:right="480" w:firstLine="480" w:firstLineChars="150"/>
        <w:jc w:val="left"/>
        <w:rPr>
          <w:rFonts w:ascii="仿宋" w:hAnsi="仿宋" w:eastAsia="仿宋"/>
          <w:color w:val="auto"/>
        </w:rPr>
      </w:pPr>
      <w:r>
        <w:rPr>
          <w:rFonts w:ascii="仿宋" w:hAnsi="仿宋" w:eastAsia="仿宋"/>
          <w:color w:val="auto"/>
        </w:rPr>
        <w:t>我方拟在上述宗地建设项目，目前已取得部分（全部）的建设施工许可证（编号为：），并于  年  月 日已达到动工标准。请予检查复核。</w:t>
      </w:r>
    </w:p>
    <w:p>
      <w:pPr>
        <w:pStyle w:val="6"/>
        <w:ind w:left="-141" w:leftChars="-67" w:right="480"/>
        <w:jc w:val="left"/>
        <w:rPr>
          <w:rFonts w:ascii="仿宋" w:hAnsi="仿宋" w:eastAsia="仿宋"/>
          <w:color w:val="auto"/>
        </w:rPr>
      </w:pPr>
      <w:r>
        <w:rPr>
          <w:rFonts w:ascii="仿宋" w:hAnsi="仿宋" w:eastAsia="仿宋"/>
          <w:color w:val="auto"/>
        </w:rPr>
        <w:t>特此申报。</w:t>
      </w:r>
    </w:p>
    <w:p>
      <w:pPr>
        <w:pStyle w:val="6"/>
        <w:ind w:left="-141" w:leftChars="-67" w:right="480"/>
        <w:jc w:val="left"/>
        <w:rPr>
          <w:rFonts w:ascii="仿宋" w:hAnsi="仿宋" w:eastAsia="仿宋"/>
          <w:color w:val="auto"/>
        </w:rPr>
      </w:pPr>
    </w:p>
    <w:p>
      <w:pPr>
        <w:pStyle w:val="6"/>
        <w:ind w:left="-141" w:leftChars="-67" w:right="480"/>
        <w:jc w:val="left"/>
        <w:rPr>
          <w:rFonts w:ascii="仿宋" w:hAnsi="仿宋" w:eastAsia="仿宋"/>
          <w:color w:val="auto"/>
        </w:rPr>
      </w:pPr>
      <w:r>
        <w:rPr>
          <w:rFonts w:ascii="仿宋" w:hAnsi="仿宋" w:eastAsia="仿宋"/>
          <w:color w:val="auto"/>
        </w:rPr>
        <w:t>单位（印章）/个人：</w:t>
      </w:r>
    </w:p>
    <w:p>
      <w:pPr>
        <w:pStyle w:val="6"/>
        <w:wordWrap w:val="0"/>
        <w:ind w:left="-141" w:leftChars="-67" w:right="800"/>
        <w:jc w:val="right"/>
        <w:rPr>
          <w:rFonts w:ascii="仿宋" w:hAnsi="仿宋" w:eastAsia="仿宋"/>
          <w:color w:val="auto"/>
        </w:rPr>
      </w:pPr>
      <w:r>
        <w:rPr>
          <w:rFonts w:ascii="仿宋" w:hAnsi="仿宋" w:eastAsia="仿宋"/>
          <w:color w:val="auto"/>
        </w:rPr>
        <w:t>年 月 日</w:t>
      </w:r>
    </w:p>
    <w:p>
      <w:pPr>
        <w:pStyle w:val="6"/>
        <w:ind w:left="-141" w:leftChars="-67" w:right="480"/>
        <w:jc w:val="left"/>
        <w:rPr>
          <w:rFonts w:ascii="仿宋" w:hAnsi="仿宋" w:eastAsia="仿宋"/>
          <w:color w:val="auto"/>
        </w:rPr>
      </w:pPr>
    </w:p>
    <w:p>
      <w:pPr>
        <w:pStyle w:val="6"/>
        <w:ind w:left="-141" w:leftChars="-67" w:right="480"/>
        <w:jc w:val="left"/>
        <w:rPr>
          <w:rFonts w:ascii="Times New Roman" w:hAnsi="Times New Roman"/>
          <w:b/>
          <w:bCs/>
          <w:color w:val="auto"/>
        </w:rPr>
      </w:pPr>
      <w:r>
        <w:rPr>
          <w:rFonts w:ascii="Times New Roman" w:hAnsi="Times New Roman"/>
          <w:color w:val="auto"/>
        </w:rPr>
        <w:br w:type="page"/>
      </w:r>
      <w:r>
        <w:rPr>
          <w:rFonts w:ascii="Times New Roman" w:hAnsi="Times New Roman"/>
          <w:b/>
          <w:bCs/>
          <w:color w:val="auto"/>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6"/>
        <w:spacing w:line="578" w:lineRule="atLeast"/>
        <w:ind w:left="-141" w:leftChars="-67" w:right="802"/>
        <w:jc w:val="right"/>
        <w:rPr>
          <w:rFonts w:ascii="Times New Roman" w:hAnsi="Times New Roman" w:eastAsia="仿宋_GB2312"/>
          <w:color w:val="auto"/>
        </w:rPr>
      </w:pPr>
    </w:p>
    <w:p>
      <w:pPr>
        <w:pStyle w:val="6"/>
        <w:ind w:left="-141" w:leftChars="-67" w:right="480"/>
        <w:jc w:val="left"/>
        <w:rPr>
          <w:rFonts w:ascii="Times New Roman" w:hAnsi="Times New Roman"/>
          <w:color w:val="auto"/>
        </w:rPr>
      </w:pPr>
    </w:p>
    <w:p>
      <w:pPr>
        <w:jc w:val="left"/>
        <w:rPr>
          <w:color w:val="auto"/>
          <w:w w:val="90"/>
          <w:sz w:val="32"/>
          <w:szCs w:val="32"/>
        </w:rPr>
      </w:pPr>
    </w:p>
    <w:p>
      <w:pPr>
        <w:rPr>
          <w:color w:val="auto"/>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w:altName w:val="Segoe Print"/>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qC7M0BAACoAwAADgAAAAAAAAABACAAAAAeAQAAZHJzL2Uy&#10;b0RvYy54bWxQSwUGAAAAAAYABgBZAQAAXQUAAAAA&#10;">
              <v:fill on="f" focussize="0,0"/>
              <v:stroke on="f"/>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rwG0/zAEAAKcDAAAOAAAAAAAAAAEAIAAAAB4BAABkcnMvZTJv&#10;RG9jLnhtbFBLBQYAAAAABgAGAFkBAABc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wahs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e0CTecOWHpxS8/vl9+/r78+sZu&#10;kj69x4rK7j0VxuEtDFQ7x5GCifbQBpu+RIhRntQ9X9VVQ2QyXVqv1uuSUpJys0P4xcN1HzC+U2BZ&#10;Mmoe6PmyquL0AeNYOpekbg7utDH5CY37K0CYY0TlHZhuJybjxMmKw36Y6O2hORO7nvag5o7WnjPz&#10;3pHMaWVmI8zGfjaOPuhDR4Mu85To3x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pcGobOAQAAqAMAAA4AAAAAAAAAAQAgAAAAHgEAAGRycy9l&#10;Mm9Eb2MueG1sUEsFBgAAAAAGAAYAWQEAAF4FA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7A7BFE"/>
    <w:rsid w:val="00003BD4"/>
    <w:rsid w:val="00010A25"/>
    <w:rsid w:val="000254EF"/>
    <w:rsid w:val="00030AB4"/>
    <w:rsid w:val="00033BBC"/>
    <w:rsid w:val="000474A3"/>
    <w:rsid w:val="00051B03"/>
    <w:rsid w:val="00081EBB"/>
    <w:rsid w:val="0008246D"/>
    <w:rsid w:val="0008327F"/>
    <w:rsid w:val="000B7C33"/>
    <w:rsid w:val="000C75CE"/>
    <w:rsid w:val="00105E12"/>
    <w:rsid w:val="001103D8"/>
    <w:rsid w:val="00116F95"/>
    <w:rsid w:val="001173CB"/>
    <w:rsid w:val="00136196"/>
    <w:rsid w:val="00145618"/>
    <w:rsid w:val="00154218"/>
    <w:rsid w:val="001618B5"/>
    <w:rsid w:val="0017179C"/>
    <w:rsid w:val="001815D9"/>
    <w:rsid w:val="001A22B5"/>
    <w:rsid w:val="001A25BB"/>
    <w:rsid w:val="001A6FDE"/>
    <w:rsid w:val="001D13D4"/>
    <w:rsid w:val="001D35F2"/>
    <w:rsid w:val="001E0754"/>
    <w:rsid w:val="001E3417"/>
    <w:rsid w:val="00200A7B"/>
    <w:rsid w:val="00206E9D"/>
    <w:rsid w:val="002129C7"/>
    <w:rsid w:val="0022243F"/>
    <w:rsid w:val="002404F1"/>
    <w:rsid w:val="00250DAD"/>
    <w:rsid w:val="00250E95"/>
    <w:rsid w:val="00254A55"/>
    <w:rsid w:val="002568FE"/>
    <w:rsid w:val="002961D4"/>
    <w:rsid w:val="002A02F0"/>
    <w:rsid w:val="002D5243"/>
    <w:rsid w:val="002D77C6"/>
    <w:rsid w:val="002F2A29"/>
    <w:rsid w:val="002F7F1F"/>
    <w:rsid w:val="0032608B"/>
    <w:rsid w:val="003331CF"/>
    <w:rsid w:val="00352941"/>
    <w:rsid w:val="003669DF"/>
    <w:rsid w:val="00384A61"/>
    <w:rsid w:val="003851F6"/>
    <w:rsid w:val="00391A0C"/>
    <w:rsid w:val="00393A9F"/>
    <w:rsid w:val="00396031"/>
    <w:rsid w:val="00397272"/>
    <w:rsid w:val="003A5A21"/>
    <w:rsid w:val="003B3C3E"/>
    <w:rsid w:val="003B40B6"/>
    <w:rsid w:val="003C1A39"/>
    <w:rsid w:val="003D3B78"/>
    <w:rsid w:val="003E16CB"/>
    <w:rsid w:val="003F0205"/>
    <w:rsid w:val="003F18DE"/>
    <w:rsid w:val="00400325"/>
    <w:rsid w:val="004022C4"/>
    <w:rsid w:val="00423AD0"/>
    <w:rsid w:val="004446CF"/>
    <w:rsid w:val="004501DA"/>
    <w:rsid w:val="00477280"/>
    <w:rsid w:val="00483946"/>
    <w:rsid w:val="004936E0"/>
    <w:rsid w:val="00493C1F"/>
    <w:rsid w:val="004C01DD"/>
    <w:rsid w:val="004D1F1E"/>
    <w:rsid w:val="004F34AB"/>
    <w:rsid w:val="00506ED5"/>
    <w:rsid w:val="005104C4"/>
    <w:rsid w:val="00513E82"/>
    <w:rsid w:val="00516D84"/>
    <w:rsid w:val="00530F3F"/>
    <w:rsid w:val="005422DC"/>
    <w:rsid w:val="00566B86"/>
    <w:rsid w:val="005B1AAE"/>
    <w:rsid w:val="005C1FAC"/>
    <w:rsid w:val="005C30C3"/>
    <w:rsid w:val="005D37CE"/>
    <w:rsid w:val="005E0695"/>
    <w:rsid w:val="005E2299"/>
    <w:rsid w:val="005E47B9"/>
    <w:rsid w:val="005E6690"/>
    <w:rsid w:val="005F2B38"/>
    <w:rsid w:val="005F4F2A"/>
    <w:rsid w:val="006068DD"/>
    <w:rsid w:val="006117F8"/>
    <w:rsid w:val="006131E8"/>
    <w:rsid w:val="006132E2"/>
    <w:rsid w:val="00616F54"/>
    <w:rsid w:val="006331E2"/>
    <w:rsid w:val="006509D3"/>
    <w:rsid w:val="00680869"/>
    <w:rsid w:val="00684BD5"/>
    <w:rsid w:val="0069550F"/>
    <w:rsid w:val="00696079"/>
    <w:rsid w:val="006B0175"/>
    <w:rsid w:val="006E123F"/>
    <w:rsid w:val="006E1F12"/>
    <w:rsid w:val="006F4134"/>
    <w:rsid w:val="006F7F9A"/>
    <w:rsid w:val="007067E7"/>
    <w:rsid w:val="00710563"/>
    <w:rsid w:val="007154BE"/>
    <w:rsid w:val="007162AB"/>
    <w:rsid w:val="00723C64"/>
    <w:rsid w:val="00725917"/>
    <w:rsid w:val="00734090"/>
    <w:rsid w:val="00736A2D"/>
    <w:rsid w:val="007400B8"/>
    <w:rsid w:val="0074186B"/>
    <w:rsid w:val="00747D69"/>
    <w:rsid w:val="00756C66"/>
    <w:rsid w:val="00761F64"/>
    <w:rsid w:val="00762BD9"/>
    <w:rsid w:val="00772C69"/>
    <w:rsid w:val="00796D82"/>
    <w:rsid w:val="007A7BFE"/>
    <w:rsid w:val="007F78AA"/>
    <w:rsid w:val="00821578"/>
    <w:rsid w:val="00827AE9"/>
    <w:rsid w:val="00833C1C"/>
    <w:rsid w:val="00845B4B"/>
    <w:rsid w:val="00875E1D"/>
    <w:rsid w:val="00876B64"/>
    <w:rsid w:val="008967D8"/>
    <w:rsid w:val="008A14F2"/>
    <w:rsid w:val="008A4C76"/>
    <w:rsid w:val="008B2F47"/>
    <w:rsid w:val="008C0DA3"/>
    <w:rsid w:val="008C3EAA"/>
    <w:rsid w:val="008C681E"/>
    <w:rsid w:val="008C7026"/>
    <w:rsid w:val="008E0A6E"/>
    <w:rsid w:val="008F240E"/>
    <w:rsid w:val="008F4B95"/>
    <w:rsid w:val="008F5E54"/>
    <w:rsid w:val="008F6128"/>
    <w:rsid w:val="00900A63"/>
    <w:rsid w:val="009061D5"/>
    <w:rsid w:val="009104DC"/>
    <w:rsid w:val="00924D67"/>
    <w:rsid w:val="009250F2"/>
    <w:rsid w:val="00927C99"/>
    <w:rsid w:val="009354F7"/>
    <w:rsid w:val="00942600"/>
    <w:rsid w:val="0095371A"/>
    <w:rsid w:val="00955060"/>
    <w:rsid w:val="00963147"/>
    <w:rsid w:val="009708B9"/>
    <w:rsid w:val="00972B36"/>
    <w:rsid w:val="00976397"/>
    <w:rsid w:val="009D6BDA"/>
    <w:rsid w:val="009D7107"/>
    <w:rsid w:val="009E7327"/>
    <w:rsid w:val="009F2DE2"/>
    <w:rsid w:val="009F537C"/>
    <w:rsid w:val="00A00F84"/>
    <w:rsid w:val="00A0549B"/>
    <w:rsid w:val="00A0687B"/>
    <w:rsid w:val="00A40237"/>
    <w:rsid w:val="00A4417E"/>
    <w:rsid w:val="00A461E2"/>
    <w:rsid w:val="00A94261"/>
    <w:rsid w:val="00AA0123"/>
    <w:rsid w:val="00AA0DA1"/>
    <w:rsid w:val="00AC6BF8"/>
    <w:rsid w:val="00AE4E5A"/>
    <w:rsid w:val="00AE54FC"/>
    <w:rsid w:val="00B0422D"/>
    <w:rsid w:val="00B050CF"/>
    <w:rsid w:val="00B05E4A"/>
    <w:rsid w:val="00B21171"/>
    <w:rsid w:val="00B24134"/>
    <w:rsid w:val="00B279CF"/>
    <w:rsid w:val="00B4270D"/>
    <w:rsid w:val="00B47139"/>
    <w:rsid w:val="00B5326E"/>
    <w:rsid w:val="00B5449E"/>
    <w:rsid w:val="00B61E5F"/>
    <w:rsid w:val="00B6267E"/>
    <w:rsid w:val="00B80101"/>
    <w:rsid w:val="00B91F59"/>
    <w:rsid w:val="00BB6FBF"/>
    <w:rsid w:val="00BD4B79"/>
    <w:rsid w:val="00BD795F"/>
    <w:rsid w:val="00C17B93"/>
    <w:rsid w:val="00C3429A"/>
    <w:rsid w:val="00C55427"/>
    <w:rsid w:val="00C576F5"/>
    <w:rsid w:val="00C61267"/>
    <w:rsid w:val="00C63C47"/>
    <w:rsid w:val="00C64C0B"/>
    <w:rsid w:val="00C948E7"/>
    <w:rsid w:val="00CA205D"/>
    <w:rsid w:val="00CA4D9E"/>
    <w:rsid w:val="00CB2065"/>
    <w:rsid w:val="00CB56EF"/>
    <w:rsid w:val="00CB7B57"/>
    <w:rsid w:val="00CC7D23"/>
    <w:rsid w:val="00CD0DB0"/>
    <w:rsid w:val="00CE7D80"/>
    <w:rsid w:val="00CF0F1B"/>
    <w:rsid w:val="00D01A8B"/>
    <w:rsid w:val="00D43162"/>
    <w:rsid w:val="00D6205A"/>
    <w:rsid w:val="00D739C6"/>
    <w:rsid w:val="00D75F6C"/>
    <w:rsid w:val="00D819DC"/>
    <w:rsid w:val="00D82733"/>
    <w:rsid w:val="00D8501D"/>
    <w:rsid w:val="00D871FA"/>
    <w:rsid w:val="00D963D7"/>
    <w:rsid w:val="00DA1179"/>
    <w:rsid w:val="00DA49A2"/>
    <w:rsid w:val="00DC3148"/>
    <w:rsid w:val="00DC5139"/>
    <w:rsid w:val="00DD565B"/>
    <w:rsid w:val="00DE57DC"/>
    <w:rsid w:val="00E16248"/>
    <w:rsid w:val="00E30791"/>
    <w:rsid w:val="00E31F65"/>
    <w:rsid w:val="00E40E21"/>
    <w:rsid w:val="00E63DF6"/>
    <w:rsid w:val="00E665E2"/>
    <w:rsid w:val="00E76646"/>
    <w:rsid w:val="00E86BDE"/>
    <w:rsid w:val="00EB7AF7"/>
    <w:rsid w:val="00EC348C"/>
    <w:rsid w:val="00ED1F99"/>
    <w:rsid w:val="00ED2E61"/>
    <w:rsid w:val="00EE38E6"/>
    <w:rsid w:val="00EE445A"/>
    <w:rsid w:val="00EF304F"/>
    <w:rsid w:val="00F009E2"/>
    <w:rsid w:val="00F40A7A"/>
    <w:rsid w:val="00F43F5A"/>
    <w:rsid w:val="00F44F2F"/>
    <w:rsid w:val="00F509E3"/>
    <w:rsid w:val="00F5183B"/>
    <w:rsid w:val="00F641EE"/>
    <w:rsid w:val="00F747BF"/>
    <w:rsid w:val="00F747FA"/>
    <w:rsid w:val="00F77B2D"/>
    <w:rsid w:val="00F806EA"/>
    <w:rsid w:val="00F838D7"/>
    <w:rsid w:val="00F94038"/>
    <w:rsid w:val="00F9679C"/>
    <w:rsid w:val="00FA3F5A"/>
    <w:rsid w:val="00FB2D89"/>
    <w:rsid w:val="00FD381D"/>
    <w:rsid w:val="00FD5A4C"/>
    <w:rsid w:val="0212321E"/>
    <w:rsid w:val="0296686A"/>
    <w:rsid w:val="079E53BB"/>
    <w:rsid w:val="08C05AA0"/>
    <w:rsid w:val="0AFE2A9B"/>
    <w:rsid w:val="0C460645"/>
    <w:rsid w:val="0D6C6F7B"/>
    <w:rsid w:val="0E5418CD"/>
    <w:rsid w:val="0F6D4611"/>
    <w:rsid w:val="107C759E"/>
    <w:rsid w:val="11EF4686"/>
    <w:rsid w:val="12D864FD"/>
    <w:rsid w:val="13CF7EEA"/>
    <w:rsid w:val="147F3F75"/>
    <w:rsid w:val="158C5BF9"/>
    <w:rsid w:val="16027018"/>
    <w:rsid w:val="18A0649E"/>
    <w:rsid w:val="19F8100C"/>
    <w:rsid w:val="1A8C5F8C"/>
    <w:rsid w:val="1C693B1D"/>
    <w:rsid w:val="1CDE6F5E"/>
    <w:rsid w:val="1FC225B8"/>
    <w:rsid w:val="1FE46A9C"/>
    <w:rsid w:val="206750B4"/>
    <w:rsid w:val="212C5F40"/>
    <w:rsid w:val="21AE3013"/>
    <w:rsid w:val="22E52020"/>
    <w:rsid w:val="25000519"/>
    <w:rsid w:val="254C7485"/>
    <w:rsid w:val="275A66B9"/>
    <w:rsid w:val="27841A07"/>
    <w:rsid w:val="27A25184"/>
    <w:rsid w:val="28B8516C"/>
    <w:rsid w:val="29BD4113"/>
    <w:rsid w:val="2B3202B6"/>
    <w:rsid w:val="2EA27B4B"/>
    <w:rsid w:val="2F6536D3"/>
    <w:rsid w:val="316F5531"/>
    <w:rsid w:val="33283F4F"/>
    <w:rsid w:val="33E522A4"/>
    <w:rsid w:val="35C44594"/>
    <w:rsid w:val="35ED0A47"/>
    <w:rsid w:val="36303B27"/>
    <w:rsid w:val="379571AA"/>
    <w:rsid w:val="3B1D063B"/>
    <w:rsid w:val="3C287BAB"/>
    <w:rsid w:val="3C2D70F4"/>
    <w:rsid w:val="3CD737FF"/>
    <w:rsid w:val="3DF32CE6"/>
    <w:rsid w:val="3E296944"/>
    <w:rsid w:val="3E670D70"/>
    <w:rsid w:val="3FB93B43"/>
    <w:rsid w:val="40BA692C"/>
    <w:rsid w:val="42041CCC"/>
    <w:rsid w:val="426C32DB"/>
    <w:rsid w:val="42B50E9F"/>
    <w:rsid w:val="42BD1F30"/>
    <w:rsid w:val="457F64ED"/>
    <w:rsid w:val="45C609B6"/>
    <w:rsid w:val="45FB75AB"/>
    <w:rsid w:val="45FE14C1"/>
    <w:rsid w:val="474074DF"/>
    <w:rsid w:val="491348B1"/>
    <w:rsid w:val="49EA2C24"/>
    <w:rsid w:val="4B107C9D"/>
    <w:rsid w:val="4BC81182"/>
    <w:rsid w:val="4D2E0486"/>
    <w:rsid w:val="4D68748F"/>
    <w:rsid w:val="4F5F713A"/>
    <w:rsid w:val="4F9C76EB"/>
    <w:rsid w:val="525745B1"/>
    <w:rsid w:val="53510746"/>
    <w:rsid w:val="53606423"/>
    <w:rsid w:val="55E32AE2"/>
    <w:rsid w:val="573671C0"/>
    <w:rsid w:val="574720D1"/>
    <w:rsid w:val="5A2D67EC"/>
    <w:rsid w:val="5B6065F6"/>
    <w:rsid w:val="5C3A1F35"/>
    <w:rsid w:val="614C0CDA"/>
    <w:rsid w:val="632C625A"/>
    <w:rsid w:val="636E4ABC"/>
    <w:rsid w:val="650457FC"/>
    <w:rsid w:val="6692027B"/>
    <w:rsid w:val="674F47CD"/>
    <w:rsid w:val="677F42ED"/>
    <w:rsid w:val="696D5534"/>
    <w:rsid w:val="6D0E35D3"/>
    <w:rsid w:val="6D553153"/>
    <w:rsid w:val="6F555FB1"/>
    <w:rsid w:val="712A596C"/>
    <w:rsid w:val="72B26A06"/>
    <w:rsid w:val="747245A5"/>
    <w:rsid w:val="75837868"/>
    <w:rsid w:val="75C138D0"/>
    <w:rsid w:val="76002116"/>
    <w:rsid w:val="77C03503"/>
    <w:rsid w:val="783807F6"/>
    <w:rsid w:val="79DE5F56"/>
    <w:rsid w:val="7A860D00"/>
    <w:rsid w:val="7A8F7564"/>
    <w:rsid w:val="7A9C6195"/>
    <w:rsid w:val="7B1830CE"/>
    <w:rsid w:val="7C136915"/>
    <w:rsid w:val="7CAD6794"/>
    <w:rsid w:val="7CD82419"/>
    <w:rsid w:val="7D493466"/>
    <w:rsid w:val="7D521AC9"/>
    <w:rsid w:val="7D902C36"/>
    <w:rsid w:val="7DF80231"/>
    <w:rsid w:val="7E612FF1"/>
    <w:rsid w:val="7EDE33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9"/>
    <w:pPr>
      <w:keepNext/>
      <w:keepLines/>
      <w:spacing w:before="340" w:after="330" w:line="559" w:lineRule="auto"/>
      <w:outlineLvl w:val="0"/>
    </w:pPr>
    <w:rPr>
      <w:rFonts w:eastAsia="华文中宋"/>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link w:val="37"/>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31"/>
      <w:szCs w:val="31"/>
      <w:lang w:eastAsia="en-US"/>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2"/>
    <w:qFormat/>
    <w:uiPriority w:val="99"/>
    <w:rPr>
      <w:rFonts w:ascii="宋体" w:hAnsi="Courier New"/>
      <w:sz w:val="32"/>
      <w:szCs w:val="20"/>
    </w:rPr>
  </w:style>
  <w:style w:type="paragraph" w:styleId="7">
    <w:name w:val="Date"/>
    <w:basedOn w:val="1"/>
    <w:next w:val="1"/>
    <w:link w:val="33"/>
    <w:semiHidden/>
    <w:unhideWhenUsed/>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widowControl/>
      <w:spacing w:after="100" w:line="259" w:lineRule="auto"/>
      <w:jc w:val="left"/>
    </w:pPr>
    <w:rPr>
      <w:rFonts w:ascii="Calibri" w:hAnsi="Calibri"/>
      <w:kern w:val="0"/>
      <w:sz w:val="22"/>
      <w:szCs w:val="22"/>
    </w:rPr>
  </w:style>
  <w:style w:type="paragraph" w:styleId="12">
    <w:name w:val="Subtitle"/>
    <w:basedOn w:val="1"/>
    <w:next w:val="1"/>
    <w:link w:val="26"/>
    <w:qFormat/>
    <w:uiPriority w:val="99"/>
    <w:pPr>
      <w:spacing w:before="240" w:after="60" w:line="312" w:lineRule="auto"/>
      <w:jc w:val="center"/>
      <w:outlineLvl w:val="1"/>
    </w:pPr>
    <w:rPr>
      <w:rFonts w:ascii="Calibri" w:hAnsi="Calibri"/>
      <w:b/>
      <w:bCs/>
      <w:kern w:val="28"/>
      <w:sz w:val="32"/>
      <w:szCs w:val="32"/>
    </w:rPr>
  </w:style>
  <w:style w:type="paragraph" w:styleId="13">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27"/>
    <w:qFormat/>
    <w:uiPriority w:val="99"/>
    <w:pPr>
      <w:spacing w:before="240" w:after="60"/>
      <w:jc w:val="center"/>
      <w:outlineLvl w:val="0"/>
    </w:pPr>
    <w:rPr>
      <w:rFonts w:ascii="Cambria" w:hAnsi="Cambria" w:eastAsia="华文中宋"/>
      <w:b/>
      <w:bCs/>
      <w:sz w:val="36"/>
      <w:szCs w:val="32"/>
    </w:rPr>
  </w:style>
  <w:style w:type="character" w:styleId="18">
    <w:name w:val="page number"/>
    <w:qFormat/>
    <w:uiPriority w:val="99"/>
    <w:rPr>
      <w:rFonts w:cs="Times New Roman"/>
    </w:rPr>
  </w:style>
  <w:style w:type="character" w:styleId="19">
    <w:name w:val="FollowedHyperlink"/>
    <w:basedOn w:val="17"/>
    <w:semiHidden/>
    <w:unhideWhenUsed/>
    <w:qFormat/>
    <w:uiPriority w:val="99"/>
    <w:rPr>
      <w:color w:val="333333"/>
      <w:u w:val="none"/>
    </w:rPr>
  </w:style>
  <w:style w:type="character" w:styleId="20">
    <w:name w:val="Hyperlink"/>
    <w:qFormat/>
    <w:uiPriority w:val="99"/>
    <w:rPr>
      <w:rFonts w:cs="Times New Roman"/>
      <w:color w:val="0000FF"/>
      <w:u w:val="single"/>
    </w:rPr>
  </w:style>
  <w:style w:type="character" w:customStyle="1" w:styleId="21">
    <w:name w:val="标题 1 Char"/>
    <w:basedOn w:val="17"/>
    <w:link w:val="3"/>
    <w:qFormat/>
    <w:uiPriority w:val="99"/>
    <w:rPr>
      <w:rFonts w:ascii="Times New Roman" w:hAnsi="Times New Roman" w:eastAsia="华文中宋" w:cs="Times New Roman"/>
      <w:b/>
      <w:bCs/>
      <w:kern w:val="44"/>
      <w:sz w:val="44"/>
      <w:szCs w:val="44"/>
    </w:rPr>
  </w:style>
  <w:style w:type="character" w:customStyle="1" w:styleId="22">
    <w:name w:val="纯文本 Char"/>
    <w:basedOn w:val="17"/>
    <w:link w:val="6"/>
    <w:qFormat/>
    <w:uiPriority w:val="99"/>
    <w:rPr>
      <w:rFonts w:ascii="宋体" w:hAnsi="Courier New" w:eastAsia="宋体" w:cs="Times New Roman"/>
      <w:sz w:val="32"/>
      <w:szCs w:val="20"/>
    </w:rPr>
  </w:style>
  <w:style w:type="character" w:customStyle="1" w:styleId="23">
    <w:name w:val="批注框文本 Char"/>
    <w:basedOn w:val="17"/>
    <w:link w:val="8"/>
    <w:qFormat/>
    <w:uiPriority w:val="99"/>
    <w:rPr>
      <w:rFonts w:ascii="Times New Roman" w:hAnsi="Times New Roman" w:eastAsia="宋体" w:cs="Times New Roman"/>
      <w:sz w:val="18"/>
      <w:szCs w:val="18"/>
    </w:rPr>
  </w:style>
  <w:style w:type="character" w:customStyle="1" w:styleId="24">
    <w:name w:val="页脚 Char"/>
    <w:basedOn w:val="17"/>
    <w:link w:val="9"/>
    <w:qFormat/>
    <w:uiPriority w:val="99"/>
    <w:rPr>
      <w:rFonts w:ascii="Times New Roman" w:hAnsi="Times New Roman" w:eastAsia="宋体" w:cs="Times New Roman"/>
      <w:sz w:val="18"/>
      <w:szCs w:val="18"/>
    </w:rPr>
  </w:style>
  <w:style w:type="character" w:customStyle="1" w:styleId="25">
    <w:name w:val="页眉 Char"/>
    <w:basedOn w:val="17"/>
    <w:link w:val="10"/>
    <w:qFormat/>
    <w:uiPriority w:val="99"/>
    <w:rPr>
      <w:rFonts w:ascii="Times New Roman" w:hAnsi="Times New Roman" w:eastAsia="宋体" w:cs="Times New Roman"/>
      <w:sz w:val="18"/>
      <w:szCs w:val="18"/>
    </w:rPr>
  </w:style>
  <w:style w:type="character" w:customStyle="1" w:styleId="26">
    <w:name w:val="副标题 Char"/>
    <w:basedOn w:val="17"/>
    <w:link w:val="12"/>
    <w:qFormat/>
    <w:uiPriority w:val="99"/>
    <w:rPr>
      <w:rFonts w:ascii="Calibri" w:hAnsi="Calibri" w:eastAsia="宋体" w:cs="Times New Roman"/>
      <w:b/>
      <w:bCs/>
      <w:kern w:val="28"/>
      <w:sz w:val="32"/>
      <w:szCs w:val="32"/>
    </w:rPr>
  </w:style>
  <w:style w:type="character" w:customStyle="1" w:styleId="27">
    <w:name w:val="标题 Char"/>
    <w:basedOn w:val="17"/>
    <w:link w:val="15"/>
    <w:qFormat/>
    <w:uiPriority w:val="99"/>
    <w:rPr>
      <w:rFonts w:ascii="Cambria" w:hAnsi="Cambria" w:eastAsia="华文中宋" w:cs="Times New Roman"/>
      <w:b/>
      <w:bCs/>
      <w:sz w:val="36"/>
      <w:szCs w:val="32"/>
    </w:rPr>
  </w:style>
  <w:style w:type="character" w:customStyle="1" w:styleId="28">
    <w:name w:val="Plain Text Char"/>
    <w:qFormat/>
    <w:locked/>
    <w:uiPriority w:val="99"/>
    <w:rPr>
      <w:rFonts w:ascii="宋体" w:hAnsi="Courier New" w:cs="Times New Roman"/>
      <w:kern w:val="2"/>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纯文本 Char1"/>
    <w:qFormat/>
    <w:uiPriority w:val="99"/>
    <w:rPr>
      <w:rFonts w:ascii="宋体" w:hAnsi="Courier New" w:cs="Courier New"/>
      <w:kern w:val="2"/>
      <w:sz w:val="21"/>
      <w:szCs w:val="21"/>
    </w:rPr>
  </w:style>
  <w:style w:type="paragraph" w:customStyle="1" w:styleId="31">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2">
    <w:name w:val="List Paragraph"/>
    <w:basedOn w:val="1"/>
    <w:qFormat/>
    <w:uiPriority w:val="99"/>
    <w:pPr>
      <w:ind w:firstLine="420" w:firstLineChars="200"/>
    </w:pPr>
  </w:style>
  <w:style w:type="character" w:customStyle="1" w:styleId="33">
    <w:name w:val="日期 Char"/>
    <w:basedOn w:val="17"/>
    <w:link w:val="7"/>
    <w:semiHidden/>
    <w:qFormat/>
    <w:uiPriority w:val="99"/>
    <w:rPr>
      <w:rFonts w:ascii="Times New Roman" w:hAnsi="Times New Roman" w:eastAsia="宋体" w:cs="Times New Roman"/>
      <w:szCs w:val="24"/>
    </w:rPr>
  </w:style>
  <w:style w:type="character" w:customStyle="1" w:styleId="34">
    <w:name w:val="fontstyle01"/>
    <w:basedOn w:val="17"/>
    <w:qFormat/>
    <w:uiPriority w:val="0"/>
    <w:rPr>
      <w:rFonts w:hint="default" w:ascii="TimesNewRomanPSMT" w:hAnsi="TimesNewRomanPSMT"/>
      <w:color w:val="000000"/>
      <w:sz w:val="22"/>
      <w:szCs w:val="22"/>
    </w:rPr>
  </w:style>
  <w:style w:type="character" w:customStyle="1" w:styleId="35">
    <w:name w:val="fontstyle21"/>
    <w:basedOn w:val="17"/>
    <w:qFormat/>
    <w:uiPriority w:val="0"/>
    <w:rPr>
      <w:rFonts w:hint="default" w:ascii="TimesNewRomanPSMT" w:hAnsi="TimesNewRomanPSMT"/>
      <w:color w:val="000000"/>
      <w:sz w:val="22"/>
      <w:szCs w:val="22"/>
    </w:rPr>
  </w:style>
  <w:style w:type="paragraph" w:customStyle="1" w:styleId="3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2"/>
      <w:szCs w:val="22"/>
      <w:lang w:eastAsia="en-US"/>
    </w:rPr>
  </w:style>
  <w:style w:type="character" w:customStyle="1" w:styleId="37">
    <w:name w:val="正文文本 Char"/>
    <w:basedOn w:val="17"/>
    <w:link w:val="4"/>
    <w:semiHidden/>
    <w:qFormat/>
    <w:uiPriority w:val="0"/>
    <w:rPr>
      <w:rFonts w:ascii="微软雅黑" w:hAnsi="微软雅黑" w:eastAsia="微软雅黑" w:cs="微软雅黑"/>
      <w:snapToGrid w:val="0"/>
      <w:color w:val="000000"/>
      <w:sz w:val="31"/>
      <w:szCs w:val="3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7D99-7906-40E3-B9E6-50408AFA2EA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2740</Words>
  <Characters>15623</Characters>
  <Lines>130</Lines>
  <Paragraphs>36</Paragraphs>
  <TotalTime>0</TotalTime>
  <ScaleCrop>false</ScaleCrop>
  <LinksUpToDate>false</LinksUpToDate>
  <CharactersWithSpaces>18327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2023-09-01T07:33:00Z</dcterms:created>
  <dc:creator>NTKO</dc:creator>
  <cp:lastModifiedBy>Shanly</cp:lastModifiedBy>
  <cp:lastPrinted>2023-11-22T15:12:52Z</cp:lastPrinted>
  <dcterms:modified xsi:type="dcterms:W3CDTF">2023-11-22T15:33:20Z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F335A0C3CD99440CAEA7799FA0948B85_13</vt:lpwstr>
  </property>
</Properties>
</file>