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232" w:lineRule="atLeast"/>
        <w:ind w:right="481"/>
        <w:jc w:val="right"/>
        <w:rPr>
          <w:rFonts w:eastAsia="黑体"/>
          <w:sz w:val="28"/>
        </w:rPr>
      </w:pPr>
      <w:r>
        <w:rPr>
          <w:rFonts w:eastAsia="黑体"/>
          <w:sz w:val="28"/>
        </w:rPr>
        <w:t>DSTT（P）[2022]1号</w:t>
      </w:r>
      <w:r>
        <w:rPr>
          <w:rFonts w:hint="eastAsia" w:eastAsia="黑体"/>
          <w:sz w:val="28"/>
        </w:rPr>
        <w:t xml:space="preserve"> </w:t>
      </w:r>
      <w:r>
        <w:rPr>
          <w:rFonts w:eastAsia="黑体"/>
          <w:sz w:val="28"/>
        </w:rPr>
        <w:pict>
          <v:shape id="Text Box 4" o:spid="_x0000_s1026" o:spt="202" type="#_x0000_t202" style="position:absolute;left:0pt;margin-left:58.05pt;margin-top:125.5pt;height:31.2pt;width:495pt;mso-position-horizontal-relative:page;mso-position-vertical-relative:page;z-index:251661312;mso-width-relative:page;mso-height-relative:page;" filled="f" stroked="f" coordsize="21600,21600" o:allowincell="f" o:gfxdata="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V/SUrXAAAADAEAAA8AAAAAAAAAAQAgAAAAIgAAAGRycy9kb3ducmV2LnhtbFBLAQIUABQA&#10;AAAIAIdO4kBvr0lxuAEAAIMDAAAOAAAAAAAAAAEAIAAAACYBAABkcnMvZTJvRG9jLnhtbFBLBQYA&#10;AAAABgAGAFkBAABQBQAAAAA=&#10;">
            <v:path/>
            <v:fill on="f" focussize="0,0"/>
            <v:stroke on="f" joinstyle="miter"/>
            <v:imagedata o:title=""/>
            <o:lock v:ext="edit"/>
            <v:textbox inset="13.6062204724409pt,2.83456692913386pt,13.6062204724409pt,6.5196062992126pt">
              <w:txbxContent>
                <w:p>
                  <w:pPr>
                    <w:snapToGrid w:val="0"/>
                    <w:spacing w:line="232" w:lineRule="atLeast"/>
                    <w:ind w:right="481"/>
                    <w:jc w:val="right"/>
                    <w:rPr>
                      <w:rFonts w:ascii="黑体" w:hAnsi="黑体" w:eastAsia="黑体"/>
                    </w:rPr>
                  </w:pPr>
                  <w:r>
                    <w:rPr>
                      <w:rFonts w:hint="eastAsia" w:ascii="华文中宋" w:eastAsia="华文中宋"/>
                      <w:sz w:val="24"/>
                    </w:rPr>
                    <w:t>　</w:t>
                  </w:r>
                  <w:r>
                    <w:rPr>
                      <w:rFonts w:hint="eastAsia" w:ascii="黑体" w:hAnsi="黑体" w:eastAsia="黑体"/>
                      <w:sz w:val="24"/>
                    </w:rPr>
                    <w:t>　</w:t>
                  </w:r>
                </w:p>
                <w:p>
                  <w:pPr>
                    <w:snapToGrid w:val="0"/>
                    <w:spacing w:line="289" w:lineRule="atLeast"/>
                  </w:pPr>
                </w:p>
                <w:p>
                  <w:pPr>
                    <w:snapToGrid w:val="0"/>
                    <w:spacing w:line="538" w:lineRule="atLeast"/>
                  </w:pPr>
                </w:p>
                <w:p/>
              </w:txbxContent>
            </v:textbox>
          </v:shape>
        </w:pict>
      </w:r>
    </w:p>
    <w:p>
      <w:pPr>
        <w:rPr>
          <w:color w:val="000000" w:themeColor="text1"/>
          <w:sz w:val="44"/>
        </w:rPr>
      </w:pPr>
    </w:p>
    <w:p>
      <w:pPr>
        <w:jc w:val="left"/>
        <w:rPr>
          <w:color w:val="000000" w:themeColor="text1"/>
          <w:sz w:val="44"/>
        </w:rPr>
      </w:pPr>
    </w:p>
    <w:p>
      <w:pPr>
        <w:rPr>
          <w:color w:val="000000" w:themeColor="text1"/>
          <w:sz w:val="44"/>
        </w:rPr>
      </w:pPr>
    </w:p>
    <w:p>
      <w:pPr>
        <w:rPr>
          <w:color w:val="000000" w:themeColor="text1"/>
          <w:sz w:val="44"/>
        </w:rPr>
      </w:pPr>
    </w:p>
    <w:p>
      <w:pPr>
        <w:ind w:left="260" w:hanging="260" w:hangingChars="50"/>
        <w:jc w:val="center"/>
        <w:rPr>
          <w:rFonts w:eastAsia="方正小标宋简体"/>
          <w:color w:val="000000" w:themeColor="text1"/>
          <w:sz w:val="52"/>
          <w:szCs w:val="52"/>
        </w:rPr>
      </w:pPr>
      <w:r>
        <w:rPr>
          <w:rFonts w:eastAsia="方正小标宋简体"/>
          <w:color w:val="000000" w:themeColor="text1"/>
          <w:sz w:val="52"/>
          <w:szCs w:val="52"/>
        </w:rPr>
        <w:t>达州市达钢（老厂）片区C0</w:t>
      </w:r>
      <w:r>
        <w:rPr>
          <w:rFonts w:hint="eastAsia" w:eastAsia="方正小标宋简体"/>
          <w:color w:val="000000" w:themeColor="text1"/>
          <w:sz w:val="52"/>
          <w:szCs w:val="52"/>
          <w:lang w:val="en-US" w:eastAsia="zh-CN"/>
        </w:rPr>
        <w:t>5</w:t>
      </w:r>
      <w:r>
        <w:rPr>
          <w:rFonts w:eastAsia="方正小标宋简体"/>
          <w:color w:val="000000" w:themeColor="text1"/>
          <w:sz w:val="52"/>
          <w:szCs w:val="52"/>
        </w:rPr>
        <w:t>-03地块国有建设用地使用权拍卖出让文件</w:t>
      </w: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rPr>
          <w:color w:val="000000" w:themeColor="text1"/>
          <w:sz w:val="44"/>
        </w:rPr>
      </w:pPr>
    </w:p>
    <w:p>
      <w:pPr>
        <w:tabs>
          <w:tab w:val="left" w:leader="middleDot" w:pos="6720"/>
        </w:tabs>
        <w:ind w:left="220" w:hanging="220" w:hangingChars="50"/>
        <w:rPr>
          <w:color w:val="000000" w:themeColor="text1"/>
          <w:sz w:val="44"/>
        </w:rPr>
      </w:pPr>
    </w:p>
    <w:p>
      <w:pPr>
        <w:tabs>
          <w:tab w:val="left" w:leader="middleDot" w:pos="6720"/>
        </w:tabs>
        <w:jc w:val="both"/>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r>
        <w:rPr>
          <w:color w:val="000000" w:themeColor="text1"/>
          <w:sz w:val="44"/>
        </w:rPr>
        <w:pict>
          <v:shape id="文本框 13" o:spid="_x0000_s1027" o:spt="202" type="#_x0000_t202" style="position:absolute;left:0pt;margin-left:32.8pt;margin-top:0.65pt;height:101.55pt;width:362.25pt;z-index:251665408;mso-width-relative:page;mso-height-relative:margin;mso-height-percent:200;" fillcolor="#FFFFFF" filled="t" stroked="t" coordsize="21600,21600">
            <v:path/>
            <v:fill on="t" color2="#FFFFFF" focussize="0,0"/>
            <v:stroke color="#FFFFFF" joinstyle="miter"/>
            <v:imagedata o:title=""/>
            <o:lock v:ext="edit" aspectratio="f"/>
            <v:textbox style="mso-fit-shape-to-text:t;">
              <w:txbxContent>
                <w:p>
                  <w:pPr>
                    <w:jc w:val="distribute"/>
                    <w:rPr>
                      <w:rFonts w:hint="eastAsia" w:ascii="方正小标宋简体" w:eastAsia="方正小标宋简体"/>
                      <w:color w:val="000000"/>
                      <w:sz w:val="48"/>
                      <w:szCs w:val="48"/>
                    </w:rPr>
                  </w:pPr>
                  <w:r>
                    <w:rPr>
                      <w:rFonts w:hint="eastAsia" w:ascii="方正小标宋简体" w:eastAsia="方正小标宋简体"/>
                      <w:color w:val="000000"/>
                      <w:sz w:val="48"/>
                      <w:szCs w:val="48"/>
                    </w:rPr>
                    <w:t>达州市通川区自然资源局</w:t>
                  </w:r>
                </w:p>
                <w:p>
                  <w:pPr>
                    <w:jc w:val="distribute"/>
                  </w:pPr>
                  <w:r>
                    <w:rPr>
                      <w:rFonts w:hint="eastAsia" w:ascii="方正小标宋简体" w:eastAsia="方正小标宋简体"/>
                      <w:color w:val="000000"/>
                      <w:sz w:val="48"/>
                      <w:szCs w:val="48"/>
                    </w:rPr>
                    <w:t>达州市公共资源交易服务中心</w:t>
                  </w:r>
                </w:p>
              </w:txbxContent>
            </v:textbox>
          </v:shape>
        </w:pict>
      </w: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rFonts w:eastAsia="黑体"/>
          <w:bCs/>
          <w:color w:val="000000" w:themeColor="text1"/>
          <w:w w:val="100"/>
          <w:sz w:val="44"/>
        </w:rPr>
      </w:pPr>
      <w:r>
        <w:rPr>
          <w:color w:val="000000" w:themeColor="text1"/>
          <w:sz w:val="44"/>
        </w:rPr>
        <w:br w:type="page"/>
      </w:r>
      <w:r>
        <w:rPr>
          <w:rFonts w:eastAsia="黑体"/>
          <w:bCs/>
          <w:color w:val="000000" w:themeColor="text1"/>
          <w:w w:val="100"/>
          <w:sz w:val="44"/>
        </w:rPr>
        <w:t>目录</w:t>
      </w:r>
    </w:p>
    <w:p>
      <w:pPr>
        <w:tabs>
          <w:tab w:val="left" w:leader="middleDot" w:pos="7980"/>
        </w:tabs>
        <w:rPr>
          <w:color w:val="000000" w:themeColor="text1"/>
          <w:w w:val="66"/>
          <w:sz w:val="32"/>
          <w:szCs w:val="32"/>
        </w:rPr>
      </w:pPr>
    </w:p>
    <w:p>
      <w:pPr>
        <w:keepNext w:val="0"/>
        <w:keepLines w:val="0"/>
        <w:pageBreakBefore w:val="0"/>
        <w:widowControl w:val="0"/>
        <w:numPr>
          <w:ilvl w:val="0"/>
          <w:numId w:val="1"/>
        </w:numPr>
        <w:tabs>
          <w:tab w:val="left" w:leader="middleDot" w:pos="7980"/>
        </w:tabs>
        <w:kinsoku/>
        <w:wordWrap/>
        <w:overflowPunct/>
        <w:topLinePunct w:val="0"/>
        <w:autoSpaceDE/>
        <w:autoSpaceDN/>
        <w:bidi w:val="0"/>
        <w:adjustRightInd/>
        <w:snapToGrid/>
        <w:spacing w:line="578" w:lineRule="exact"/>
        <w:ind w:left="0" w:hanging="160" w:hangingChars="50"/>
        <w:textAlignment w:val="auto"/>
        <w:rPr>
          <w:color w:val="000000" w:themeColor="text1"/>
          <w:w w:val="100"/>
          <w:sz w:val="32"/>
          <w:szCs w:val="32"/>
        </w:rPr>
      </w:pPr>
      <w:r>
        <w:rPr>
          <w:color w:val="000000" w:themeColor="text1"/>
          <w:w w:val="100"/>
          <w:sz w:val="32"/>
          <w:szCs w:val="32"/>
        </w:rPr>
        <w:fldChar w:fldCharType="begin"/>
      </w:r>
      <w:r>
        <w:rPr>
          <w:color w:val="000000" w:themeColor="text1"/>
          <w:w w:val="100"/>
          <w:sz w:val="32"/>
          <w:szCs w:val="32"/>
        </w:rPr>
        <w:instrText xml:space="preserve"> TOC \o "1-1" \h \z \u </w:instrText>
      </w:r>
      <w:r>
        <w:rPr>
          <w:color w:val="000000" w:themeColor="text1"/>
          <w:w w:val="100"/>
          <w:sz w:val="32"/>
          <w:szCs w:val="32"/>
        </w:rPr>
        <w:fldChar w:fldCharType="separate"/>
      </w:r>
      <w:r>
        <w:rPr>
          <w:w w:val="100"/>
        </w:rPr>
        <w:fldChar w:fldCharType="begin"/>
      </w:r>
      <w:r>
        <w:rPr>
          <w:w w:val="100"/>
        </w:rPr>
        <w:instrText xml:space="preserve"> HYPERLINK \l "_Toc3391970" </w:instrText>
      </w:r>
      <w:r>
        <w:rPr>
          <w:w w:val="100"/>
        </w:rPr>
        <w:fldChar w:fldCharType="separate"/>
      </w:r>
      <w:r>
        <w:rPr>
          <w:color w:val="000000" w:themeColor="text1"/>
          <w:w w:val="100"/>
          <w:sz w:val="32"/>
          <w:szCs w:val="32"/>
        </w:rPr>
        <w:t>拍卖出让公告</w:t>
      </w:r>
      <w:r>
        <w:rPr>
          <w:color w:val="000000" w:themeColor="text1"/>
          <w:w w:val="100"/>
          <w:sz w:val="32"/>
          <w:szCs w:val="32"/>
        </w:rPr>
        <w:tab/>
      </w:r>
      <w:r>
        <w:rPr>
          <w:color w:val="000000" w:themeColor="text1"/>
          <w:w w:val="100"/>
          <w:sz w:val="32"/>
          <w:szCs w:val="32"/>
        </w:rPr>
        <w:fldChar w:fldCharType="begin"/>
      </w:r>
      <w:r>
        <w:rPr>
          <w:color w:val="000000" w:themeColor="text1"/>
          <w:w w:val="100"/>
          <w:sz w:val="32"/>
          <w:szCs w:val="32"/>
        </w:rPr>
        <w:instrText xml:space="preserve"> PAGEREF _Toc3391970 \h </w:instrText>
      </w:r>
      <w:r>
        <w:rPr>
          <w:color w:val="000000" w:themeColor="text1"/>
          <w:w w:val="100"/>
          <w:sz w:val="32"/>
          <w:szCs w:val="32"/>
        </w:rPr>
        <w:fldChar w:fldCharType="separate"/>
      </w:r>
      <w:r>
        <w:rPr>
          <w:color w:val="000000" w:themeColor="text1"/>
          <w:w w:val="100"/>
          <w:sz w:val="32"/>
          <w:szCs w:val="32"/>
        </w:rPr>
        <w:t>- 3 -</w:t>
      </w:r>
      <w:r>
        <w:rPr>
          <w:color w:val="000000" w:themeColor="text1"/>
          <w:w w:val="100"/>
          <w:sz w:val="32"/>
          <w:szCs w:val="32"/>
        </w:rPr>
        <w:fldChar w:fldCharType="end"/>
      </w:r>
      <w:r>
        <w:rPr>
          <w:color w:val="000000" w:themeColor="text1"/>
          <w:w w:val="100"/>
          <w:sz w:val="32"/>
          <w:szCs w:val="32"/>
        </w:rPr>
        <w:fldChar w:fldCharType="end"/>
      </w:r>
    </w:p>
    <w:p>
      <w:pPr>
        <w:keepNext w:val="0"/>
        <w:keepLines w:val="0"/>
        <w:pageBreakBefore w:val="0"/>
        <w:widowControl w:val="0"/>
        <w:numPr>
          <w:ilvl w:val="0"/>
          <w:numId w:val="1"/>
        </w:numPr>
        <w:tabs>
          <w:tab w:val="left" w:leader="middleDot" w:pos="7980"/>
        </w:tabs>
        <w:kinsoku/>
        <w:wordWrap/>
        <w:overflowPunct/>
        <w:topLinePunct w:val="0"/>
        <w:autoSpaceDE/>
        <w:autoSpaceDN/>
        <w:bidi w:val="0"/>
        <w:adjustRightInd/>
        <w:snapToGrid/>
        <w:spacing w:line="578" w:lineRule="exact"/>
        <w:ind w:left="0" w:hanging="105" w:hangingChars="50"/>
        <w:textAlignment w:val="auto"/>
        <w:rPr>
          <w:color w:val="000000" w:themeColor="text1"/>
          <w:w w:val="100"/>
          <w:sz w:val="32"/>
          <w:szCs w:val="32"/>
        </w:rPr>
      </w:pPr>
      <w:r>
        <w:rPr>
          <w:w w:val="100"/>
        </w:rPr>
        <w:fldChar w:fldCharType="begin"/>
      </w:r>
      <w:r>
        <w:rPr>
          <w:w w:val="100"/>
        </w:rPr>
        <w:instrText xml:space="preserve"> HYPERLINK \l "_Toc3391971" </w:instrText>
      </w:r>
      <w:r>
        <w:rPr>
          <w:w w:val="100"/>
        </w:rPr>
        <w:fldChar w:fldCharType="separate"/>
      </w:r>
      <w:r>
        <w:rPr>
          <w:color w:val="000000" w:themeColor="text1"/>
          <w:w w:val="100"/>
          <w:sz w:val="32"/>
          <w:szCs w:val="32"/>
        </w:rPr>
        <w:t>国有建设用地使用权拍卖出让须知</w:t>
      </w:r>
      <w:r>
        <w:rPr>
          <w:color w:val="000000" w:themeColor="text1"/>
          <w:w w:val="100"/>
          <w:sz w:val="32"/>
          <w:szCs w:val="32"/>
        </w:rPr>
        <w:tab/>
      </w:r>
      <w:r>
        <w:rPr>
          <w:color w:val="000000" w:themeColor="text1"/>
          <w:w w:val="100"/>
          <w:sz w:val="32"/>
          <w:szCs w:val="32"/>
        </w:rPr>
        <w:fldChar w:fldCharType="end"/>
      </w:r>
      <w:r>
        <w:rPr>
          <w:color w:val="000000" w:themeColor="text1"/>
          <w:w w:val="100"/>
          <w:sz w:val="32"/>
          <w:szCs w:val="32"/>
        </w:rPr>
        <w:t>6-1</w:t>
      </w:r>
      <w:r>
        <w:rPr>
          <w:rFonts w:hint="eastAsia"/>
          <w:color w:val="000000" w:themeColor="text1"/>
          <w:w w:val="100"/>
          <w:sz w:val="32"/>
          <w:szCs w:val="32"/>
          <w:lang w:val="en-US" w:eastAsia="zh-CN"/>
        </w:rPr>
        <w:t>8</w:t>
      </w:r>
    </w:p>
    <w:p>
      <w:pPr>
        <w:keepNext w:val="0"/>
        <w:keepLines w:val="0"/>
        <w:pageBreakBefore w:val="0"/>
        <w:widowControl w:val="0"/>
        <w:numPr>
          <w:ilvl w:val="0"/>
          <w:numId w:val="1"/>
        </w:numPr>
        <w:tabs>
          <w:tab w:val="left" w:leader="middleDot" w:pos="7980"/>
        </w:tabs>
        <w:kinsoku/>
        <w:wordWrap/>
        <w:overflowPunct/>
        <w:topLinePunct w:val="0"/>
        <w:autoSpaceDE/>
        <w:autoSpaceDN/>
        <w:bidi w:val="0"/>
        <w:adjustRightInd/>
        <w:snapToGrid/>
        <w:spacing w:line="578" w:lineRule="exact"/>
        <w:ind w:left="0" w:hanging="105" w:hangingChars="50"/>
        <w:textAlignment w:val="auto"/>
        <w:rPr>
          <w:color w:val="000000" w:themeColor="text1"/>
          <w:w w:val="100"/>
          <w:sz w:val="32"/>
          <w:szCs w:val="32"/>
        </w:rPr>
      </w:pPr>
      <w:r>
        <w:rPr>
          <w:w w:val="100"/>
        </w:rPr>
        <w:fldChar w:fldCharType="begin"/>
      </w:r>
      <w:r>
        <w:rPr>
          <w:w w:val="100"/>
        </w:rPr>
        <w:instrText xml:space="preserve"> HYPERLINK \l "_Toc3391972" </w:instrText>
      </w:r>
      <w:r>
        <w:rPr>
          <w:w w:val="100"/>
        </w:rPr>
        <w:fldChar w:fldCharType="separate"/>
      </w:r>
      <w:r>
        <w:rPr>
          <w:color w:val="000000" w:themeColor="text1"/>
          <w:w w:val="100"/>
          <w:sz w:val="32"/>
          <w:szCs w:val="32"/>
        </w:rPr>
        <w:t>地块规划条件相关资料</w:t>
      </w:r>
      <w:r>
        <w:rPr>
          <w:color w:val="000000" w:themeColor="text1"/>
          <w:w w:val="100"/>
          <w:sz w:val="32"/>
          <w:szCs w:val="32"/>
        </w:rPr>
        <w:tab/>
      </w:r>
      <w:r>
        <w:rPr>
          <w:color w:val="000000" w:themeColor="text1"/>
          <w:w w:val="100"/>
          <w:sz w:val="32"/>
          <w:szCs w:val="32"/>
        </w:rPr>
        <w:fldChar w:fldCharType="end"/>
      </w:r>
      <w:r>
        <w:rPr>
          <w:color w:val="000000" w:themeColor="text1"/>
          <w:w w:val="100"/>
          <w:sz w:val="32"/>
          <w:szCs w:val="32"/>
        </w:rPr>
        <w:t>1</w:t>
      </w:r>
      <w:r>
        <w:rPr>
          <w:rFonts w:hint="eastAsia"/>
          <w:color w:val="000000" w:themeColor="text1"/>
          <w:w w:val="100"/>
          <w:sz w:val="32"/>
          <w:szCs w:val="32"/>
          <w:lang w:val="en-US" w:eastAsia="zh-CN"/>
        </w:rPr>
        <w:t>9</w:t>
      </w:r>
      <w:r>
        <w:rPr>
          <w:color w:val="000000" w:themeColor="text1"/>
          <w:w w:val="100"/>
          <w:sz w:val="32"/>
          <w:szCs w:val="32"/>
        </w:rPr>
        <w:t>-2</w:t>
      </w:r>
      <w:r>
        <w:rPr>
          <w:rFonts w:hint="eastAsia"/>
          <w:color w:val="000000" w:themeColor="text1"/>
          <w:w w:val="100"/>
          <w:sz w:val="32"/>
          <w:szCs w:val="32"/>
          <w:lang w:val="en-US" w:eastAsia="zh-CN"/>
        </w:rPr>
        <w:t>0</w:t>
      </w:r>
    </w:p>
    <w:p>
      <w:pPr>
        <w:keepNext w:val="0"/>
        <w:keepLines w:val="0"/>
        <w:pageBreakBefore w:val="0"/>
        <w:widowControl w:val="0"/>
        <w:numPr>
          <w:ilvl w:val="0"/>
          <w:numId w:val="1"/>
        </w:numPr>
        <w:tabs>
          <w:tab w:val="left" w:leader="middleDot" w:pos="7980"/>
        </w:tabs>
        <w:kinsoku/>
        <w:wordWrap/>
        <w:overflowPunct/>
        <w:topLinePunct w:val="0"/>
        <w:autoSpaceDE/>
        <w:autoSpaceDN/>
        <w:bidi w:val="0"/>
        <w:adjustRightInd/>
        <w:snapToGrid/>
        <w:spacing w:line="578" w:lineRule="exact"/>
        <w:ind w:left="0" w:hanging="105" w:hangingChars="50"/>
        <w:textAlignment w:val="auto"/>
        <w:rPr>
          <w:color w:val="000000" w:themeColor="text1"/>
          <w:w w:val="100"/>
          <w:sz w:val="32"/>
          <w:szCs w:val="32"/>
        </w:rPr>
      </w:pPr>
      <w:r>
        <w:rPr>
          <w:w w:val="100"/>
        </w:rPr>
        <w:fldChar w:fldCharType="begin"/>
      </w:r>
      <w:r>
        <w:rPr>
          <w:w w:val="100"/>
        </w:rPr>
        <w:instrText xml:space="preserve"> HYPERLINK \l "_Toc3391973" </w:instrText>
      </w:r>
      <w:r>
        <w:rPr>
          <w:w w:val="100"/>
        </w:rPr>
        <w:fldChar w:fldCharType="separate"/>
      </w:r>
      <w:r>
        <w:rPr>
          <w:color w:val="000000" w:themeColor="text1"/>
          <w:w w:val="100"/>
          <w:sz w:val="32"/>
          <w:szCs w:val="32"/>
        </w:rPr>
        <w:t>用地红线图</w:t>
      </w:r>
      <w:r>
        <w:rPr>
          <w:color w:val="000000" w:themeColor="text1"/>
          <w:w w:val="100"/>
          <w:sz w:val="32"/>
          <w:szCs w:val="32"/>
        </w:rPr>
        <w:tab/>
      </w:r>
      <w:r>
        <w:rPr>
          <w:color w:val="000000" w:themeColor="text1"/>
          <w:w w:val="100"/>
          <w:sz w:val="32"/>
          <w:szCs w:val="32"/>
        </w:rPr>
        <w:fldChar w:fldCharType="end"/>
      </w:r>
      <w:r>
        <w:rPr>
          <w:color w:val="000000" w:themeColor="text1"/>
          <w:w w:val="100"/>
          <w:sz w:val="32"/>
          <w:szCs w:val="32"/>
        </w:rPr>
        <w:t>2</w:t>
      </w:r>
      <w:r>
        <w:rPr>
          <w:rFonts w:hint="eastAsia"/>
          <w:color w:val="000000" w:themeColor="text1"/>
          <w:w w:val="100"/>
          <w:sz w:val="32"/>
          <w:szCs w:val="32"/>
          <w:lang w:val="en-US" w:eastAsia="zh-CN"/>
        </w:rPr>
        <w:t>1</w:t>
      </w:r>
    </w:p>
    <w:p>
      <w:pPr>
        <w:keepNext w:val="0"/>
        <w:keepLines w:val="0"/>
        <w:pageBreakBefore w:val="0"/>
        <w:widowControl w:val="0"/>
        <w:numPr>
          <w:ilvl w:val="0"/>
          <w:numId w:val="1"/>
        </w:numPr>
        <w:tabs>
          <w:tab w:val="left" w:leader="middleDot" w:pos="7980"/>
        </w:tabs>
        <w:kinsoku/>
        <w:wordWrap/>
        <w:overflowPunct/>
        <w:topLinePunct w:val="0"/>
        <w:autoSpaceDE/>
        <w:autoSpaceDN/>
        <w:bidi w:val="0"/>
        <w:adjustRightInd/>
        <w:snapToGrid/>
        <w:spacing w:line="578" w:lineRule="exact"/>
        <w:ind w:left="0" w:hanging="105" w:hangingChars="50"/>
        <w:textAlignment w:val="auto"/>
        <w:rPr>
          <w:color w:val="000000" w:themeColor="text1"/>
          <w:w w:val="100"/>
          <w:sz w:val="32"/>
          <w:szCs w:val="32"/>
        </w:rPr>
      </w:pPr>
      <w:r>
        <w:rPr>
          <w:w w:val="100"/>
        </w:rPr>
        <w:fldChar w:fldCharType="begin"/>
      </w:r>
      <w:r>
        <w:rPr>
          <w:w w:val="100"/>
        </w:rPr>
        <w:instrText xml:space="preserve"> HYPERLINK \l "_Toc3391974" </w:instrText>
      </w:r>
      <w:r>
        <w:rPr>
          <w:w w:val="100"/>
        </w:rPr>
        <w:fldChar w:fldCharType="separate"/>
      </w:r>
      <w:r>
        <w:rPr>
          <w:color w:val="000000" w:themeColor="text1"/>
          <w:w w:val="100"/>
          <w:sz w:val="32"/>
          <w:szCs w:val="32"/>
        </w:rPr>
        <w:t>宗地平面界址图</w:t>
      </w:r>
      <w:r>
        <w:rPr>
          <w:color w:val="000000" w:themeColor="text1"/>
          <w:w w:val="100"/>
          <w:sz w:val="32"/>
          <w:szCs w:val="32"/>
        </w:rPr>
        <w:tab/>
      </w:r>
      <w:r>
        <w:rPr>
          <w:color w:val="000000" w:themeColor="text1"/>
          <w:w w:val="100"/>
          <w:sz w:val="32"/>
          <w:szCs w:val="32"/>
        </w:rPr>
        <w:fldChar w:fldCharType="end"/>
      </w:r>
      <w:r>
        <w:rPr>
          <w:color w:val="000000" w:themeColor="text1"/>
          <w:w w:val="100"/>
          <w:sz w:val="32"/>
          <w:szCs w:val="32"/>
        </w:rPr>
        <w:t>2</w:t>
      </w:r>
      <w:r>
        <w:rPr>
          <w:rFonts w:hint="eastAsia"/>
          <w:color w:val="000000" w:themeColor="text1"/>
          <w:w w:val="100"/>
          <w:sz w:val="32"/>
          <w:szCs w:val="32"/>
          <w:lang w:val="en-US" w:eastAsia="zh-CN"/>
        </w:rPr>
        <w:t>2</w:t>
      </w:r>
    </w:p>
    <w:p>
      <w:pPr>
        <w:keepNext w:val="0"/>
        <w:keepLines w:val="0"/>
        <w:pageBreakBefore w:val="0"/>
        <w:widowControl w:val="0"/>
        <w:numPr>
          <w:ilvl w:val="0"/>
          <w:numId w:val="1"/>
        </w:numPr>
        <w:tabs>
          <w:tab w:val="left" w:leader="middleDot" w:pos="7980"/>
        </w:tabs>
        <w:kinsoku/>
        <w:wordWrap/>
        <w:overflowPunct/>
        <w:topLinePunct w:val="0"/>
        <w:autoSpaceDE/>
        <w:autoSpaceDN/>
        <w:bidi w:val="0"/>
        <w:adjustRightInd/>
        <w:snapToGrid/>
        <w:spacing w:line="578" w:lineRule="exact"/>
        <w:ind w:left="0" w:hanging="105" w:hangingChars="50"/>
        <w:textAlignment w:val="auto"/>
        <w:rPr>
          <w:color w:val="000000" w:themeColor="text1"/>
          <w:w w:val="100"/>
          <w:sz w:val="32"/>
          <w:szCs w:val="32"/>
        </w:rPr>
      </w:pPr>
      <w:r>
        <w:rPr>
          <w:w w:val="100"/>
        </w:rPr>
        <w:fldChar w:fldCharType="begin"/>
      </w:r>
      <w:r>
        <w:rPr>
          <w:w w:val="100"/>
        </w:rPr>
        <w:instrText xml:space="preserve"> HYPERLINK \l "_Toc3391975" </w:instrText>
      </w:r>
      <w:r>
        <w:rPr>
          <w:w w:val="100"/>
        </w:rPr>
        <w:fldChar w:fldCharType="separate"/>
      </w:r>
      <w:r>
        <w:rPr>
          <w:color w:val="000000" w:themeColor="text1"/>
          <w:w w:val="100"/>
          <w:sz w:val="32"/>
          <w:szCs w:val="32"/>
        </w:rPr>
        <w:t>竞买申请书（样本）</w:t>
      </w:r>
      <w:r>
        <w:rPr>
          <w:color w:val="000000" w:themeColor="text1"/>
          <w:w w:val="100"/>
          <w:sz w:val="32"/>
          <w:szCs w:val="32"/>
        </w:rPr>
        <w:tab/>
      </w:r>
      <w:r>
        <w:rPr>
          <w:color w:val="000000" w:themeColor="text1"/>
          <w:w w:val="100"/>
          <w:sz w:val="32"/>
          <w:szCs w:val="32"/>
        </w:rPr>
        <w:t>2</w:t>
      </w:r>
      <w:r>
        <w:rPr>
          <w:color w:val="000000" w:themeColor="text1"/>
          <w:w w:val="100"/>
          <w:sz w:val="32"/>
          <w:szCs w:val="32"/>
        </w:rPr>
        <w:fldChar w:fldCharType="end"/>
      </w:r>
      <w:r>
        <w:rPr>
          <w:rFonts w:hint="eastAsia"/>
          <w:color w:val="000000" w:themeColor="text1"/>
          <w:w w:val="100"/>
          <w:sz w:val="32"/>
          <w:szCs w:val="32"/>
          <w:lang w:val="en-US" w:eastAsia="zh-CN"/>
        </w:rPr>
        <w:t>3</w:t>
      </w:r>
    </w:p>
    <w:p>
      <w:pPr>
        <w:keepNext w:val="0"/>
        <w:keepLines w:val="0"/>
        <w:pageBreakBefore w:val="0"/>
        <w:widowControl w:val="0"/>
        <w:numPr>
          <w:ilvl w:val="0"/>
          <w:numId w:val="1"/>
        </w:numPr>
        <w:tabs>
          <w:tab w:val="left" w:leader="middleDot" w:pos="7980"/>
        </w:tabs>
        <w:kinsoku/>
        <w:wordWrap/>
        <w:overflowPunct/>
        <w:topLinePunct w:val="0"/>
        <w:autoSpaceDE/>
        <w:autoSpaceDN/>
        <w:bidi w:val="0"/>
        <w:adjustRightInd/>
        <w:snapToGrid/>
        <w:spacing w:line="578" w:lineRule="exact"/>
        <w:ind w:left="0" w:hanging="105" w:hangingChars="50"/>
        <w:textAlignment w:val="auto"/>
        <w:rPr>
          <w:color w:val="000000" w:themeColor="text1"/>
          <w:w w:val="100"/>
          <w:sz w:val="32"/>
          <w:szCs w:val="32"/>
        </w:rPr>
      </w:pPr>
      <w:r>
        <w:rPr>
          <w:w w:val="100"/>
        </w:rPr>
        <w:fldChar w:fldCharType="begin"/>
      </w:r>
      <w:r>
        <w:rPr>
          <w:w w:val="100"/>
        </w:rPr>
        <w:instrText xml:space="preserve"> HYPERLINK \l "_Toc3391976" </w:instrText>
      </w:r>
      <w:r>
        <w:rPr>
          <w:w w:val="100"/>
        </w:rPr>
        <w:fldChar w:fldCharType="separate"/>
      </w:r>
      <w:r>
        <w:rPr>
          <w:color w:val="000000" w:themeColor="text1"/>
          <w:w w:val="100"/>
          <w:sz w:val="32"/>
          <w:szCs w:val="32"/>
        </w:rPr>
        <w:t>保证金承诺书（样本）</w:t>
      </w:r>
      <w:r>
        <w:rPr>
          <w:color w:val="000000" w:themeColor="text1"/>
          <w:w w:val="100"/>
          <w:sz w:val="32"/>
          <w:szCs w:val="32"/>
        </w:rPr>
        <w:tab/>
      </w:r>
      <w:r>
        <w:rPr>
          <w:color w:val="000000" w:themeColor="text1"/>
          <w:w w:val="100"/>
          <w:sz w:val="32"/>
          <w:szCs w:val="32"/>
        </w:rPr>
        <w:t>2</w:t>
      </w:r>
      <w:r>
        <w:rPr>
          <w:color w:val="000000" w:themeColor="text1"/>
          <w:w w:val="100"/>
          <w:sz w:val="32"/>
          <w:szCs w:val="32"/>
        </w:rPr>
        <w:fldChar w:fldCharType="end"/>
      </w:r>
      <w:r>
        <w:rPr>
          <w:rFonts w:hint="eastAsia"/>
          <w:color w:val="000000" w:themeColor="text1"/>
          <w:w w:val="100"/>
          <w:sz w:val="32"/>
          <w:szCs w:val="32"/>
          <w:lang w:val="en-US" w:eastAsia="zh-CN"/>
        </w:rPr>
        <w:t>4</w:t>
      </w:r>
    </w:p>
    <w:p>
      <w:pPr>
        <w:keepNext w:val="0"/>
        <w:keepLines w:val="0"/>
        <w:pageBreakBefore w:val="0"/>
        <w:widowControl w:val="0"/>
        <w:numPr>
          <w:ilvl w:val="0"/>
          <w:numId w:val="1"/>
        </w:numPr>
        <w:tabs>
          <w:tab w:val="left" w:leader="middleDot" w:pos="7980"/>
        </w:tabs>
        <w:kinsoku/>
        <w:wordWrap/>
        <w:overflowPunct/>
        <w:topLinePunct w:val="0"/>
        <w:autoSpaceDE/>
        <w:autoSpaceDN/>
        <w:bidi w:val="0"/>
        <w:adjustRightInd/>
        <w:snapToGrid/>
        <w:spacing w:line="578" w:lineRule="exact"/>
        <w:ind w:left="0" w:hanging="105" w:hangingChars="50"/>
        <w:textAlignment w:val="auto"/>
        <w:rPr>
          <w:color w:val="000000" w:themeColor="text1"/>
          <w:w w:val="100"/>
          <w:sz w:val="32"/>
          <w:szCs w:val="32"/>
        </w:rPr>
      </w:pPr>
      <w:r>
        <w:rPr>
          <w:w w:val="100"/>
        </w:rPr>
        <w:fldChar w:fldCharType="begin"/>
      </w:r>
      <w:r>
        <w:rPr>
          <w:w w:val="100"/>
        </w:rPr>
        <w:instrText xml:space="preserve"> HYPERLINK \l "_Toc3391977" </w:instrText>
      </w:r>
      <w:r>
        <w:rPr>
          <w:w w:val="100"/>
        </w:rPr>
        <w:fldChar w:fldCharType="separate"/>
      </w:r>
      <w:r>
        <w:rPr>
          <w:color w:val="000000" w:themeColor="text1"/>
          <w:w w:val="100"/>
          <w:sz w:val="32"/>
          <w:szCs w:val="32"/>
        </w:rPr>
        <w:t>法定代表人身份证明书（样本）</w:t>
      </w:r>
      <w:r>
        <w:rPr>
          <w:color w:val="000000" w:themeColor="text1"/>
          <w:w w:val="100"/>
          <w:sz w:val="32"/>
          <w:szCs w:val="32"/>
        </w:rPr>
        <w:tab/>
      </w:r>
      <w:r>
        <w:rPr>
          <w:color w:val="000000" w:themeColor="text1"/>
          <w:w w:val="100"/>
          <w:sz w:val="32"/>
          <w:szCs w:val="32"/>
        </w:rPr>
        <w:t>2</w:t>
      </w:r>
      <w:r>
        <w:rPr>
          <w:color w:val="000000" w:themeColor="text1"/>
          <w:w w:val="100"/>
          <w:sz w:val="32"/>
          <w:szCs w:val="32"/>
        </w:rPr>
        <w:fldChar w:fldCharType="end"/>
      </w:r>
      <w:r>
        <w:rPr>
          <w:rFonts w:hint="eastAsia"/>
          <w:color w:val="000000" w:themeColor="text1"/>
          <w:w w:val="100"/>
          <w:sz w:val="32"/>
          <w:szCs w:val="32"/>
          <w:lang w:val="en-US" w:eastAsia="zh-CN"/>
        </w:rPr>
        <w:t>5</w:t>
      </w:r>
    </w:p>
    <w:p>
      <w:pPr>
        <w:keepNext w:val="0"/>
        <w:keepLines w:val="0"/>
        <w:pageBreakBefore w:val="0"/>
        <w:widowControl w:val="0"/>
        <w:numPr>
          <w:ilvl w:val="0"/>
          <w:numId w:val="1"/>
        </w:numPr>
        <w:tabs>
          <w:tab w:val="left" w:leader="middleDot" w:pos="7980"/>
        </w:tabs>
        <w:kinsoku/>
        <w:wordWrap/>
        <w:overflowPunct/>
        <w:topLinePunct w:val="0"/>
        <w:autoSpaceDE/>
        <w:autoSpaceDN/>
        <w:bidi w:val="0"/>
        <w:adjustRightInd/>
        <w:snapToGrid/>
        <w:spacing w:line="578" w:lineRule="exact"/>
        <w:ind w:left="0" w:hanging="105" w:hangingChars="50"/>
        <w:textAlignment w:val="auto"/>
        <w:rPr>
          <w:color w:val="000000" w:themeColor="text1"/>
          <w:w w:val="100"/>
          <w:sz w:val="32"/>
          <w:szCs w:val="32"/>
        </w:rPr>
      </w:pPr>
      <w:r>
        <w:rPr>
          <w:w w:val="100"/>
        </w:rPr>
        <w:fldChar w:fldCharType="begin"/>
      </w:r>
      <w:r>
        <w:rPr>
          <w:w w:val="100"/>
        </w:rPr>
        <w:instrText xml:space="preserve"> HYPERLINK \l "_Toc3391978" </w:instrText>
      </w:r>
      <w:r>
        <w:rPr>
          <w:w w:val="100"/>
        </w:rPr>
        <w:fldChar w:fldCharType="separate"/>
      </w:r>
      <w:r>
        <w:rPr>
          <w:color w:val="000000" w:themeColor="text1"/>
          <w:w w:val="100"/>
          <w:sz w:val="32"/>
          <w:szCs w:val="32"/>
        </w:rPr>
        <w:t>授权委托书（样本）</w:t>
      </w:r>
      <w:r>
        <w:rPr>
          <w:color w:val="000000" w:themeColor="text1"/>
          <w:w w:val="100"/>
          <w:sz w:val="32"/>
          <w:szCs w:val="32"/>
        </w:rPr>
        <w:tab/>
      </w:r>
      <w:r>
        <w:rPr>
          <w:color w:val="000000" w:themeColor="text1"/>
          <w:w w:val="100"/>
          <w:sz w:val="32"/>
          <w:szCs w:val="32"/>
        </w:rPr>
        <w:t>2</w:t>
      </w:r>
      <w:r>
        <w:rPr>
          <w:color w:val="000000" w:themeColor="text1"/>
          <w:w w:val="100"/>
          <w:sz w:val="32"/>
          <w:szCs w:val="32"/>
        </w:rPr>
        <w:fldChar w:fldCharType="end"/>
      </w:r>
      <w:r>
        <w:rPr>
          <w:rFonts w:hint="eastAsia"/>
          <w:color w:val="000000" w:themeColor="text1"/>
          <w:w w:val="100"/>
          <w:sz w:val="32"/>
          <w:szCs w:val="32"/>
          <w:lang w:val="en-US" w:eastAsia="zh-CN"/>
        </w:rPr>
        <w:t>6</w:t>
      </w:r>
    </w:p>
    <w:p>
      <w:pPr>
        <w:keepNext w:val="0"/>
        <w:keepLines w:val="0"/>
        <w:pageBreakBefore w:val="0"/>
        <w:widowControl w:val="0"/>
        <w:numPr>
          <w:ilvl w:val="0"/>
          <w:numId w:val="1"/>
        </w:numPr>
        <w:tabs>
          <w:tab w:val="left" w:leader="middleDot" w:pos="7980"/>
        </w:tabs>
        <w:kinsoku/>
        <w:wordWrap/>
        <w:overflowPunct/>
        <w:topLinePunct w:val="0"/>
        <w:autoSpaceDE/>
        <w:autoSpaceDN/>
        <w:bidi w:val="0"/>
        <w:adjustRightInd/>
        <w:snapToGrid/>
        <w:spacing w:line="578" w:lineRule="exact"/>
        <w:ind w:left="0" w:hanging="105" w:hangingChars="50"/>
        <w:textAlignment w:val="auto"/>
        <w:rPr>
          <w:color w:val="000000" w:themeColor="text1"/>
          <w:w w:val="100"/>
          <w:sz w:val="32"/>
          <w:szCs w:val="32"/>
        </w:rPr>
      </w:pPr>
      <w:r>
        <w:rPr>
          <w:w w:val="100"/>
        </w:rPr>
        <w:fldChar w:fldCharType="begin"/>
      </w:r>
      <w:r>
        <w:rPr>
          <w:w w:val="100"/>
        </w:rPr>
        <w:instrText xml:space="preserve"> HYPERLINK \l "_Toc3391979" </w:instrText>
      </w:r>
      <w:r>
        <w:rPr>
          <w:w w:val="100"/>
        </w:rPr>
        <w:fldChar w:fldCharType="separate"/>
      </w:r>
      <w:r>
        <w:rPr>
          <w:color w:val="000000" w:themeColor="text1"/>
          <w:w w:val="100"/>
          <w:sz w:val="32"/>
          <w:szCs w:val="32"/>
        </w:rPr>
        <w:t>成交确认书（样本）</w:t>
      </w:r>
      <w:r>
        <w:rPr>
          <w:color w:val="000000" w:themeColor="text1"/>
          <w:w w:val="100"/>
          <w:sz w:val="32"/>
          <w:szCs w:val="32"/>
        </w:rPr>
        <w:tab/>
      </w:r>
      <w:r>
        <w:rPr>
          <w:color w:val="000000" w:themeColor="text1"/>
          <w:w w:val="100"/>
          <w:sz w:val="32"/>
          <w:szCs w:val="32"/>
        </w:rPr>
        <w:t>2</w:t>
      </w:r>
      <w:r>
        <w:rPr>
          <w:color w:val="000000" w:themeColor="text1"/>
          <w:w w:val="100"/>
          <w:sz w:val="32"/>
          <w:szCs w:val="32"/>
        </w:rPr>
        <w:fldChar w:fldCharType="end"/>
      </w:r>
      <w:r>
        <w:rPr>
          <w:rFonts w:hint="eastAsia"/>
          <w:color w:val="000000" w:themeColor="text1"/>
          <w:w w:val="100"/>
          <w:sz w:val="32"/>
          <w:szCs w:val="32"/>
          <w:lang w:val="en-US" w:eastAsia="zh-CN"/>
        </w:rPr>
        <w:t>7</w:t>
      </w:r>
    </w:p>
    <w:p>
      <w:pPr>
        <w:keepNext w:val="0"/>
        <w:keepLines w:val="0"/>
        <w:pageBreakBefore w:val="0"/>
        <w:widowControl w:val="0"/>
        <w:numPr>
          <w:ilvl w:val="0"/>
          <w:numId w:val="1"/>
        </w:numPr>
        <w:tabs>
          <w:tab w:val="left" w:leader="middleDot" w:pos="7980"/>
        </w:tabs>
        <w:kinsoku/>
        <w:wordWrap/>
        <w:overflowPunct/>
        <w:topLinePunct w:val="0"/>
        <w:autoSpaceDE/>
        <w:autoSpaceDN/>
        <w:bidi w:val="0"/>
        <w:adjustRightInd/>
        <w:snapToGrid/>
        <w:spacing w:line="578" w:lineRule="exact"/>
        <w:ind w:left="0" w:hanging="105" w:hangingChars="50"/>
        <w:textAlignment w:val="auto"/>
        <w:rPr>
          <w:color w:val="000000" w:themeColor="text1"/>
          <w:w w:val="100"/>
          <w:sz w:val="32"/>
          <w:szCs w:val="32"/>
        </w:rPr>
      </w:pPr>
      <w:r>
        <w:rPr>
          <w:w w:val="100"/>
        </w:rPr>
        <w:fldChar w:fldCharType="begin"/>
      </w:r>
      <w:r>
        <w:rPr>
          <w:w w:val="100"/>
        </w:rPr>
        <w:instrText xml:space="preserve"> HYPERLINK \l "_Toc3391980" </w:instrText>
      </w:r>
      <w:r>
        <w:rPr>
          <w:w w:val="100"/>
        </w:rPr>
        <w:fldChar w:fldCharType="separate"/>
      </w:r>
      <w:r>
        <w:rPr>
          <w:color w:val="000000" w:themeColor="text1"/>
          <w:w w:val="100"/>
          <w:sz w:val="32"/>
          <w:szCs w:val="32"/>
        </w:rPr>
        <w:t>国有建设用地使用权出让合同（样本）</w:t>
      </w:r>
      <w:r>
        <w:rPr>
          <w:color w:val="000000" w:themeColor="text1"/>
          <w:w w:val="100"/>
          <w:sz w:val="32"/>
          <w:szCs w:val="32"/>
        </w:rPr>
        <w:tab/>
      </w:r>
      <w:r>
        <w:rPr>
          <w:color w:val="000000" w:themeColor="text1"/>
          <w:w w:val="100"/>
          <w:sz w:val="32"/>
          <w:szCs w:val="32"/>
        </w:rPr>
        <w:fldChar w:fldCharType="end"/>
      </w:r>
      <w:r>
        <w:rPr>
          <w:color w:val="000000" w:themeColor="text1"/>
          <w:w w:val="100"/>
          <w:sz w:val="32"/>
          <w:szCs w:val="32"/>
        </w:rPr>
        <w:t>2</w:t>
      </w:r>
      <w:r>
        <w:rPr>
          <w:rFonts w:hint="eastAsia"/>
          <w:color w:val="000000" w:themeColor="text1"/>
          <w:w w:val="100"/>
          <w:sz w:val="32"/>
          <w:szCs w:val="32"/>
          <w:lang w:val="en-US" w:eastAsia="zh-CN"/>
        </w:rPr>
        <w:t>8</w:t>
      </w:r>
      <w:r>
        <w:rPr>
          <w:color w:val="000000" w:themeColor="text1"/>
          <w:w w:val="100"/>
          <w:sz w:val="32"/>
          <w:szCs w:val="32"/>
        </w:rPr>
        <w:t>-4</w:t>
      </w:r>
      <w:r>
        <w:rPr>
          <w:rFonts w:hint="eastAsia"/>
          <w:color w:val="000000" w:themeColor="text1"/>
          <w:w w:val="100"/>
          <w:sz w:val="32"/>
          <w:szCs w:val="32"/>
          <w:lang w:val="en-US" w:eastAsia="zh-CN"/>
        </w:rPr>
        <w:t>1</w:t>
      </w:r>
    </w:p>
    <w:p>
      <w:pPr>
        <w:keepNext w:val="0"/>
        <w:keepLines w:val="0"/>
        <w:pageBreakBefore w:val="0"/>
        <w:widowControl w:val="0"/>
        <w:numPr>
          <w:ilvl w:val="0"/>
          <w:numId w:val="1"/>
        </w:numPr>
        <w:tabs>
          <w:tab w:val="left" w:leader="middleDot" w:pos="7980"/>
        </w:tabs>
        <w:kinsoku/>
        <w:wordWrap/>
        <w:overflowPunct/>
        <w:topLinePunct w:val="0"/>
        <w:autoSpaceDE/>
        <w:autoSpaceDN/>
        <w:bidi w:val="0"/>
        <w:adjustRightInd/>
        <w:snapToGrid/>
        <w:spacing w:line="578" w:lineRule="exact"/>
        <w:ind w:left="0" w:hanging="105" w:hangingChars="50"/>
        <w:textAlignment w:val="auto"/>
        <w:rPr>
          <w:color w:val="000000" w:themeColor="text1"/>
          <w:w w:val="100"/>
          <w:sz w:val="32"/>
          <w:szCs w:val="32"/>
        </w:rPr>
      </w:pPr>
      <w:r>
        <w:rPr>
          <w:w w:val="100"/>
        </w:rPr>
        <w:fldChar w:fldCharType="begin"/>
      </w:r>
      <w:r>
        <w:rPr>
          <w:w w:val="100"/>
        </w:rPr>
        <w:instrText xml:space="preserve"> HYPERLINK \l "_Toc3391981" </w:instrText>
      </w:r>
      <w:r>
        <w:rPr>
          <w:w w:val="100"/>
        </w:rPr>
        <w:fldChar w:fldCharType="separate"/>
      </w:r>
      <w:r>
        <w:rPr>
          <w:color w:val="000000" w:themeColor="text1"/>
          <w:w w:val="100"/>
          <w:sz w:val="32"/>
          <w:szCs w:val="32"/>
        </w:rPr>
        <w:t>其他相关文件</w:t>
      </w:r>
      <w:r>
        <w:rPr>
          <w:color w:val="000000" w:themeColor="text1"/>
          <w:w w:val="100"/>
          <w:sz w:val="32"/>
          <w:szCs w:val="32"/>
        </w:rPr>
        <w:tab/>
      </w:r>
      <w:r>
        <w:rPr>
          <w:color w:val="000000" w:themeColor="text1"/>
          <w:w w:val="100"/>
          <w:sz w:val="32"/>
          <w:szCs w:val="32"/>
        </w:rPr>
        <w:fldChar w:fldCharType="end"/>
      </w:r>
      <w:r>
        <w:rPr>
          <w:color w:val="000000" w:themeColor="text1"/>
          <w:w w:val="100"/>
          <w:sz w:val="32"/>
          <w:szCs w:val="32"/>
        </w:rPr>
        <w:t>4</w:t>
      </w:r>
      <w:r>
        <w:rPr>
          <w:rFonts w:hint="eastAsia"/>
          <w:color w:val="000000" w:themeColor="text1"/>
          <w:w w:val="100"/>
          <w:sz w:val="32"/>
          <w:szCs w:val="32"/>
          <w:lang w:val="en-US" w:eastAsia="zh-CN"/>
        </w:rPr>
        <w:t>2</w:t>
      </w:r>
      <w:r>
        <w:rPr>
          <w:color w:val="000000" w:themeColor="text1"/>
          <w:w w:val="100"/>
          <w:sz w:val="32"/>
          <w:szCs w:val="32"/>
        </w:rPr>
        <w:t>-4</w:t>
      </w:r>
      <w:r>
        <w:rPr>
          <w:rFonts w:hint="eastAsia"/>
          <w:color w:val="000000" w:themeColor="text1"/>
          <w:w w:val="100"/>
          <w:sz w:val="32"/>
          <w:szCs w:val="32"/>
          <w:lang w:val="en-US" w:eastAsia="zh-CN"/>
        </w:rPr>
        <w:t>5</w:t>
      </w:r>
    </w:p>
    <w:p>
      <w:pPr>
        <w:keepNext w:val="0"/>
        <w:keepLines w:val="0"/>
        <w:pageBreakBefore w:val="0"/>
        <w:widowControl w:val="0"/>
        <w:kinsoku/>
        <w:wordWrap/>
        <w:overflowPunct/>
        <w:topLinePunct w:val="0"/>
        <w:autoSpaceDE/>
        <w:autoSpaceDN/>
        <w:bidi w:val="0"/>
        <w:adjustRightInd/>
        <w:snapToGrid/>
        <w:spacing w:line="578" w:lineRule="exact"/>
        <w:ind w:left="0"/>
        <w:textAlignment w:val="auto"/>
        <w:rPr>
          <w:rFonts w:eastAsia="黑体"/>
          <w:color w:val="000000" w:themeColor="text1"/>
          <w:sz w:val="48"/>
          <w:szCs w:val="48"/>
        </w:rPr>
      </w:pPr>
      <w:r>
        <w:rPr>
          <w:color w:val="000000" w:themeColor="text1"/>
          <w:w w:val="100"/>
          <w:sz w:val="32"/>
          <w:szCs w:val="32"/>
        </w:rPr>
        <w:fldChar w:fldCharType="end"/>
      </w:r>
    </w:p>
    <w:p>
      <w:pPr>
        <w:tabs>
          <w:tab w:val="left" w:leader="middleDot" w:pos="6720"/>
        </w:tabs>
        <w:ind w:left="105" w:hanging="105" w:hangingChars="50"/>
        <w:jc w:val="center"/>
        <w:rPr>
          <w:color w:val="000000" w:themeColor="text1"/>
        </w:rPr>
      </w:pPr>
    </w:p>
    <w:p>
      <w:pPr>
        <w:rPr>
          <w:color w:val="000000" w:themeColor="text1"/>
        </w:rPr>
      </w:pPr>
    </w:p>
    <w:p>
      <w:pPr>
        <w:pStyle w:val="25"/>
        <w:spacing w:line="492" w:lineRule="atLeast"/>
        <w:ind w:left="0"/>
        <w:rPr>
          <w:rFonts w:eastAsia="Dotum"/>
          <w:b/>
          <w:color w:val="000000" w:themeColor="text1"/>
          <w:spacing w:val="-5"/>
          <w:sz w:val="44"/>
          <w:szCs w:val="44"/>
        </w:rPr>
        <w:sectPr>
          <w:headerReference r:id="rId3" w:type="default"/>
          <w:footerReference r:id="rId4" w:type="default"/>
          <w:footerReference r:id="rId5" w:type="even"/>
          <w:pgSz w:w="11906" w:h="16838"/>
          <w:pgMar w:top="1418" w:right="1418" w:bottom="1418" w:left="1701" w:header="851" w:footer="992" w:gutter="0"/>
          <w:pgNumType w:fmt="numberInDash"/>
          <w:cols w:space="720" w:num="1"/>
          <w:docGrid w:type="lines" w:linePitch="312" w:charSpace="0"/>
        </w:sectPr>
      </w:pPr>
    </w:p>
    <w:p>
      <w:pPr>
        <w:keepNext w:val="0"/>
        <w:keepLines w:val="0"/>
        <w:pageBreakBefore w:val="0"/>
        <w:widowControl w:val="0"/>
        <w:kinsoku/>
        <w:overflowPunct/>
        <w:topLinePunct w:val="0"/>
        <w:autoSpaceDE/>
        <w:autoSpaceDN/>
        <w:bidi w:val="0"/>
        <w:adjustRightInd/>
        <w:snapToGrid w:val="0"/>
        <w:spacing w:line="578" w:lineRule="exact"/>
        <w:ind w:left="0"/>
        <w:jc w:val="center"/>
        <w:textAlignment w:val="auto"/>
        <w:rPr>
          <w:rFonts w:hint="eastAsia" w:eastAsia="方正小标宋简体"/>
          <w:color w:val="000000" w:themeColor="text1"/>
          <w:sz w:val="44"/>
          <w:szCs w:val="44"/>
        </w:rPr>
      </w:pPr>
      <w:bookmarkStart w:id="0" w:name="_Toc3391970"/>
      <w:bookmarkStart w:id="1" w:name="_Toc3391741"/>
      <w:bookmarkStart w:id="2" w:name="OLE_LINK1"/>
      <w:bookmarkStart w:id="3" w:name="_Toc3391742"/>
      <w:bookmarkStart w:id="4" w:name="_Toc3391971"/>
      <w:r>
        <w:rPr>
          <w:rFonts w:hint="eastAsia" w:eastAsia="方正小标宋简体"/>
          <w:color w:val="000000" w:themeColor="text1"/>
          <w:sz w:val="44"/>
          <w:szCs w:val="44"/>
        </w:rPr>
        <w:t>达州市通川区自然资源局</w:t>
      </w:r>
    </w:p>
    <w:p>
      <w:pPr>
        <w:keepNext w:val="0"/>
        <w:keepLines w:val="0"/>
        <w:pageBreakBefore w:val="0"/>
        <w:widowControl w:val="0"/>
        <w:kinsoku/>
        <w:overflowPunct/>
        <w:topLinePunct w:val="0"/>
        <w:autoSpaceDE/>
        <w:autoSpaceDN/>
        <w:bidi w:val="0"/>
        <w:adjustRightInd/>
        <w:snapToGrid w:val="0"/>
        <w:spacing w:line="578" w:lineRule="exact"/>
        <w:ind w:left="0"/>
        <w:jc w:val="center"/>
        <w:textAlignment w:val="auto"/>
        <w:rPr>
          <w:rFonts w:eastAsia="方正小标宋简体"/>
          <w:color w:val="000000" w:themeColor="text1"/>
          <w:sz w:val="44"/>
          <w:szCs w:val="44"/>
        </w:rPr>
      </w:pPr>
      <w:r>
        <w:rPr>
          <w:rFonts w:eastAsia="方正小标宋简体"/>
          <w:color w:val="000000" w:themeColor="text1"/>
          <w:sz w:val="44"/>
          <w:szCs w:val="44"/>
        </w:rPr>
        <w:t>达州市公共资源交易服务中心</w:t>
      </w:r>
    </w:p>
    <w:p>
      <w:pPr>
        <w:pStyle w:val="12"/>
        <w:keepNext w:val="0"/>
        <w:keepLines w:val="0"/>
        <w:pageBreakBefore w:val="0"/>
        <w:widowControl w:val="0"/>
        <w:kinsoku/>
        <w:overflowPunct/>
        <w:topLinePunct w:val="0"/>
        <w:autoSpaceDE/>
        <w:autoSpaceDN/>
        <w:bidi w:val="0"/>
        <w:adjustRightInd/>
        <w:spacing w:before="0" w:after="0" w:line="578" w:lineRule="exact"/>
        <w:ind w:left="0"/>
        <w:textAlignment w:val="auto"/>
        <w:rPr>
          <w:rFonts w:ascii="Times New Roman" w:hAnsi="Times New Roman" w:eastAsia="方正小标宋简体"/>
          <w:b w:val="0"/>
          <w:color w:val="000000" w:themeColor="text1"/>
          <w:sz w:val="44"/>
          <w:szCs w:val="44"/>
        </w:rPr>
      </w:pPr>
      <w:r>
        <w:rPr>
          <w:rFonts w:ascii="Times New Roman" w:hAnsi="Times New Roman" w:eastAsia="方正小标宋简体"/>
          <w:b w:val="0"/>
          <w:color w:val="000000" w:themeColor="text1"/>
          <w:sz w:val="44"/>
          <w:szCs w:val="44"/>
        </w:rPr>
        <w:t>国有建设用地使用权拍卖出让公告</w:t>
      </w:r>
      <w:bookmarkEnd w:id="0"/>
      <w:bookmarkEnd w:id="1"/>
    </w:p>
    <w:p>
      <w:pPr>
        <w:keepNext w:val="0"/>
        <w:keepLines w:val="0"/>
        <w:pageBreakBefore w:val="0"/>
        <w:widowControl w:val="0"/>
        <w:kinsoku/>
        <w:overflowPunct/>
        <w:topLinePunct w:val="0"/>
        <w:autoSpaceDE/>
        <w:autoSpaceDN/>
        <w:bidi w:val="0"/>
        <w:adjustRightInd/>
        <w:snapToGrid w:val="0"/>
        <w:spacing w:line="578" w:lineRule="exact"/>
        <w:ind w:left="0"/>
        <w:jc w:val="center"/>
        <w:textAlignment w:val="auto"/>
        <w:rPr>
          <w:color w:val="000000" w:themeColor="text1"/>
          <w:sz w:val="28"/>
          <w:szCs w:val="28"/>
        </w:rPr>
      </w:pPr>
      <w:r>
        <w:rPr>
          <w:rFonts w:eastAsia="黑体"/>
          <w:sz w:val="28"/>
        </w:rPr>
        <w:t>DSTT（P）[2022]1号</w:t>
      </w:r>
    </w:p>
    <w:p>
      <w:pPr>
        <w:keepNext w:val="0"/>
        <w:keepLines w:val="0"/>
        <w:pageBreakBefore w:val="0"/>
        <w:widowControl w:val="0"/>
        <w:kinsoku/>
        <w:overflowPunct/>
        <w:topLinePunct w:val="0"/>
        <w:autoSpaceDE/>
        <w:autoSpaceDN/>
        <w:bidi w:val="0"/>
        <w:adjustRightInd/>
        <w:snapToGrid w:val="0"/>
        <w:spacing w:line="578" w:lineRule="exact"/>
        <w:ind w:left="0"/>
        <w:jc w:val="center"/>
        <w:textAlignment w:val="auto"/>
        <w:rPr>
          <w:color w:val="000000" w:themeColor="text1"/>
          <w:sz w:val="28"/>
          <w:szCs w:val="28"/>
        </w:rPr>
      </w:pPr>
    </w:p>
    <w:p>
      <w:pPr>
        <w:keepNext w:val="0"/>
        <w:keepLines w:val="0"/>
        <w:pageBreakBefore w:val="0"/>
        <w:widowControl w:val="0"/>
        <w:kinsoku/>
        <w:overflowPunct/>
        <w:topLinePunct w:val="0"/>
        <w:autoSpaceDE/>
        <w:autoSpaceDN/>
        <w:bidi w:val="0"/>
        <w:adjustRightInd/>
        <w:snapToGrid w:val="0"/>
        <w:spacing w:line="578" w:lineRule="exact"/>
        <w:ind w:left="0" w:firstLine="640" w:firstLineChars="200"/>
        <w:jc w:val="both"/>
        <w:textAlignment w:val="auto"/>
        <w:rPr>
          <w:rFonts w:eastAsia="仿宋"/>
          <w:color w:val="000000" w:themeColor="text1"/>
          <w:sz w:val="32"/>
          <w:szCs w:val="32"/>
        </w:rPr>
      </w:pPr>
      <w:r>
        <w:rPr>
          <w:rFonts w:eastAsia="仿宋"/>
          <w:color w:val="000000" w:themeColor="text1"/>
          <w:sz w:val="32"/>
          <w:szCs w:val="32"/>
        </w:rPr>
        <w:t>经</w:t>
      </w:r>
      <w:r>
        <w:rPr>
          <w:rFonts w:eastAsia="仿宋"/>
          <w:color w:val="000000" w:themeColor="text1"/>
          <w:sz w:val="32"/>
          <w:szCs w:val="32"/>
          <w:u w:val="single"/>
        </w:rPr>
        <w:t>达州市</w:t>
      </w:r>
      <w:r>
        <w:rPr>
          <w:rFonts w:hint="eastAsia" w:eastAsia="仿宋"/>
          <w:color w:val="000000" w:themeColor="text1"/>
          <w:sz w:val="32"/>
          <w:szCs w:val="32"/>
          <w:u w:val="single"/>
          <w:lang w:val="en-US" w:eastAsia="zh-CN"/>
        </w:rPr>
        <w:t>通川区</w:t>
      </w:r>
      <w:r>
        <w:rPr>
          <w:rFonts w:eastAsia="仿宋"/>
          <w:color w:val="000000" w:themeColor="text1"/>
          <w:sz w:val="32"/>
          <w:szCs w:val="32"/>
          <w:u w:val="single"/>
        </w:rPr>
        <w:t>人民政府</w:t>
      </w:r>
      <w:r>
        <w:rPr>
          <w:rFonts w:eastAsia="仿宋"/>
          <w:color w:val="000000" w:themeColor="text1"/>
          <w:sz w:val="32"/>
          <w:szCs w:val="32"/>
        </w:rPr>
        <w:t>批准，</w:t>
      </w:r>
      <w:r>
        <w:rPr>
          <w:rFonts w:hint="eastAsia" w:eastAsia="仿宋"/>
          <w:color w:val="000000" w:themeColor="text1"/>
          <w:sz w:val="32"/>
          <w:szCs w:val="32"/>
          <w:u w:val="single"/>
        </w:rPr>
        <w:t>达州市通川区自然资源局</w:t>
      </w:r>
      <w:r>
        <w:rPr>
          <w:rFonts w:eastAsia="仿宋"/>
          <w:color w:val="000000" w:themeColor="text1"/>
          <w:sz w:val="32"/>
          <w:szCs w:val="32"/>
        </w:rPr>
        <w:t>决定以拍卖方式出让</w:t>
      </w:r>
      <w:r>
        <w:rPr>
          <w:rFonts w:eastAsia="仿宋"/>
          <w:color w:val="000000" w:themeColor="text1"/>
          <w:sz w:val="32"/>
          <w:szCs w:val="32"/>
          <w:u w:val="single"/>
        </w:rPr>
        <w:t>达州市达钢（老厂）片区B09-01地块、达州市达钢（老厂）片区C02-03地块、达州市达钢（老厂）片区C05-03地块</w:t>
      </w:r>
      <w:r>
        <w:rPr>
          <w:rFonts w:eastAsia="仿宋"/>
          <w:color w:val="000000" w:themeColor="text1"/>
          <w:sz w:val="32"/>
          <w:szCs w:val="32"/>
        </w:rPr>
        <w:t>国有建设用地使用权。</w:t>
      </w:r>
      <w:r>
        <w:rPr>
          <w:rFonts w:eastAsia="仿宋"/>
          <w:color w:val="000000" w:themeColor="text1"/>
          <w:sz w:val="32"/>
          <w:szCs w:val="32"/>
          <w:u w:val="single"/>
        </w:rPr>
        <w:t>达州市公共资源交易服务中心</w:t>
      </w:r>
      <w:r>
        <w:rPr>
          <w:rFonts w:eastAsia="仿宋"/>
          <w:color w:val="000000" w:themeColor="text1"/>
          <w:sz w:val="32"/>
          <w:szCs w:val="32"/>
        </w:rPr>
        <w:t>受出让人委托对</w:t>
      </w:r>
      <w:r>
        <w:rPr>
          <w:rFonts w:eastAsia="仿宋"/>
          <w:color w:val="000000" w:themeColor="text1"/>
          <w:kern w:val="0"/>
          <w:sz w:val="32"/>
          <w:szCs w:val="32"/>
        </w:rPr>
        <w:t>该</w:t>
      </w:r>
      <w:r>
        <w:rPr>
          <w:rFonts w:hint="eastAsia" w:eastAsia="仿宋"/>
          <w:color w:val="000000" w:themeColor="text1"/>
          <w:kern w:val="0"/>
          <w:sz w:val="32"/>
          <w:szCs w:val="32"/>
          <w:lang w:val="en-US" w:eastAsia="zh-CN"/>
        </w:rPr>
        <w:t>三宗</w:t>
      </w:r>
      <w:r>
        <w:rPr>
          <w:rFonts w:eastAsia="仿宋"/>
          <w:color w:val="000000" w:themeColor="text1"/>
          <w:kern w:val="0"/>
          <w:sz w:val="32"/>
          <w:szCs w:val="32"/>
        </w:rPr>
        <w:t>地块</w:t>
      </w:r>
      <w:r>
        <w:rPr>
          <w:rFonts w:eastAsia="仿宋"/>
          <w:color w:val="000000" w:themeColor="text1"/>
          <w:sz w:val="32"/>
          <w:szCs w:val="32"/>
        </w:rPr>
        <w:t>组织拍卖。现将有关事项公告如下：</w:t>
      </w:r>
    </w:p>
    <w:p>
      <w:pPr>
        <w:keepNext w:val="0"/>
        <w:keepLines w:val="0"/>
        <w:pageBreakBefore w:val="0"/>
        <w:widowControl w:val="0"/>
        <w:kinsoku/>
        <w:wordWrap w:val="0"/>
        <w:overflowPunct/>
        <w:topLinePunct w:val="0"/>
        <w:autoSpaceDE/>
        <w:autoSpaceDN/>
        <w:bidi w:val="0"/>
        <w:adjustRightInd/>
        <w:spacing w:line="578" w:lineRule="exact"/>
        <w:ind w:firstLine="640" w:firstLineChars="200"/>
        <w:textAlignment w:val="auto"/>
        <w:rPr>
          <w:rFonts w:eastAsia="仿宋"/>
          <w:color w:val="000000" w:themeColor="text1"/>
          <w:sz w:val="32"/>
          <w:szCs w:val="32"/>
        </w:rPr>
      </w:pPr>
      <w:r>
        <w:rPr>
          <w:rFonts w:hint="eastAsia" w:eastAsia="仿宋"/>
          <w:color w:val="000000" w:themeColor="text1"/>
          <w:sz w:val="32"/>
          <w:szCs w:val="32"/>
          <w:lang w:val="en-US" w:eastAsia="zh-CN"/>
        </w:rPr>
        <w:t>一、</w:t>
      </w:r>
      <w:r>
        <w:rPr>
          <w:rFonts w:eastAsia="仿宋"/>
          <w:color w:val="000000" w:themeColor="text1"/>
          <w:sz w:val="32"/>
          <w:szCs w:val="32"/>
        </w:rPr>
        <w:t>拍卖出让地块的基本情况和规划指标要求：</w:t>
      </w:r>
    </w:p>
    <w:tbl>
      <w:tblPr>
        <w:tblStyle w:val="13"/>
        <w:tblW w:w="573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59"/>
        <w:gridCol w:w="866"/>
        <w:gridCol w:w="795"/>
        <w:gridCol w:w="856"/>
        <w:gridCol w:w="600"/>
        <w:gridCol w:w="793"/>
        <w:gridCol w:w="570"/>
        <w:gridCol w:w="572"/>
        <w:gridCol w:w="686"/>
        <w:gridCol w:w="985"/>
        <w:gridCol w:w="945"/>
        <w:gridCol w:w="449"/>
        <w:gridCol w:w="516"/>
        <w:gridCol w:w="639"/>
        <w:gridCol w:w="4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3" w:hRule="atLeast"/>
          <w:jc w:val="center"/>
        </w:trPr>
        <w:tc>
          <w:tcPr>
            <w:tcW w:w="226" w:type="pct"/>
            <w:vMerge w:val="restart"/>
            <w:tcBorders>
              <w:top w:val="single" w:color="000000" w:sz="4" w:space="0"/>
              <w:left w:val="single" w:color="000000" w:sz="4" w:space="0"/>
            </w:tcBorders>
            <w:vAlign w:val="center"/>
          </w:tcPr>
          <w:p>
            <w:pPr>
              <w:spacing w:line="240" w:lineRule="exact"/>
              <w:jc w:val="center"/>
              <w:rPr>
                <w:rFonts w:eastAsia="微软雅黑"/>
                <w:b/>
                <w:bCs/>
                <w:color w:val="000000" w:themeColor="text1"/>
                <w:sz w:val="15"/>
                <w:szCs w:val="15"/>
              </w:rPr>
            </w:pPr>
            <w:r>
              <w:rPr>
                <w:rFonts w:eastAsia="微软雅黑"/>
                <w:b/>
                <w:bCs/>
                <w:color w:val="000000" w:themeColor="text1"/>
                <w:sz w:val="15"/>
                <w:szCs w:val="15"/>
              </w:rPr>
              <w:t>序号</w:t>
            </w:r>
          </w:p>
        </w:tc>
        <w:tc>
          <w:tcPr>
            <w:tcW w:w="426" w:type="pct"/>
            <w:vMerge w:val="restart"/>
            <w:tcBorders>
              <w:top w:val="single" w:color="000000" w:sz="4" w:space="0"/>
              <w:right w:val="single" w:color="000000" w:sz="4" w:space="0"/>
            </w:tcBorders>
            <w:vAlign w:val="center"/>
          </w:tcPr>
          <w:p>
            <w:pPr>
              <w:spacing w:line="240" w:lineRule="exact"/>
              <w:jc w:val="center"/>
              <w:rPr>
                <w:rFonts w:eastAsia="微软雅黑"/>
                <w:b/>
                <w:bCs/>
                <w:color w:val="000000" w:themeColor="text1"/>
                <w:sz w:val="15"/>
                <w:szCs w:val="15"/>
              </w:rPr>
            </w:pPr>
            <w:r>
              <w:rPr>
                <w:rFonts w:eastAsia="微软雅黑"/>
                <w:b/>
                <w:bCs/>
                <w:color w:val="000000" w:themeColor="text1"/>
                <w:sz w:val="15"/>
                <w:szCs w:val="15"/>
              </w:rPr>
              <w:t>地块</w:t>
            </w:r>
          </w:p>
          <w:p>
            <w:pPr>
              <w:spacing w:line="240" w:lineRule="exact"/>
              <w:jc w:val="center"/>
              <w:rPr>
                <w:rFonts w:eastAsia="微软雅黑"/>
                <w:b/>
                <w:bCs/>
                <w:color w:val="000000" w:themeColor="text1"/>
                <w:sz w:val="15"/>
                <w:szCs w:val="15"/>
              </w:rPr>
            </w:pPr>
            <w:r>
              <w:rPr>
                <w:rFonts w:eastAsia="微软雅黑"/>
                <w:b/>
                <w:bCs/>
                <w:color w:val="000000" w:themeColor="text1"/>
                <w:sz w:val="15"/>
                <w:szCs w:val="15"/>
              </w:rPr>
              <w:t>编号</w:t>
            </w:r>
          </w:p>
        </w:tc>
        <w:tc>
          <w:tcPr>
            <w:tcW w:w="391" w:type="pct"/>
            <w:vMerge w:val="restart"/>
            <w:tcBorders>
              <w:top w:val="single" w:color="000000" w:sz="4" w:space="0"/>
              <w:right w:val="single" w:color="000000" w:sz="4" w:space="0"/>
            </w:tcBorders>
            <w:vAlign w:val="center"/>
          </w:tcPr>
          <w:p>
            <w:pPr>
              <w:spacing w:line="240" w:lineRule="exact"/>
              <w:jc w:val="center"/>
              <w:rPr>
                <w:rFonts w:eastAsia="微软雅黑"/>
                <w:b/>
                <w:bCs/>
                <w:color w:val="000000" w:themeColor="text1"/>
                <w:sz w:val="15"/>
                <w:szCs w:val="15"/>
              </w:rPr>
            </w:pPr>
            <w:r>
              <w:rPr>
                <w:rFonts w:eastAsia="微软雅黑"/>
                <w:b/>
                <w:bCs/>
                <w:color w:val="000000" w:themeColor="text1"/>
                <w:sz w:val="15"/>
                <w:szCs w:val="15"/>
              </w:rPr>
              <w:t>土地</w:t>
            </w:r>
          </w:p>
          <w:p>
            <w:pPr>
              <w:spacing w:line="240" w:lineRule="exact"/>
              <w:jc w:val="center"/>
              <w:rPr>
                <w:rFonts w:eastAsia="微软雅黑"/>
                <w:b/>
                <w:bCs/>
                <w:color w:val="000000" w:themeColor="text1"/>
                <w:sz w:val="15"/>
                <w:szCs w:val="15"/>
              </w:rPr>
            </w:pPr>
            <w:r>
              <w:rPr>
                <w:rFonts w:eastAsia="微软雅黑"/>
                <w:b/>
                <w:bCs/>
                <w:color w:val="000000" w:themeColor="text1"/>
                <w:sz w:val="15"/>
                <w:szCs w:val="15"/>
              </w:rPr>
              <w:t>位置</w:t>
            </w:r>
          </w:p>
        </w:tc>
        <w:tc>
          <w:tcPr>
            <w:tcW w:w="421" w:type="pct"/>
            <w:vMerge w:val="restart"/>
            <w:tcBorders>
              <w:top w:val="single" w:color="000000" w:sz="4" w:space="0"/>
              <w:right w:val="single" w:color="000000" w:sz="4" w:space="0"/>
            </w:tcBorders>
            <w:vAlign w:val="center"/>
          </w:tcPr>
          <w:p>
            <w:pPr>
              <w:spacing w:line="240" w:lineRule="exact"/>
              <w:jc w:val="center"/>
              <w:rPr>
                <w:rFonts w:eastAsia="微软雅黑"/>
                <w:b/>
                <w:bCs/>
                <w:color w:val="000000" w:themeColor="text1"/>
                <w:sz w:val="15"/>
                <w:szCs w:val="15"/>
              </w:rPr>
            </w:pPr>
            <w:r>
              <w:rPr>
                <w:rFonts w:eastAsia="微软雅黑"/>
                <w:b/>
                <w:bCs/>
                <w:color w:val="000000" w:themeColor="text1"/>
                <w:sz w:val="15"/>
                <w:szCs w:val="15"/>
              </w:rPr>
              <w:t>土地出让面积(㎡）</w:t>
            </w:r>
          </w:p>
        </w:tc>
        <w:tc>
          <w:tcPr>
            <w:tcW w:w="295" w:type="pct"/>
            <w:vMerge w:val="restart"/>
            <w:tcBorders>
              <w:top w:val="single" w:color="000000" w:sz="4" w:space="0"/>
              <w:right w:val="single" w:color="000000" w:sz="4" w:space="0"/>
            </w:tcBorders>
            <w:vAlign w:val="center"/>
          </w:tcPr>
          <w:p>
            <w:pPr>
              <w:spacing w:line="240" w:lineRule="exact"/>
              <w:jc w:val="center"/>
              <w:rPr>
                <w:rFonts w:eastAsia="微软雅黑"/>
                <w:b/>
                <w:bCs/>
                <w:color w:val="000000" w:themeColor="text1"/>
                <w:sz w:val="15"/>
                <w:szCs w:val="15"/>
              </w:rPr>
            </w:pPr>
            <w:r>
              <w:rPr>
                <w:rFonts w:eastAsia="微软雅黑"/>
                <w:b/>
                <w:bCs/>
                <w:color w:val="000000" w:themeColor="text1"/>
                <w:sz w:val="15"/>
                <w:szCs w:val="15"/>
              </w:rPr>
              <w:t>土地</w:t>
            </w:r>
          </w:p>
          <w:p>
            <w:pPr>
              <w:spacing w:line="240" w:lineRule="exact"/>
              <w:jc w:val="center"/>
              <w:rPr>
                <w:rFonts w:eastAsia="微软雅黑"/>
                <w:b/>
                <w:bCs/>
                <w:color w:val="000000" w:themeColor="text1"/>
                <w:sz w:val="15"/>
                <w:szCs w:val="15"/>
              </w:rPr>
            </w:pPr>
            <w:r>
              <w:rPr>
                <w:rFonts w:eastAsia="微软雅黑"/>
                <w:b/>
                <w:bCs/>
                <w:color w:val="000000" w:themeColor="text1"/>
                <w:sz w:val="15"/>
                <w:szCs w:val="15"/>
              </w:rPr>
              <w:t>用途</w:t>
            </w:r>
          </w:p>
        </w:tc>
        <w:tc>
          <w:tcPr>
            <w:tcW w:w="2240" w:type="pct"/>
            <w:gridSpan w:val="6"/>
            <w:tcBorders>
              <w:top w:val="single" w:color="000000" w:sz="4" w:space="0"/>
              <w:bottom w:val="single" w:color="000000" w:sz="4" w:space="0"/>
              <w:right w:val="single" w:color="000000" w:sz="4" w:space="0"/>
            </w:tcBorders>
            <w:vAlign w:val="center"/>
          </w:tcPr>
          <w:p>
            <w:pPr>
              <w:spacing w:line="240" w:lineRule="exact"/>
              <w:jc w:val="center"/>
              <w:rPr>
                <w:rFonts w:eastAsia="微软雅黑"/>
                <w:b/>
                <w:bCs/>
                <w:color w:val="000000" w:themeColor="text1"/>
                <w:sz w:val="15"/>
                <w:szCs w:val="15"/>
              </w:rPr>
            </w:pPr>
            <w:r>
              <w:rPr>
                <w:rFonts w:eastAsia="微软雅黑"/>
                <w:b/>
                <w:bCs/>
                <w:color w:val="000000" w:themeColor="text1"/>
                <w:sz w:val="15"/>
                <w:szCs w:val="15"/>
              </w:rPr>
              <w:t>规划指标要求</w:t>
            </w:r>
          </w:p>
        </w:tc>
        <w:tc>
          <w:tcPr>
            <w:tcW w:w="221" w:type="pct"/>
            <w:vMerge w:val="restart"/>
            <w:tcBorders>
              <w:top w:val="single" w:color="000000" w:sz="4" w:space="0"/>
              <w:right w:val="single" w:color="000000" w:sz="4" w:space="0"/>
            </w:tcBorders>
            <w:vAlign w:val="center"/>
          </w:tcPr>
          <w:p>
            <w:pPr>
              <w:spacing w:line="240" w:lineRule="exact"/>
              <w:jc w:val="center"/>
              <w:rPr>
                <w:rFonts w:eastAsia="微软雅黑"/>
                <w:b/>
                <w:bCs/>
                <w:color w:val="000000" w:themeColor="text1"/>
                <w:sz w:val="15"/>
                <w:szCs w:val="15"/>
              </w:rPr>
            </w:pPr>
            <w:r>
              <w:rPr>
                <w:rFonts w:eastAsia="微软雅黑"/>
                <w:b/>
                <w:bCs/>
                <w:color w:val="000000" w:themeColor="text1"/>
                <w:sz w:val="15"/>
                <w:szCs w:val="15"/>
              </w:rPr>
              <w:t>出让</w:t>
            </w:r>
          </w:p>
          <w:p>
            <w:pPr>
              <w:spacing w:line="240" w:lineRule="exact"/>
              <w:jc w:val="center"/>
              <w:rPr>
                <w:rFonts w:eastAsia="微软雅黑"/>
                <w:b/>
                <w:bCs/>
                <w:color w:val="000000" w:themeColor="text1"/>
                <w:sz w:val="15"/>
                <w:szCs w:val="15"/>
              </w:rPr>
            </w:pPr>
            <w:r>
              <w:rPr>
                <w:rFonts w:eastAsia="微软雅黑"/>
                <w:b/>
                <w:bCs/>
                <w:color w:val="000000" w:themeColor="text1"/>
                <w:sz w:val="15"/>
                <w:szCs w:val="15"/>
              </w:rPr>
              <w:t>年限</w:t>
            </w:r>
          </w:p>
        </w:tc>
        <w:tc>
          <w:tcPr>
            <w:tcW w:w="253" w:type="pct"/>
            <w:vMerge w:val="restart"/>
            <w:tcBorders>
              <w:top w:val="single" w:color="000000" w:sz="4" w:space="0"/>
              <w:right w:val="single" w:color="000000" w:sz="4" w:space="0"/>
            </w:tcBorders>
            <w:vAlign w:val="center"/>
          </w:tcPr>
          <w:p>
            <w:pPr>
              <w:spacing w:line="240" w:lineRule="exact"/>
              <w:jc w:val="center"/>
              <w:rPr>
                <w:rFonts w:eastAsia="微软雅黑"/>
                <w:b/>
                <w:bCs/>
                <w:color w:val="000000" w:themeColor="text1"/>
                <w:sz w:val="15"/>
                <w:szCs w:val="15"/>
              </w:rPr>
            </w:pPr>
            <w:r>
              <w:rPr>
                <w:rFonts w:eastAsia="微软雅黑"/>
                <w:b/>
                <w:bCs/>
                <w:color w:val="000000" w:themeColor="text1"/>
                <w:sz w:val="15"/>
                <w:szCs w:val="15"/>
              </w:rPr>
              <w:t>起叫价</w:t>
            </w:r>
          </w:p>
        </w:tc>
        <w:tc>
          <w:tcPr>
            <w:tcW w:w="314" w:type="pct"/>
            <w:vMerge w:val="restart"/>
            <w:tcBorders>
              <w:top w:val="single" w:color="000000" w:sz="4" w:space="0"/>
              <w:right w:val="single" w:color="000000" w:sz="4" w:space="0"/>
            </w:tcBorders>
            <w:vAlign w:val="center"/>
          </w:tcPr>
          <w:p>
            <w:pPr>
              <w:spacing w:line="240" w:lineRule="exact"/>
              <w:jc w:val="center"/>
              <w:rPr>
                <w:rFonts w:eastAsia="微软雅黑"/>
                <w:b/>
                <w:bCs/>
                <w:color w:val="000000" w:themeColor="text1"/>
                <w:sz w:val="15"/>
                <w:szCs w:val="15"/>
              </w:rPr>
            </w:pPr>
            <w:r>
              <w:rPr>
                <w:rFonts w:eastAsia="微软雅黑"/>
                <w:b/>
                <w:bCs/>
                <w:color w:val="000000" w:themeColor="text1"/>
                <w:sz w:val="15"/>
                <w:szCs w:val="15"/>
              </w:rPr>
              <w:t>增价</w:t>
            </w:r>
          </w:p>
          <w:p>
            <w:pPr>
              <w:spacing w:line="240" w:lineRule="exact"/>
              <w:jc w:val="center"/>
              <w:rPr>
                <w:rFonts w:eastAsia="微软雅黑"/>
                <w:b/>
                <w:bCs/>
                <w:color w:val="000000" w:themeColor="text1"/>
                <w:sz w:val="15"/>
                <w:szCs w:val="15"/>
              </w:rPr>
            </w:pPr>
            <w:r>
              <w:rPr>
                <w:rFonts w:eastAsia="微软雅黑"/>
                <w:b/>
                <w:bCs/>
                <w:color w:val="000000" w:themeColor="text1"/>
                <w:sz w:val="15"/>
                <w:szCs w:val="15"/>
              </w:rPr>
              <w:t>幅度</w:t>
            </w:r>
          </w:p>
        </w:tc>
        <w:tc>
          <w:tcPr>
            <w:tcW w:w="209" w:type="pct"/>
            <w:vMerge w:val="restart"/>
            <w:tcBorders>
              <w:top w:val="single" w:color="000000" w:sz="4" w:space="0"/>
              <w:right w:val="single" w:color="000000" w:sz="4" w:space="0"/>
            </w:tcBorders>
            <w:vAlign w:val="center"/>
          </w:tcPr>
          <w:p>
            <w:pPr>
              <w:spacing w:line="240" w:lineRule="exact"/>
              <w:jc w:val="center"/>
              <w:rPr>
                <w:rFonts w:eastAsia="微软雅黑"/>
                <w:b/>
                <w:bCs/>
                <w:color w:val="000000" w:themeColor="text1"/>
                <w:sz w:val="15"/>
                <w:szCs w:val="15"/>
              </w:rPr>
            </w:pPr>
            <w:r>
              <w:rPr>
                <w:rFonts w:eastAsia="微软雅黑"/>
                <w:b/>
                <w:bCs/>
                <w:color w:val="000000" w:themeColor="text1"/>
                <w:sz w:val="15"/>
                <w:szCs w:val="15"/>
              </w:rPr>
              <w:t>竞买</w:t>
            </w:r>
          </w:p>
          <w:p>
            <w:pPr>
              <w:spacing w:line="240" w:lineRule="exact"/>
              <w:jc w:val="center"/>
              <w:rPr>
                <w:rFonts w:eastAsia="微软雅黑"/>
                <w:b/>
                <w:bCs/>
                <w:color w:val="000000" w:themeColor="text1"/>
                <w:sz w:val="15"/>
                <w:szCs w:val="15"/>
              </w:rPr>
            </w:pPr>
            <w:r>
              <w:rPr>
                <w:rFonts w:eastAsia="微软雅黑"/>
                <w:b/>
                <w:bCs/>
                <w:color w:val="000000" w:themeColor="text1"/>
                <w:sz w:val="15"/>
                <w:szCs w:val="15"/>
              </w:rPr>
              <w:t>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jc w:val="center"/>
        </w:trPr>
        <w:tc>
          <w:tcPr>
            <w:tcW w:w="226" w:type="pct"/>
            <w:vMerge w:val="continue"/>
            <w:tcBorders>
              <w:top w:val="single" w:color="000000" w:sz="4" w:space="0"/>
              <w:left w:val="single" w:color="000000" w:sz="4" w:space="0"/>
            </w:tcBorders>
            <w:vAlign w:val="center"/>
          </w:tcPr>
          <w:p>
            <w:pPr>
              <w:widowControl/>
              <w:spacing w:line="240" w:lineRule="exact"/>
              <w:jc w:val="left"/>
              <w:rPr>
                <w:rFonts w:eastAsia="微软雅黑"/>
                <w:b/>
                <w:bCs/>
                <w:color w:val="000000" w:themeColor="text1"/>
                <w:sz w:val="15"/>
                <w:szCs w:val="15"/>
              </w:rPr>
            </w:pPr>
          </w:p>
        </w:tc>
        <w:tc>
          <w:tcPr>
            <w:tcW w:w="426" w:type="pct"/>
            <w:vMerge w:val="continue"/>
            <w:tcBorders>
              <w:top w:val="single" w:color="000000" w:sz="4" w:space="0"/>
              <w:right w:val="single" w:color="000000" w:sz="4" w:space="0"/>
            </w:tcBorders>
            <w:vAlign w:val="center"/>
          </w:tcPr>
          <w:p>
            <w:pPr>
              <w:widowControl/>
              <w:spacing w:line="240" w:lineRule="exact"/>
              <w:jc w:val="left"/>
              <w:rPr>
                <w:rFonts w:eastAsia="微软雅黑"/>
                <w:b/>
                <w:bCs/>
                <w:color w:val="000000" w:themeColor="text1"/>
                <w:sz w:val="15"/>
                <w:szCs w:val="15"/>
              </w:rPr>
            </w:pPr>
          </w:p>
        </w:tc>
        <w:tc>
          <w:tcPr>
            <w:tcW w:w="391" w:type="pct"/>
            <w:vMerge w:val="continue"/>
            <w:tcBorders>
              <w:top w:val="single" w:color="000000" w:sz="4" w:space="0"/>
              <w:right w:val="single" w:color="000000" w:sz="4" w:space="0"/>
            </w:tcBorders>
            <w:vAlign w:val="center"/>
          </w:tcPr>
          <w:p>
            <w:pPr>
              <w:widowControl/>
              <w:spacing w:line="240" w:lineRule="exact"/>
              <w:jc w:val="left"/>
              <w:rPr>
                <w:rFonts w:eastAsia="微软雅黑"/>
                <w:b/>
                <w:bCs/>
                <w:color w:val="000000" w:themeColor="text1"/>
                <w:sz w:val="15"/>
                <w:szCs w:val="15"/>
              </w:rPr>
            </w:pPr>
          </w:p>
        </w:tc>
        <w:tc>
          <w:tcPr>
            <w:tcW w:w="421" w:type="pct"/>
            <w:vMerge w:val="continue"/>
            <w:tcBorders>
              <w:top w:val="single" w:color="000000" w:sz="4" w:space="0"/>
              <w:right w:val="single" w:color="000000" w:sz="4" w:space="0"/>
            </w:tcBorders>
            <w:vAlign w:val="center"/>
          </w:tcPr>
          <w:p>
            <w:pPr>
              <w:widowControl/>
              <w:spacing w:line="240" w:lineRule="exact"/>
              <w:jc w:val="left"/>
              <w:rPr>
                <w:rFonts w:eastAsia="微软雅黑"/>
                <w:b/>
                <w:bCs/>
                <w:color w:val="000000" w:themeColor="text1"/>
                <w:sz w:val="15"/>
                <w:szCs w:val="15"/>
              </w:rPr>
            </w:pPr>
          </w:p>
        </w:tc>
        <w:tc>
          <w:tcPr>
            <w:tcW w:w="295" w:type="pct"/>
            <w:vMerge w:val="continue"/>
            <w:tcBorders>
              <w:top w:val="single" w:color="000000" w:sz="4" w:space="0"/>
              <w:right w:val="single" w:color="000000" w:sz="4" w:space="0"/>
            </w:tcBorders>
            <w:vAlign w:val="center"/>
          </w:tcPr>
          <w:p>
            <w:pPr>
              <w:widowControl/>
              <w:spacing w:line="240" w:lineRule="exact"/>
              <w:jc w:val="left"/>
              <w:rPr>
                <w:rFonts w:eastAsia="微软雅黑"/>
                <w:b/>
                <w:bCs/>
                <w:color w:val="000000" w:themeColor="text1"/>
                <w:sz w:val="15"/>
                <w:szCs w:val="15"/>
              </w:rPr>
            </w:pPr>
          </w:p>
        </w:tc>
        <w:tc>
          <w:tcPr>
            <w:tcW w:w="390" w:type="pct"/>
            <w:tcBorders>
              <w:bottom w:val="single" w:color="000000" w:sz="4" w:space="0"/>
              <w:right w:val="single" w:color="000000" w:sz="4" w:space="0"/>
            </w:tcBorders>
            <w:vAlign w:val="center"/>
          </w:tcPr>
          <w:p>
            <w:pPr>
              <w:snapToGrid w:val="0"/>
              <w:spacing w:line="240" w:lineRule="exact"/>
              <w:jc w:val="center"/>
              <w:rPr>
                <w:rFonts w:eastAsia="微软雅黑"/>
                <w:b/>
                <w:bCs/>
                <w:color w:val="000000" w:themeColor="text1"/>
                <w:sz w:val="15"/>
                <w:szCs w:val="15"/>
              </w:rPr>
            </w:pPr>
            <w:r>
              <w:rPr>
                <w:rFonts w:eastAsia="微软雅黑"/>
                <w:b/>
                <w:bCs/>
                <w:color w:val="000000" w:themeColor="text1"/>
                <w:sz w:val="15"/>
                <w:szCs w:val="15"/>
              </w:rPr>
              <w:t>容积率</w:t>
            </w:r>
          </w:p>
        </w:tc>
        <w:tc>
          <w:tcPr>
            <w:tcW w:w="280" w:type="pct"/>
            <w:tcBorders>
              <w:bottom w:val="single" w:color="000000" w:sz="4" w:space="0"/>
              <w:right w:val="single" w:color="000000" w:sz="4" w:space="0"/>
            </w:tcBorders>
            <w:vAlign w:val="center"/>
          </w:tcPr>
          <w:p>
            <w:pPr>
              <w:spacing w:line="240" w:lineRule="exact"/>
              <w:jc w:val="center"/>
              <w:rPr>
                <w:rFonts w:eastAsia="微软雅黑"/>
                <w:b/>
                <w:bCs/>
                <w:color w:val="000000" w:themeColor="text1"/>
                <w:sz w:val="15"/>
                <w:szCs w:val="15"/>
              </w:rPr>
            </w:pPr>
            <w:r>
              <w:rPr>
                <w:rFonts w:eastAsia="微软雅黑"/>
                <w:b/>
                <w:bCs/>
                <w:color w:val="000000" w:themeColor="text1"/>
                <w:sz w:val="15"/>
                <w:szCs w:val="15"/>
              </w:rPr>
              <w:t>建筑</w:t>
            </w:r>
          </w:p>
          <w:p>
            <w:pPr>
              <w:spacing w:line="240" w:lineRule="exact"/>
              <w:jc w:val="center"/>
              <w:rPr>
                <w:rFonts w:eastAsia="微软雅黑"/>
                <w:b/>
                <w:bCs/>
                <w:color w:val="000000" w:themeColor="text1"/>
                <w:sz w:val="15"/>
                <w:szCs w:val="15"/>
              </w:rPr>
            </w:pPr>
            <w:r>
              <w:rPr>
                <w:rFonts w:eastAsia="微软雅黑"/>
                <w:b/>
                <w:bCs/>
                <w:color w:val="000000" w:themeColor="text1"/>
                <w:sz w:val="15"/>
                <w:szCs w:val="15"/>
              </w:rPr>
              <w:t>密度</w:t>
            </w:r>
          </w:p>
        </w:tc>
        <w:tc>
          <w:tcPr>
            <w:tcW w:w="281" w:type="pct"/>
            <w:tcBorders>
              <w:bottom w:val="single" w:color="000000" w:sz="4" w:space="0"/>
              <w:right w:val="single" w:color="000000" w:sz="4" w:space="0"/>
            </w:tcBorders>
            <w:vAlign w:val="center"/>
          </w:tcPr>
          <w:p>
            <w:pPr>
              <w:spacing w:line="240" w:lineRule="exact"/>
              <w:jc w:val="center"/>
              <w:rPr>
                <w:rFonts w:eastAsia="微软雅黑"/>
                <w:b/>
                <w:bCs/>
                <w:color w:val="000000" w:themeColor="text1"/>
                <w:sz w:val="15"/>
                <w:szCs w:val="15"/>
              </w:rPr>
            </w:pPr>
            <w:r>
              <w:rPr>
                <w:rFonts w:eastAsia="微软雅黑"/>
                <w:b/>
                <w:bCs/>
                <w:color w:val="000000" w:themeColor="text1"/>
                <w:sz w:val="15"/>
                <w:szCs w:val="15"/>
              </w:rPr>
              <w:t>绿地率</w:t>
            </w:r>
          </w:p>
        </w:tc>
        <w:tc>
          <w:tcPr>
            <w:tcW w:w="337" w:type="pct"/>
            <w:tcBorders>
              <w:bottom w:val="single" w:color="000000" w:sz="4" w:space="0"/>
            </w:tcBorders>
            <w:vAlign w:val="center"/>
          </w:tcPr>
          <w:p>
            <w:pPr>
              <w:spacing w:line="240" w:lineRule="exact"/>
              <w:jc w:val="center"/>
              <w:rPr>
                <w:rFonts w:eastAsia="微软雅黑"/>
                <w:b/>
                <w:bCs/>
                <w:color w:val="000000" w:themeColor="text1"/>
                <w:sz w:val="15"/>
                <w:szCs w:val="15"/>
              </w:rPr>
            </w:pPr>
            <w:r>
              <w:rPr>
                <w:rFonts w:eastAsia="微软雅黑"/>
                <w:b/>
                <w:bCs/>
                <w:color w:val="000000" w:themeColor="text1"/>
                <w:sz w:val="15"/>
                <w:szCs w:val="15"/>
              </w:rPr>
              <w:t>建筑</w:t>
            </w:r>
          </w:p>
          <w:p>
            <w:pPr>
              <w:spacing w:line="240" w:lineRule="exact"/>
              <w:jc w:val="center"/>
              <w:rPr>
                <w:rFonts w:eastAsia="微软雅黑"/>
                <w:b/>
                <w:bCs/>
                <w:color w:val="000000" w:themeColor="text1"/>
                <w:sz w:val="15"/>
                <w:szCs w:val="15"/>
              </w:rPr>
            </w:pPr>
            <w:r>
              <w:rPr>
                <w:rFonts w:eastAsia="微软雅黑"/>
                <w:b/>
                <w:bCs/>
                <w:color w:val="000000" w:themeColor="text1"/>
                <w:sz w:val="15"/>
                <w:szCs w:val="15"/>
              </w:rPr>
              <w:t>限高</w:t>
            </w:r>
          </w:p>
        </w:tc>
        <w:tc>
          <w:tcPr>
            <w:tcW w:w="485" w:type="pct"/>
            <w:tcBorders>
              <w:bottom w:val="single" w:color="000000" w:sz="4" w:space="0"/>
            </w:tcBorders>
            <w:vAlign w:val="center"/>
          </w:tcPr>
          <w:p>
            <w:pPr>
              <w:spacing w:line="240" w:lineRule="exact"/>
              <w:jc w:val="center"/>
              <w:rPr>
                <w:rFonts w:eastAsia="微软雅黑"/>
                <w:b/>
                <w:bCs/>
                <w:color w:val="000000" w:themeColor="text1"/>
                <w:sz w:val="15"/>
                <w:szCs w:val="15"/>
              </w:rPr>
            </w:pPr>
            <w:r>
              <w:rPr>
                <w:rFonts w:eastAsia="微软雅黑"/>
                <w:b/>
                <w:bCs/>
                <w:color w:val="000000" w:themeColor="text1"/>
                <w:sz w:val="15"/>
                <w:szCs w:val="15"/>
              </w:rPr>
              <w:t>配套设施</w:t>
            </w:r>
          </w:p>
        </w:tc>
        <w:tc>
          <w:tcPr>
            <w:tcW w:w="465" w:type="pct"/>
            <w:tcBorders>
              <w:bottom w:val="single" w:color="000000" w:sz="4" w:space="0"/>
              <w:right w:val="single" w:color="000000" w:sz="4" w:space="0"/>
            </w:tcBorders>
            <w:vAlign w:val="center"/>
          </w:tcPr>
          <w:p>
            <w:pPr>
              <w:spacing w:line="240" w:lineRule="exact"/>
              <w:jc w:val="center"/>
              <w:rPr>
                <w:rFonts w:eastAsia="微软雅黑"/>
                <w:b/>
                <w:bCs/>
                <w:color w:val="000000" w:themeColor="text1"/>
                <w:sz w:val="15"/>
                <w:szCs w:val="15"/>
              </w:rPr>
            </w:pPr>
            <w:r>
              <w:rPr>
                <w:rFonts w:eastAsia="微软雅黑"/>
                <w:b/>
                <w:bCs/>
                <w:color w:val="000000" w:themeColor="text1"/>
                <w:sz w:val="15"/>
                <w:szCs w:val="15"/>
              </w:rPr>
              <w:t>其他规划指标</w:t>
            </w:r>
          </w:p>
        </w:tc>
        <w:tc>
          <w:tcPr>
            <w:tcW w:w="221" w:type="pct"/>
            <w:vMerge w:val="continue"/>
            <w:tcBorders>
              <w:top w:val="single" w:color="000000" w:sz="4" w:space="0"/>
              <w:right w:val="single" w:color="000000" w:sz="4" w:space="0"/>
            </w:tcBorders>
            <w:vAlign w:val="center"/>
          </w:tcPr>
          <w:p>
            <w:pPr>
              <w:widowControl/>
              <w:spacing w:line="240" w:lineRule="exact"/>
              <w:jc w:val="left"/>
              <w:rPr>
                <w:rFonts w:eastAsia="微软雅黑"/>
                <w:b/>
                <w:bCs/>
                <w:color w:val="000000" w:themeColor="text1"/>
                <w:sz w:val="15"/>
                <w:szCs w:val="15"/>
              </w:rPr>
            </w:pPr>
          </w:p>
        </w:tc>
        <w:tc>
          <w:tcPr>
            <w:tcW w:w="253" w:type="pct"/>
            <w:vMerge w:val="continue"/>
            <w:tcBorders>
              <w:top w:val="single" w:color="000000" w:sz="4" w:space="0"/>
              <w:right w:val="single" w:color="000000" w:sz="4" w:space="0"/>
            </w:tcBorders>
            <w:vAlign w:val="center"/>
          </w:tcPr>
          <w:p>
            <w:pPr>
              <w:widowControl/>
              <w:spacing w:line="240" w:lineRule="exact"/>
              <w:jc w:val="left"/>
              <w:rPr>
                <w:rFonts w:eastAsia="微软雅黑"/>
                <w:b/>
                <w:bCs/>
                <w:color w:val="000000" w:themeColor="text1"/>
                <w:sz w:val="15"/>
                <w:szCs w:val="15"/>
              </w:rPr>
            </w:pPr>
          </w:p>
        </w:tc>
        <w:tc>
          <w:tcPr>
            <w:tcW w:w="314" w:type="pct"/>
            <w:vMerge w:val="continue"/>
            <w:tcBorders>
              <w:top w:val="single" w:color="000000" w:sz="4" w:space="0"/>
              <w:right w:val="single" w:color="000000" w:sz="4" w:space="0"/>
            </w:tcBorders>
            <w:vAlign w:val="center"/>
          </w:tcPr>
          <w:p>
            <w:pPr>
              <w:widowControl/>
              <w:spacing w:line="240" w:lineRule="exact"/>
              <w:jc w:val="left"/>
              <w:rPr>
                <w:rFonts w:eastAsia="微软雅黑"/>
                <w:b/>
                <w:bCs/>
                <w:color w:val="000000" w:themeColor="text1"/>
                <w:sz w:val="15"/>
                <w:szCs w:val="15"/>
              </w:rPr>
            </w:pPr>
          </w:p>
        </w:tc>
        <w:tc>
          <w:tcPr>
            <w:tcW w:w="209" w:type="pct"/>
            <w:vMerge w:val="continue"/>
            <w:tcBorders>
              <w:top w:val="single" w:color="000000" w:sz="4" w:space="0"/>
              <w:right w:val="single" w:color="000000" w:sz="4" w:space="0"/>
            </w:tcBorders>
            <w:vAlign w:val="center"/>
          </w:tcPr>
          <w:p>
            <w:pPr>
              <w:widowControl/>
              <w:spacing w:line="240" w:lineRule="exact"/>
              <w:jc w:val="left"/>
              <w:rPr>
                <w:rFonts w:eastAsia="微软雅黑"/>
                <w:b/>
                <w:bCs/>
                <w:color w:val="000000" w:themeColor="text1"/>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08" w:hRule="atLeast"/>
          <w:jc w:val="center"/>
        </w:trPr>
        <w:tc>
          <w:tcPr>
            <w:tcW w:w="226" w:type="pct"/>
            <w:tcBorders>
              <w:left w:val="single" w:color="000000" w:sz="4" w:space="0"/>
            </w:tcBorders>
            <w:vAlign w:val="center"/>
          </w:tcPr>
          <w:p>
            <w:pPr>
              <w:spacing w:line="240" w:lineRule="exact"/>
              <w:jc w:val="center"/>
              <w:rPr>
                <w:rFonts w:eastAsia="微软雅黑"/>
                <w:b/>
                <w:bCs/>
                <w:color w:val="000000" w:themeColor="text1"/>
                <w:sz w:val="15"/>
                <w:szCs w:val="15"/>
              </w:rPr>
            </w:pPr>
            <w:r>
              <w:rPr>
                <w:rFonts w:eastAsia="微软雅黑"/>
                <w:b/>
                <w:bCs/>
                <w:color w:val="000000" w:themeColor="text1"/>
                <w:sz w:val="15"/>
                <w:szCs w:val="15"/>
              </w:rPr>
              <w:t>1</w:t>
            </w:r>
          </w:p>
        </w:tc>
        <w:tc>
          <w:tcPr>
            <w:tcW w:w="426" w:type="pct"/>
            <w:tcBorders>
              <w:right w:val="single" w:color="000000" w:sz="4" w:space="0"/>
            </w:tcBorders>
            <w:vAlign w:val="center"/>
          </w:tcPr>
          <w:p>
            <w:pPr>
              <w:widowControl/>
              <w:spacing w:line="270" w:lineRule="exact"/>
              <w:jc w:val="center"/>
              <w:rPr>
                <w:rFonts w:hint="eastAsia" w:eastAsia="微软雅黑"/>
                <w:b/>
                <w:bCs/>
                <w:color w:val="000000"/>
                <w:sz w:val="15"/>
                <w:szCs w:val="15"/>
              </w:rPr>
            </w:pPr>
            <w:r>
              <w:rPr>
                <w:rFonts w:hint="eastAsia" w:eastAsia="微软雅黑"/>
                <w:b/>
                <w:bCs/>
                <w:color w:val="000000"/>
                <w:sz w:val="15"/>
                <w:szCs w:val="15"/>
              </w:rPr>
              <w:t>达州市达钢（老厂）片区B09-01地块</w:t>
            </w:r>
          </w:p>
        </w:tc>
        <w:tc>
          <w:tcPr>
            <w:tcW w:w="391" w:type="pct"/>
            <w:tcBorders>
              <w:right w:val="single" w:color="000000" w:sz="4" w:space="0"/>
            </w:tcBorders>
            <w:vAlign w:val="center"/>
          </w:tcPr>
          <w:p>
            <w:pPr>
              <w:widowControl/>
              <w:spacing w:line="270" w:lineRule="exact"/>
              <w:jc w:val="center"/>
              <w:rPr>
                <w:rFonts w:hint="eastAsia" w:eastAsia="微软雅黑"/>
                <w:b/>
                <w:bCs/>
                <w:color w:val="000000"/>
                <w:sz w:val="15"/>
                <w:szCs w:val="15"/>
                <w:lang w:val="en-US" w:eastAsia="zh-CN"/>
              </w:rPr>
            </w:pPr>
            <w:r>
              <w:rPr>
                <w:rFonts w:hint="eastAsia" w:eastAsia="微软雅黑"/>
                <w:b/>
                <w:bCs/>
                <w:color w:val="000000"/>
                <w:sz w:val="15"/>
                <w:szCs w:val="15"/>
              </w:rPr>
              <w:t>通川区西河路</w:t>
            </w:r>
          </w:p>
        </w:tc>
        <w:tc>
          <w:tcPr>
            <w:tcW w:w="421" w:type="pct"/>
            <w:tcBorders>
              <w:right w:val="single" w:color="000000" w:sz="4" w:space="0"/>
            </w:tcBorders>
            <w:vAlign w:val="center"/>
          </w:tcPr>
          <w:p>
            <w:pPr>
              <w:widowControl/>
              <w:spacing w:line="270" w:lineRule="exact"/>
              <w:jc w:val="center"/>
              <w:rPr>
                <w:rFonts w:hint="eastAsia" w:eastAsia="微软雅黑"/>
                <w:b/>
                <w:bCs/>
                <w:color w:val="000000"/>
                <w:sz w:val="15"/>
                <w:szCs w:val="15"/>
              </w:rPr>
            </w:pPr>
            <w:r>
              <w:rPr>
                <w:rFonts w:hint="eastAsia" w:eastAsia="微软雅黑"/>
                <w:b/>
                <w:bCs/>
                <w:color w:val="000000"/>
                <w:sz w:val="15"/>
                <w:szCs w:val="15"/>
                <w:lang w:val="en-US" w:eastAsia="zh-CN"/>
              </w:rPr>
              <w:t>5693.86</w:t>
            </w:r>
            <w:r>
              <w:rPr>
                <w:rFonts w:hint="eastAsia" w:eastAsia="微软雅黑"/>
                <w:b/>
                <w:bCs/>
                <w:color w:val="000000"/>
                <w:sz w:val="15"/>
                <w:szCs w:val="15"/>
              </w:rPr>
              <w:t>平方米（折合</w:t>
            </w:r>
            <w:r>
              <w:rPr>
                <w:rFonts w:hint="eastAsia" w:eastAsia="微软雅黑"/>
                <w:b/>
                <w:bCs/>
                <w:color w:val="000000"/>
                <w:sz w:val="15"/>
                <w:szCs w:val="15"/>
                <w:lang w:val="en-US" w:eastAsia="zh-CN"/>
              </w:rPr>
              <w:t>8.54</w:t>
            </w:r>
            <w:r>
              <w:rPr>
                <w:rFonts w:hint="eastAsia" w:eastAsia="微软雅黑"/>
                <w:b/>
                <w:bCs/>
                <w:color w:val="000000"/>
                <w:sz w:val="15"/>
                <w:szCs w:val="15"/>
              </w:rPr>
              <w:t>亩）</w:t>
            </w:r>
          </w:p>
        </w:tc>
        <w:tc>
          <w:tcPr>
            <w:tcW w:w="295" w:type="pct"/>
            <w:tcBorders>
              <w:right w:val="single" w:color="000000" w:sz="4" w:space="0"/>
            </w:tcBorders>
            <w:vAlign w:val="center"/>
          </w:tcPr>
          <w:p>
            <w:pPr>
              <w:widowControl/>
              <w:spacing w:line="270" w:lineRule="exact"/>
              <w:jc w:val="center"/>
              <w:rPr>
                <w:rFonts w:hint="default" w:eastAsia="微软雅黑"/>
                <w:b/>
                <w:bCs/>
                <w:color w:val="000000"/>
                <w:sz w:val="15"/>
                <w:szCs w:val="15"/>
                <w:lang w:val="en-US" w:eastAsia="zh-CN"/>
              </w:rPr>
            </w:pPr>
            <w:r>
              <w:rPr>
                <w:rFonts w:hint="eastAsia" w:eastAsia="微软雅黑"/>
                <w:b/>
                <w:bCs/>
                <w:color w:val="000000"/>
                <w:sz w:val="15"/>
                <w:szCs w:val="15"/>
                <w:lang w:val="en-US" w:eastAsia="zh-CN"/>
              </w:rPr>
              <w:t>商业用地（B1）</w:t>
            </w:r>
          </w:p>
        </w:tc>
        <w:tc>
          <w:tcPr>
            <w:tcW w:w="390" w:type="pct"/>
            <w:tcBorders>
              <w:right w:val="single" w:color="000000" w:sz="4" w:space="0"/>
            </w:tcBorders>
            <w:vAlign w:val="center"/>
          </w:tcPr>
          <w:p>
            <w:pPr>
              <w:widowControl/>
              <w:spacing w:line="270" w:lineRule="exact"/>
              <w:jc w:val="center"/>
              <w:rPr>
                <w:rFonts w:hint="default" w:eastAsia="微软雅黑"/>
                <w:b/>
                <w:bCs/>
                <w:color w:val="000000"/>
                <w:kern w:val="0"/>
                <w:sz w:val="15"/>
                <w:szCs w:val="15"/>
                <w:lang w:val="en-US" w:eastAsia="zh-CN"/>
              </w:rPr>
            </w:pPr>
            <w:r>
              <w:rPr>
                <w:rFonts w:eastAsia="微软雅黑"/>
                <w:b/>
                <w:bCs/>
                <w:color w:val="000000"/>
                <w:kern w:val="0"/>
                <w:sz w:val="15"/>
                <w:szCs w:val="15"/>
              </w:rPr>
              <w:t>F≤</w:t>
            </w:r>
            <w:r>
              <w:rPr>
                <w:rFonts w:hint="eastAsia" w:eastAsia="微软雅黑"/>
                <w:b/>
                <w:bCs/>
                <w:color w:val="000000"/>
                <w:kern w:val="0"/>
                <w:sz w:val="15"/>
                <w:szCs w:val="15"/>
                <w:lang w:val="en-US" w:eastAsia="zh-CN"/>
              </w:rPr>
              <w:t>1.5</w:t>
            </w:r>
          </w:p>
        </w:tc>
        <w:tc>
          <w:tcPr>
            <w:tcW w:w="280" w:type="pct"/>
            <w:vAlign w:val="center"/>
          </w:tcPr>
          <w:p>
            <w:pPr>
              <w:widowControl/>
              <w:spacing w:line="270" w:lineRule="exact"/>
              <w:jc w:val="center"/>
              <w:rPr>
                <w:rFonts w:eastAsia="微软雅黑"/>
                <w:b/>
                <w:bCs/>
                <w:color w:val="000000"/>
                <w:kern w:val="0"/>
                <w:sz w:val="15"/>
                <w:szCs w:val="15"/>
              </w:rPr>
            </w:pPr>
            <w:r>
              <w:rPr>
                <w:rFonts w:eastAsia="微软雅黑"/>
                <w:b/>
                <w:bCs/>
                <w:color w:val="000000"/>
                <w:kern w:val="0"/>
                <w:sz w:val="15"/>
                <w:szCs w:val="15"/>
              </w:rPr>
              <w:t>B≤</w:t>
            </w:r>
            <w:r>
              <w:rPr>
                <w:rFonts w:hint="eastAsia" w:eastAsia="微软雅黑"/>
                <w:b/>
                <w:bCs/>
                <w:color w:val="000000"/>
                <w:kern w:val="0"/>
                <w:sz w:val="15"/>
                <w:szCs w:val="15"/>
                <w:lang w:val="en-US" w:eastAsia="zh-CN"/>
              </w:rPr>
              <w:t>50</w:t>
            </w:r>
            <w:r>
              <w:rPr>
                <w:rFonts w:eastAsia="微软雅黑"/>
                <w:b/>
                <w:bCs/>
                <w:color w:val="000000"/>
                <w:kern w:val="0"/>
                <w:sz w:val="15"/>
                <w:szCs w:val="15"/>
              </w:rPr>
              <w:t>%</w:t>
            </w:r>
          </w:p>
        </w:tc>
        <w:tc>
          <w:tcPr>
            <w:tcW w:w="281" w:type="pct"/>
            <w:vAlign w:val="center"/>
          </w:tcPr>
          <w:p>
            <w:pPr>
              <w:widowControl/>
              <w:spacing w:line="270" w:lineRule="exact"/>
              <w:jc w:val="center"/>
              <w:rPr>
                <w:rFonts w:eastAsia="微软雅黑"/>
                <w:b/>
                <w:bCs/>
                <w:color w:val="000000"/>
                <w:kern w:val="0"/>
                <w:sz w:val="15"/>
                <w:szCs w:val="15"/>
              </w:rPr>
            </w:pPr>
            <w:r>
              <w:rPr>
                <w:rFonts w:eastAsia="微软雅黑"/>
                <w:b/>
                <w:bCs/>
                <w:color w:val="000000"/>
                <w:kern w:val="0"/>
                <w:sz w:val="15"/>
                <w:szCs w:val="15"/>
              </w:rPr>
              <w:t>G≥</w:t>
            </w:r>
            <w:r>
              <w:rPr>
                <w:rFonts w:hint="eastAsia" w:eastAsia="微软雅黑"/>
                <w:b/>
                <w:bCs/>
                <w:color w:val="000000"/>
                <w:kern w:val="0"/>
                <w:sz w:val="15"/>
                <w:szCs w:val="15"/>
                <w:lang w:val="en-US" w:eastAsia="zh-CN"/>
              </w:rPr>
              <w:t>20</w:t>
            </w:r>
            <w:r>
              <w:rPr>
                <w:rFonts w:eastAsia="微软雅黑"/>
                <w:b/>
                <w:bCs/>
                <w:color w:val="000000"/>
                <w:kern w:val="0"/>
                <w:sz w:val="15"/>
                <w:szCs w:val="15"/>
              </w:rPr>
              <w:t>%</w:t>
            </w:r>
          </w:p>
        </w:tc>
        <w:tc>
          <w:tcPr>
            <w:tcW w:w="337" w:type="pct"/>
            <w:vAlign w:val="center"/>
          </w:tcPr>
          <w:p>
            <w:pPr>
              <w:widowControl/>
              <w:spacing w:line="270" w:lineRule="exact"/>
              <w:jc w:val="center"/>
              <w:rPr>
                <w:rFonts w:eastAsia="微软雅黑"/>
                <w:b/>
                <w:bCs/>
                <w:color w:val="000000"/>
                <w:kern w:val="0"/>
                <w:sz w:val="15"/>
                <w:szCs w:val="15"/>
              </w:rPr>
            </w:pPr>
            <w:r>
              <w:rPr>
                <w:rFonts w:eastAsia="微软雅黑"/>
                <w:b/>
                <w:bCs/>
                <w:color w:val="000000"/>
                <w:kern w:val="0"/>
                <w:sz w:val="15"/>
                <w:szCs w:val="15"/>
              </w:rPr>
              <w:t>HL≤</w:t>
            </w:r>
            <w:r>
              <w:rPr>
                <w:rFonts w:hint="eastAsia" w:eastAsia="微软雅黑"/>
                <w:b/>
                <w:bCs/>
                <w:color w:val="000000"/>
                <w:kern w:val="0"/>
                <w:sz w:val="15"/>
                <w:szCs w:val="15"/>
                <w:lang w:val="en-US" w:eastAsia="zh-CN"/>
              </w:rPr>
              <w:t>18</w:t>
            </w:r>
            <w:r>
              <w:rPr>
                <w:rFonts w:eastAsia="微软雅黑"/>
                <w:b/>
                <w:bCs/>
                <w:color w:val="000000"/>
                <w:kern w:val="0"/>
                <w:sz w:val="15"/>
                <w:szCs w:val="15"/>
              </w:rPr>
              <w:t>米</w:t>
            </w:r>
          </w:p>
        </w:tc>
        <w:tc>
          <w:tcPr>
            <w:tcW w:w="485" w:type="pct"/>
            <w:vAlign w:val="center"/>
          </w:tcPr>
          <w:p>
            <w:pPr>
              <w:snapToGrid w:val="0"/>
              <w:spacing w:line="240" w:lineRule="exact"/>
              <w:jc w:val="center"/>
              <w:rPr>
                <w:rFonts w:eastAsia="微软雅黑"/>
                <w:b/>
                <w:bCs/>
                <w:color w:val="000000" w:themeColor="text1"/>
                <w:sz w:val="15"/>
                <w:szCs w:val="15"/>
              </w:rPr>
            </w:pPr>
            <w:r>
              <w:rPr>
                <w:rFonts w:eastAsia="微软雅黑"/>
                <w:b/>
                <w:bCs/>
                <w:color w:val="000000" w:themeColor="text1"/>
                <w:sz w:val="15"/>
                <w:szCs w:val="15"/>
              </w:rPr>
              <w:t>详见《</w:t>
            </w:r>
            <w:r>
              <w:rPr>
                <w:rFonts w:hint="eastAsia" w:eastAsia="微软雅黑"/>
                <w:b/>
                <w:bCs/>
                <w:color w:val="000000"/>
                <w:sz w:val="15"/>
                <w:szCs w:val="15"/>
              </w:rPr>
              <w:t>达州市达钢（老厂）片区B09-01地块</w:t>
            </w:r>
            <w:r>
              <w:rPr>
                <w:rFonts w:eastAsia="微软雅黑"/>
                <w:b/>
                <w:bCs/>
                <w:color w:val="000000" w:themeColor="text1"/>
                <w:sz w:val="15"/>
                <w:szCs w:val="15"/>
              </w:rPr>
              <w:t>规划条件》</w:t>
            </w:r>
          </w:p>
        </w:tc>
        <w:tc>
          <w:tcPr>
            <w:tcW w:w="465" w:type="pct"/>
            <w:tcBorders>
              <w:right w:val="single" w:color="000000" w:sz="4" w:space="0"/>
            </w:tcBorders>
            <w:vAlign w:val="center"/>
          </w:tcPr>
          <w:p>
            <w:pPr>
              <w:snapToGrid w:val="0"/>
              <w:spacing w:line="240" w:lineRule="exact"/>
              <w:jc w:val="center"/>
              <w:rPr>
                <w:rFonts w:eastAsia="微软雅黑"/>
                <w:b/>
                <w:bCs/>
                <w:color w:val="000000" w:themeColor="text1"/>
                <w:sz w:val="15"/>
                <w:szCs w:val="15"/>
              </w:rPr>
            </w:pPr>
            <w:r>
              <w:rPr>
                <w:rFonts w:eastAsia="微软雅黑"/>
                <w:b/>
                <w:bCs/>
                <w:color w:val="000000" w:themeColor="text1"/>
                <w:sz w:val="15"/>
                <w:szCs w:val="15"/>
              </w:rPr>
              <w:t>详见《</w:t>
            </w:r>
            <w:r>
              <w:rPr>
                <w:rFonts w:hint="eastAsia" w:eastAsia="微软雅黑"/>
                <w:b/>
                <w:bCs/>
                <w:color w:val="000000"/>
                <w:sz w:val="15"/>
                <w:szCs w:val="15"/>
              </w:rPr>
              <w:t>达州市达钢（老厂）片区B09-01地块</w:t>
            </w:r>
            <w:r>
              <w:rPr>
                <w:rFonts w:eastAsia="微软雅黑"/>
                <w:b/>
                <w:bCs/>
                <w:color w:val="000000" w:themeColor="text1"/>
                <w:sz w:val="15"/>
                <w:szCs w:val="15"/>
              </w:rPr>
              <w:t>规划条件》</w:t>
            </w:r>
          </w:p>
        </w:tc>
        <w:tc>
          <w:tcPr>
            <w:tcW w:w="221" w:type="pct"/>
            <w:tcBorders>
              <w:right w:val="single" w:color="000000" w:sz="4" w:space="0"/>
            </w:tcBorders>
            <w:vAlign w:val="center"/>
          </w:tcPr>
          <w:p>
            <w:pPr>
              <w:widowControl/>
              <w:spacing w:line="270" w:lineRule="exact"/>
              <w:jc w:val="center"/>
              <w:rPr>
                <w:rFonts w:hint="default" w:eastAsia="微软雅黑"/>
                <w:b/>
                <w:bCs/>
                <w:color w:val="000000"/>
                <w:kern w:val="0"/>
                <w:sz w:val="15"/>
                <w:szCs w:val="15"/>
                <w:lang w:val="en-US" w:eastAsia="zh-CN"/>
              </w:rPr>
            </w:pPr>
            <w:r>
              <w:rPr>
                <w:rFonts w:eastAsia="微软雅黑"/>
                <w:b/>
                <w:bCs/>
                <w:color w:val="000000"/>
                <w:kern w:val="0"/>
                <w:sz w:val="15"/>
                <w:szCs w:val="15"/>
              </w:rPr>
              <w:t>40年</w:t>
            </w:r>
          </w:p>
        </w:tc>
        <w:tc>
          <w:tcPr>
            <w:tcW w:w="253" w:type="pct"/>
            <w:tcBorders>
              <w:right w:val="single" w:color="000000" w:sz="4" w:space="0"/>
            </w:tcBorders>
            <w:vAlign w:val="center"/>
          </w:tcPr>
          <w:p>
            <w:pPr>
              <w:spacing w:line="240" w:lineRule="exact"/>
              <w:jc w:val="center"/>
              <w:rPr>
                <w:rFonts w:eastAsia="微软雅黑"/>
                <w:b/>
                <w:bCs/>
                <w:color w:val="000000" w:themeColor="text1"/>
                <w:sz w:val="15"/>
                <w:szCs w:val="15"/>
              </w:rPr>
            </w:pPr>
            <w:r>
              <w:rPr>
                <w:rFonts w:hint="eastAsia" w:eastAsia="微软雅黑"/>
                <w:b/>
                <w:bCs/>
                <w:color w:val="000000" w:themeColor="text1"/>
                <w:sz w:val="15"/>
                <w:szCs w:val="15"/>
                <w:lang w:val="en-US" w:eastAsia="zh-CN"/>
              </w:rPr>
              <w:t>286</w:t>
            </w:r>
            <w:r>
              <w:rPr>
                <w:rFonts w:eastAsia="微软雅黑"/>
                <w:b/>
                <w:bCs/>
                <w:color w:val="000000" w:themeColor="text1"/>
                <w:sz w:val="15"/>
                <w:szCs w:val="15"/>
              </w:rPr>
              <w:t>万元/亩</w:t>
            </w:r>
          </w:p>
        </w:tc>
        <w:tc>
          <w:tcPr>
            <w:tcW w:w="314" w:type="pct"/>
            <w:tcBorders>
              <w:right w:val="single" w:color="000000" w:sz="4" w:space="0"/>
            </w:tcBorders>
            <w:vAlign w:val="center"/>
          </w:tcPr>
          <w:p>
            <w:pPr>
              <w:spacing w:line="240" w:lineRule="exact"/>
              <w:jc w:val="center"/>
              <w:rPr>
                <w:rFonts w:eastAsia="微软雅黑"/>
                <w:b/>
                <w:bCs/>
                <w:color w:val="000000" w:themeColor="text1"/>
                <w:sz w:val="15"/>
                <w:szCs w:val="15"/>
              </w:rPr>
            </w:pPr>
            <w:r>
              <w:rPr>
                <w:rFonts w:hint="eastAsia" w:eastAsia="微软雅黑"/>
                <w:b/>
                <w:bCs/>
                <w:color w:val="000000" w:themeColor="text1"/>
                <w:sz w:val="15"/>
                <w:szCs w:val="15"/>
                <w:lang w:val="en-US" w:eastAsia="zh-CN"/>
              </w:rPr>
              <w:t>2</w:t>
            </w:r>
            <w:r>
              <w:rPr>
                <w:rFonts w:eastAsia="微软雅黑"/>
                <w:b/>
                <w:bCs/>
                <w:color w:val="000000" w:themeColor="text1"/>
                <w:sz w:val="15"/>
                <w:szCs w:val="15"/>
              </w:rPr>
              <w:t>万元/ 亩或</w:t>
            </w:r>
            <w:r>
              <w:rPr>
                <w:rFonts w:hint="eastAsia" w:eastAsia="微软雅黑"/>
                <w:b/>
                <w:bCs/>
                <w:color w:val="000000" w:themeColor="text1"/>
                <w:sz w:val="15"/>
                <w:szCs w:val="15"/>
                <w:lang w:val="en-US" w:eastAsia="zh-CN"/>
              </w:rPr>
              <w:t>2</w:t>
            </w:r>
            <w:r>
              <w:rPr>
                <w:rFonts w:eastAsia="微软雅黑"/>
                <w:b/>
                <w:bCs/>
                <w:color w:val="000000" w:themeColor="text1"/>
                <w:sz w:val="15"/>
                <w:szCs w:val="15"/>
              </w:rPr>
              <w:t>万元/ 亩的整倍数</w:t>
            </w:r>
          </w:p>
        </w:tc>
        <w:tc>
          <w:tcPr>
            <w:tcW w:w="209" w:type="pct"/>
            <w:tcBorders>
              <w:right w:val="single" w:color="000000" w:sz="4" w:space="0"/>
            </w:tcBorders>
            <w:vAlign w:val="center"/>
          </w:tcPr>
          <w:p>
            <w:pPr>
              <w:spacing w:line="240" w:lineRule="exact"/>
              <w:jc w:val="center"/>
              <w:rPr>
                <w:rFonts w:eastAsia="微软雅黑"/>
                <w:b/>
                <w:bCs/>
                <w:color w:val="000000" w:themeColor="text1"/>
                <w:sz w:val="15"/>
                <w:szCs w:val="15"/>
              </w:rPr>
            </w:pPr>
            <w:r>
              <w:rPr>
                <w:rFonts w:hint="eastAsia" w:eastAsia="微软雅黑"/>
                <w:b/>
                <w:bCs/>
                <w:color w:val="000000" w:themeColor="text1"/>
                <w:sz w:val="15"/>
                <w:szCs w:val="15"/>
                <w:lang w:val="en-US" w:eastAsia="zh-CN"/>
              </w:rPr>
              <w:t>1230</w:t>
            </w:r>
            <w:r>
              <w:rPr>
                <w:rFonts w:eastAsia="微软雅黑"/>
                <w:b/>
                <w:bCs/>
                <w:color w:val="000000" w:themeColor="text1"/>
                <w:sz w:val="15"/>
                <w:szCs w:val="15"/>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58" w:hRule="atLeast"/>
          <w:jc w:val="center"/>
        </w:trPr>
        <w:tc>
          <w:tcPr>
            <w:tcW w:w="226" w:type="pct"/>
            <w:tcBorders>
              <w:left w:val="single" w:color="000000" w:sz="4" w:space="0"/>
            </w:tcBorders>
            <w:vAlign w:val="center"/>
          </w:tcPr>
          <w:p>
            <w:pPr>
              <w:spacing w:line="240" w:lineRule="exact"/>
              <w:jc w:val="center"/>
              <w:rPr>
                <w:rFonts w:hint="eastAsia" w:eastAsia="微软雅黑"/>
                <w:b/>
                <w:bCs/>
                <w:color w:val="000000" w:themeColor="text1"/>
                <w:sz w:val="15"/>
                <w:szCs w:val="15"/>
                <w:lang w:eastAsia="zh-CN"/>
              </w:rPr>
            </w:pPr>
            <w:r>
              <w:rPr>
                <w:rFonts w:hint="eastAsia" w:eastAsia="微软雅黑"/>
                <w:b/>
                <w:bCs/>
                <w:color w:val="000000" w:themeColor="text1"/>
                <w:sz w:val="15"/>
                <w:szCs w:val="15"/>
                <w:lang w:val="en-US" w:eastAsia="zh-CN"/>
              </w:rPr>
              <w:t>2</w:t>
            </w:r>
          </w:p>
        </w:tc>
        <w:tc>
          <w:tcPr>
            <w:tcW w:w="426" w:type="pct"/>
            <w:tcBorders>
              <w:right w:val="single" w:color="000000" w:sz="4" w:space="0"/>
            </w:tcBorders>
            <w:vAlign w:val="center"/>
          </w:tcPr>
          <w:p>
            <w:pPr>
              <w:widowControl/>
              <w:spacing w:line="270" w:lineRule="exact"/>
              <w:jc w:val="center"/>
              <w:rPr>
                <w:rFonts w:hint="eastAsia" w:eastAsia="微软雅黑"/>
                <w:b/>
                <w:bCs/>
                <w:color w:val="000000"/>
                <w:sz w:val="15"/>
                <w:szCs w:val="15"/>
                <w:lang w:val="en-US" w:eastAsia="zh-CN"/>
              </w:rPr>
            </w:pPr>
            <w:r>
              <w:rPr>
                <w:rFonts w:hint="eastAsia" w:eastAsia="微软雅黑"/>
                <w:b/>
                <w:bCs/>
                <w:color w:val="000000"/>
                <w:sz w:val="15"/>
                <w:szCs w:val="15"/>
              </w:rPr>
              <w:t>达州市达钢（老厂）片区C02-03地块</w:t>
            </w:r>
          </w:p>
        </w:tc>
        <w:tc>
          <w:tcPr>
            <w:tcW w:w="391" w:type="pct"/>
            <w:tcBorders>
              <w:right w:val="single" w:color="000000" w:sz="4" w:space="0"/>
            </w:tcBorders>
            <w:vAlign w:val="center"/>
          </w:tcPr>
          <w:p>
            <w:pPr>
              <w:widowControl/>
              <w:spacing w:line="270" w:lineRule="exact"/>
              <w:jc w:val="center"/>
              <w:rPr>
                <w:rFonts w:hint="eastAsia" w:eastAsia="微软雅黑"/>
                <w:b/>
                <w:bCs/>
                <w:color w:val="000000"/>
                <w:sz w:val="15"/>
                <w:szCs w:val="15"/>
                <w:lang w:val="en-US" w:eastAsia="zh-CN"/>
              </w:rPr>
            </w:pPr>
            <w:r>
              <w:rPr>
                <w:rFonts w:hint="eastAsia" w:eastAsia="微软雅黑"/>
                <w:b/>
                <w:bCs/>
                <w:color w:val="000000"/>
                <w:sz w:val="15"/>
                <w:szCs w:val="15"/>
                <w:lang w:val="en-US" w:eastAsia="zh-CN"/>
              </w:rPr>
              <w:t>通川区西河路</w:t>
            </w:r>
          </w:p>
        </w:tc>
        <w:tc>
          <w:tcPr>
            <w:tcW w:w="421" w:type="pct"/>
            <w:tcBorders>
              <w:right w:val="single" w:color="000000" w:sz="4" w:space="0"/>
            </w:tcBorders>
            <w:vAlign w:val="center"/>
          </w:tcPr>
          <w:p>
            <w:pPr>
              <w:widowControl/>
              <w:spacing w:line="270" w:lineRule="exact"/>
              <w:jc w:val="center"/>
              <w:rPr>
                <w:rFonts w:eastAsia="微软雅黑"/>
                <w:b/>
                <w:bCs/>
                <w:color w:val="000000"/>
                <w:kern w:val="0"/>
                <w:sz w:val="18"/>
                <w:szCs w:val="18"/>
              </w:rPr>
            </w:pPr>
            <w:r>
              <w:rPr>
                <w:rFonts w:hint="eastAsia" w:eastAsia="微软雅黑"/>
                <w:b/>
                <w:bCs/>
                <w:color w:val="000000"/>
                <w:sz w:val="15"/>
                <w:szCs w:val="15"/>
                <w:lang w:val="en-US" w:eastAsia="zh-CN"/>
              </w:rPr>
              <w:t>13917.5</w:t>
            </w:r>
            <w:r>
              <w:rPr>
                <w:rFonts w:hint="eastAsia" w:eastAsia="微软雅黑"/>
                <w:b/>
                <w:bCs/>
                <w:color w:val="000000"/>
                <w:sz w:val="15"/>
                <w:szCs w:val="15"/>
              </w:rPr>
              <w:t>平方米（折合</w:t>
            </w:r>
            <w:r>
              <w:rPr>
                <w:rFonts w:hint="eastAsia" w:eastAsia="微软雅黑"/>
                <w:b/>
                <w:bCs/>
                <w:color w:val="000000"/>
                <w:sz w:val="15"/>
                <w:szCs w:val="15"/>
                <w:lang w:val="en-US" w:eastAsia="zh-CN"/>
              </w:rPr>
              <w:t>20.88</w:t>
            </w:r>
            <w:r>
              <w:rPr>
                <w:rFonts w:hint="eastAsia" w:eastAsia="微软雅黑"/>
                <w:b/>
                <w:bCs/>
                <w:color w:val="000000"/>
                <w:sz w:val="15"/>
                <w:szCs w:val="15"/>
              </w:rPr>
              <w:t>亩）</w:t>
            </w:r>
          </w:p>
        </w:tc>
        <w:tc>
          <w:tcPr>
            <w:tcW w:w="295" w:type="pct"/>
            <w:tcBorders>
              <w:right w:val="single" w:color="000000" w:sz="4" w:space="0"/>
            </w:tcBorders>
            <w:vAlign w:val="center"/>
          </w:tcPr>
          <w:p>
            <w:pPr>
              <w:widowControl/>
              <w:spacing w:line="270" w:lineRule="exact"/>
              <w:jc w:val="center"/>
              <w:rPr>
                <w:rFonts w:eastAsia="微软雅黑"/>
                <w:b/>
                <w:bCs/>
                <w:color w:val="000000" w:themeColor="text1"/>
                <w:sz w:val="15"/>
                <w:szCs w:val="15"/>
              </w:rPr>
            </w:pPr>
            <w:r>
              <w:rPr>
                <w:rFonts w:hint="eastAsia" w:eastAsia="微软雅黑"/>
                <w:b/>
                <w:bCs/>
                <w:color w:val="000000"/>
                <w:sz w:val="15"/>
                <w:szCs w:val="15"/>
                <w:lang w:val="en-US" w:eastAsia="zh-CN"/>
              </w:rPr>
              <w:t>商住用地（BR）</w:t>
            </w:r>
          </w:p>
        </w:tc>
        <w:tc>
          <w:tcPr>
            <w:tcW w:w="390" w:type="pct"/>
            <w:tcBorders>
              <w:right w:val="single" w:color="000000" w:sz="4" w:space="0"/>
            </w:tcBorders>
            <w:vAlign w:val="center"/>
          </w:tcPr>
          <w:p>
            <w:pPr>
              <w:widowControl/>
              <w:spacing w:line="270" w:lineRule="exact"/>
              <w:jc w:val="center"/>
              <w:rPr>
                <w:rFonts w:hint="default" w:eastAsia="微软雅黑"/>
                <w:b/>
                <w:bCs/>
                <w:color w:val="000000"/>
                <w:kern w:val="0"/>
                <w:sz w:val="15"/>
                <w:szCs w:val="15"/>
                <w:lang w:val="en-US"/>
              </w:rPr>
            </w:pPr>
            <w:r>
              <w:rPr>
                <w:rFonts w:hint="eastAsia" w:eastAsia="微软雅黑"/>
                <w:b/>
                <w:bCs/>
                <w:color w:val="000000"/>
                <w:kern w:val="0"/>
                <w:sz w:val="15"/>
                <w:szCs w:val="15"/>
                <w:lang w:val="en-US" w:eastAsia="zh-CN"/>
              </w:rPr>
              <w:t>1.0＜</w:t>
            </w:r>
            <w:r>
              <w:rPr>
                <w:rFonts w:eastAsia="微软雅黑"/>
                <w:b/>
                <w:bCs/>
                <w:color w:val="000000"/>
                <w:kern w:val="0"/>
                <w:sz w:val="15"/>
                <w:szCs w:val="15"/>
              </w:rPr>
              <w:t>F≤</w:t>
            </w:r>
            <w:r>
              <w:rPr>
                <w:rFonts w:hint="eastAsia" w:eastAsia="微软雅黑"/>
                <w:b/>
                <w:bCs/>
                <w:color w:val="000000"/>
                <w:kern w:val="0"/>
                <w:sz w:val="15"/>
                <w:szCs w:val="15"/>
                <w:lang w:val="en-US" w:eastAsia="zh-CN"/>
              </w:rPr>
              <w:t>2.5</w:t>
            </w:r>
          </w:p>
        </w:tc>
        <w:tc>
          <w:tcPr>
            <w:tcW w:w="280" w:type="pct"/>
            <w:vAlign w:val="center"/>
          </w:tcPr>
          <w:p>
            <w:pPr>
              <w:widowControl/>
              <w:spacing w:line="270" w:lineRule="exact"/>
              <w:jc w:val="center"/>
              <w:rPr>
                <w:rFonts w:eastAsia="微软雅黑"/>
                <w:b/>
                <w:bCs/>
                <w:color w:val="000000"/>
                <w:kern w:val="0"/>
                <w:sz w:val="15"/>
                <w:szCs w:val="15"/>
              </w:rPr>
            </w:pPr>
            <w:r>
              <w:rPr>
                <w:rFonts w:eastAsia="微软雅黑"/>
                <w:b/>
                <w:bCs/>
                <w:color w:val="000000"/>
                <w:kern w:val="0"/>
                <w:sz w:val="15"/>
                <w:szCs w:val="15"/>
              </w:rPr>
              <w:t>B≤</w:t>
            </w:r>
            <w:r>
              <w:rPr>
                <w:rFonts w:hint="eastAsia" w:eastAsia="微软雅黑"/>
                <w:b/>
                <w:bCs/>
                <w:color w:val="000000"/>
                <w:kern w:val="0"/>
                <w:sz w:val="15"/>
                <w:szCs w:val="15"/>
                <w:lang w:val="en-US" w:eastAsia="zh-CN"/>
              </w:rPr>
              <w:t>45</w:t>
            </w:r>
            <w:r>
              <w:rPr>
                <w:rFonts w:eastAsia="微软雅黑"/>
                <w:b/>
                <w:bCs/>
                <w:color w:val="000000"/>
                <w:kern w:val="0"/>
                <w:sz w:val="15"/>
                <w:szCs w:val="15"/>
              </w:rPr>
              <w:t>%</w:t>
            </w:r>
          </w:p>
        </w:tc>
        <w:tc>
          <w:tcPr>
            <w:tcW w:w="281" w:type="pct"/>
            <w:vAlign w:val="center"/>
          </w:tcPr>
          <w:p>
            <w:pPr>
              <w:widowControl/>
              <w:spacing w:line="270" w:lineRule="exact"/>
              <w:jc w:val="center"/>
              <w:rPr>
                <w:rFonts w:eastAsia="微软雅黑"/>
                <w:b/>
                <w:bCs/>
                <w:color w:val="000000"/>
                <w:kern w:val="0"/>
                <w:sz w:val="15"/>
                <w:szCs w:val="15"/>
              </w:rPr>
            </w:pPr>
            <w:r>
              <w:rPr>
                <w:rFonts w:eastAsia="微软雅黑"/>
                <w:b/>
                <w:bCs/>
                <w:color w:val="000000"/>
                <w:kern w:val="0"/>
                <w:sz w:val="15"/>
                <w:szCs w:val="15"/>
              </w:rPr>
              <w:t>G≥</w:t>
            </w:r>
            <w:r>
              <w:rPr>
                <w:rFonts w:hint="eastAsia" w:eastAsia="微软雅黑"/>
                <w:b/>
                <w:bCs/>
                <w:color w:val="000000"/>
                <w:kern w:val="0"/>
                <w:sz w:val="15"/>
                <w:szCs w:val="15"/>
                <w:lang w:val="en-US" w:eastAsia="zh-CN"/>
              </w:rPr>
              <w:t>30</w:t>
            </w:r>
            <w:r>
              <w:rPr>
                <w:rFonts w:eastAsia="微软雅黑"/>
                <w:b/>
                <w:bCs/>
                <w:color w:val="000000"/>
                <w:kern w:val="0"/>
                <w:sz w:val="15"/>
                <w:szCs w:val="15"/>
              </w:rPr>
              <w:t>%</w:t>
            </w:r>
          </w:p>
        </w:tc>
        <w:tc>
          <w:tcPr>
            <w:tcW w:w="337" w:type="pct"/>
            <w:vAlign w:val="center"/>
          </w:tcPr>
          <w:p>
            <w:pPr>
              <w:widowControl/>
              <w:spacing w:line="270" w:lineRule="exact"/>
              <w:jc w:val="center"/>
              <w:rPr>
                <w:rFonts w:eastAsia="微软雅黑"/>
                <w:b/>
                <w:bCs/>
                <w:color w:val="000000"/>
                <w:kern w:val="0"/>
                <w:sz w:val="15"/>
                <w:szCs w:val="15"/>
              </w:rPr>
            </w:pPr>
            <w:r>
              <w:rPr>
                <w:rFonts w:eastAsia="微软雅黑"/>
                <w:b/>
                <w:bCs/>
                <w:color w:val="000000"/>
                <w:kern w:val="0"/>
                <w:sz w:val="15"/>
                <w:szCs w:val="15"/>
              </w:rPr>
              <w:t>HL≤</w:t>
            </w:r>
            <w:r>
              <w:rPr>
                <w:rFonts w:hint="eastAsia" w:eastAsia="微软雅黑"/>
                <w:b/>
                <w:bCs/>
                <w:color w:val="000000"/>
                <w:kern w:val="0"/>
                <w:sz w:val="15"/>
                <w:szCs w:val="15"/>
                <w:lang w:val="en-US" w:eastAsia="zh-CN"/>
              </w:rPr>
              <w:t>80</w:t>
            </w:r>
            <w:r>
              <w:rPr>
                <w:rFonts w:eastAsia="微软雅黑"/>
                <w:b/>
                <w:bCs/>
                <w:color w:val="000000"/>
                <w:kern w:val="0"/>
                <w:sz w:val="15"/>
                <w:szCs w:val="15"/>
              </w:rPr>
              <w:t>米</w:t>
            </w:r>
          </w:p>
        </w:tc>
        <w:tc>
          <w:tcPr>
            <w:tcW w:w="485" w:type="pct"/>
            <w:vAlign w:val="center"/>
          </w:tcPr>
          <w:p>
            <w:pPr>
              <w:snapToGrid w:val="0"/>
              <w:spacing w:line="240" w:lineRule="exact"/>
              <w:jc w:val="center"/>
              <w:rPr>
                <w:rFonts w:eastAsia="微软雅黑"/>
                <w:b/>
                <w:bCs/>
                <w:color w:val="000000" w:themeColor="text1"/>
                <w:sz w:val="15"/>
                <w:szCs w:val="15"/>
              </w:rPr>
            </w:pPr>
            <w:r>
              <w:rPr>
                <w:rFonts w:eastAsia="微软雅黑"/>
                <w:b/>
                <w:bCs/>
                <w:color w:val="000000" w:themeColor="text1"/>
                <w:sz w:val="15"/>
                <w:szCs w:val="15"/>
              </w:rPr>
              <w:t>详见《</w:t>
            </w:r>
            <w:r>
              <w:rPr>
                <w:rFonts w:hint="eastAsia" w:eastAsia="微软雅黑"/>
                <w:b/>
                <w:bCs/>
                <w:color w:val="000000"/>
                <w:sz w:val="15"/>
                <w:szCs w:val="15"/>
              </w:rPr>
              <w:t>达州市达钢（老厂）片区C02-03地块</w:t>
            </w:r>
            <w:r>
              <w:rPr>
                <w:rFonts w:eastAsia="微软雅黑"/>
                <w:b/>
                <w:bCs/>
                <w:color w:val="000000" w:themeColor="text1"/>
                <w:sz w:val="15"/>
                <w:szCs w:val="15"/>
              </w:rPr>
              <w:t>规划条件》</w:t>
            </w:r>
          </w:p>
        </w:tc>
        <w:tc>
          <w:tcPr>
            <w:tcW w:w="465" w:type="pct"/>
            <w:tcBorders>
              <w:right w:val="single" w:color="000000" w:sz="4" w:space="0"/>
            </w:tcBorders>
            <w:vAlign w:val="center"/>
          </w:tcPr>
          <w:p>
            <w:pPr>
              <w:snapToGrid w:val="0"/>
              <w:spacing w:line="240" w:lineRule="exact"/>
              <w:jc w:val="center"/>
              <w:rPr>
                <w:rFonts w:eastAsia="微软雅黑"/>
                <w:b/>
                <w:bCs/>
                <w:color w:val="000000" w:themeColor="text1"/>
                <w:sz w:val="15"/>
                <w:szCs w:val="15"/>
              </w:rPr>
            </w:pPr>
            <w:r>
              <w:rPr>
                <w:rFonts w:eastAsia="微软雅黑"/>
                <w:b/>
                <w:bCs/>
                <w:color w:val="000000" w:themeColor="text1"/>
                <w:sz w:val="15"/>
                <w:szCs w:val="15"/>
              </w:rPr>
              <w:t>详见《</w:t>
            </w:r>
            <w:r>
              <w:rPr>
                <w:rFonts w:hint="eastAsia" w:eastAsia="微软雅黑"/>
                <w:b/>
                <w:bCs/>
                <w:color w:val="000000"/>
                <w:sz w:val="15"/>
                <w:szCs w:val="15"/>
              </w:rPr>
              <w:t>达州市达钢（老厂）片区C02-03地块</w:t>
            </w:r>
            <w:r>
              <w:rPr>
                <w:rFonts w:eastAsia="微软雅黑"/>
                <w:b/>
                <w:bCs/>
                <w:color w:val="000000" w:themeColor="text1"/>
                <w:sz w:val="15"/>
                <w:szCs w:val="15"/>
              </w:rPr>
              <w:t>规划条件》</w:t>
            </w:r>
          </w:p>
        </w:tc>
        <w:tc>
          <w:tcPr>
            <w:tcW w:w="221" w:type="pct"/>
            <w:tcBorders>
              <w:right w:val="single" w:color="000000" w:sz="4" w:space="0"/>
            </w:tcBorders>
            <w:vAlign w:val="center"/>
          </w:tcPr>
          <w:p>
            <w:pPr>
              <w:widowControl/>
              <w:spacing w:line="270" w:lineRule="exact"/>
              <w:jc w:val="center"/>
              <w:rPr>
                <w:rFonts w:eastAsia="微软雅黑"/>
                <w:b/>
                <w:bCs/>
                <w:color w:val="000000"/>
                <w:kern w:val="0"/>
                <w:sz w:val="15"/>
                <w:szCs w:val="15"/>
              </w:rPr>
            </w:pPr>
            <w:r>
              <w:rPr>
                <w:rFonts w:hint="eastAsia" w:eastAsia="微软雅黑"/>
                <w:b/>
                <w:bCs/>
                <w:color w:val="000000"/>
                <w:kern w:val="0"/>
                <w:sz w:val="15"/>
                <w:szCs w:val="15"/>
                <w:lang w:val="en-US" w:eastAsia="zh-CN"/>
              </w:rPr>
              <w:t>商业用地</w:t>
            </w:r>
            <w:r>
              <w:rPr>
                <w:rFonts w:eastAsia="微软雅黑"/>
                <w:b/>
                <w:bCs/>
                <w:color w:val="000000"/>
                <w:kern w:val="0"/>
                <w:sz w:val="15"/>
                <w:szCs w:val="15"/>
              </w:rPr>
              <w:t>40年</w:t>
            </w:r>
            <w:r>
              <w:rPr>
                <w:rFonts w:hint="eastAsia" w:eastAsia="微软雅黑"/>
                <w:b/>
                <w:bCs/>
                <w:color w:val="000000"/>
                <w:kern w:val="0"/>
                <w:sz w:val="15"/>
                <w:szCs w:val="15"/>
                <w:lang w:eastAsia="zh-CN"/>
              </w:rPr>
              <w:t>、</w:t>
            </w:r>
            <w:r>
              <w:rPr>
                <w:rFonts w:hint="eastAsia" w:eastAsia="微软雅黑"/>
                <w:b/>
                <w:bCs/>
                <w:color w:val="000000"/>
                <w:kern w:val="0"/>
                <w:sz w:val="15"/>
                <w:szCs w:val="15"/>
                <w:lang w:val="en-US" w:eastAsia="zh-CN"/>
              </w:rPr>
              <w:t>住宅用地70年</w:t>
            </w:r>
          </w:p>
        </w:tc>
        <w:tc>
          <w:tcPr>
            <w:tcW w:w="253" w:type="pct"/>
            <w:tcBorders>
              <w:right w:val="single" w:color="000000" w:sz="4" w:space="0"/>
            </w:tcBorders>
            <w:vAlign w:val="center"/>
          </w:tcPr>
          <w:p>
            <w:pPr>
              <w:spacing w:line="240" w:lineRule="exact"/>
              <w:jc w:val="center"/>
              <w:rPr>
                <w:rFonts w:eastAsia="微软雅黑"/>
                <w:b/>
                <w:bCs/>
                <w:color w:val="000000" w:themeColor="text1"/>
                <w:sz w:val="15"/>
                <w:szCs w:val="15"/>
              </w:rPr>
            </w:pPr>
            <w:r>
              <w:rPr>
                <w:rFonts w:hint="eastAsia" w:eastAsia="微软雅黑"/>
                <w:b/>
                <w:bCs/>
                <w:color w:val="000000" w:themeColor="text1"/>
                <w:sz w:val="15"/>
                <w:szCs w:val="15"/>
                <w:lang w:val="en-US" w:eastAsia="zh-CN"/>
              </w:rPr>
              <w:t>412</w:t>
            </w:r>
            <w:r>
              <w:rPr>
                <w:rFonts w:eastAsia="微软雅黑"/>
                <w:b/>
                <w:bCs/>
                <w:color w:val="000000" w:themeColor="text1"/>
                <w:sz w:val="15"/>
                <w:szCs w:val="15"/>
              </w:rPr>
              <w:t>万元/亩</w:t>
            </w:r>
          </w:p>
        </w:tc>
        <w:tc>
          <w:tcPr>
            <w:tcW w:w="314" w:type="pct"/>
            <w:tcBorders>
              <w:right w:val="single" w:color="000000" w:sz="4" w:space="0"/>
            </w:tcBorders>
            <w:vAlign w:val="center"/>
          </w:tcPr>
          <w:p>
            <w:pPr>
              <w:spacing w:line="240" w:lineRule="exact"/>
              <w:jc w:val="center"/>
              <w:rPr>
                <w:rFonts w:eastAsia="微软雅黑"/>
                <w:b/>
                <w:bCs/>
                <w:color w:val="000000" w:themeColor="text1"/>
                <w:sz w:val="15"/>
                <w:szCs w:val="15"/>
              </w:rPr>
            </w:pPr>
            <w:r>
              <w:rPr>
                <w:rFonts w:eastAsia="微软雅黑"/>
                <w:b/>
                <w:bCs/>
                <w:color w:val="000000" w:themeColor="text1"/>
                <w:sz w:val="15"/>
                <w:szCs w:val="15"/>
              </w:rPr>
              <w:t>5万元/ 亩或5万元/ 亩的整倍数</w:t>
            </w:r>
          </w:p>
        </w:tc>
        <w:tc>
          <w:tcPr>
            <w:tcW w:w="209" w:type="pct"/>
            <w:tcBorders>
              <w:right w:val="single" w:color="000000" w:sz="4" w:space="0"/>
            </w:tcBorders>
            <w:vAlign w:val="center"/>
          </w:tcPr>
          <w:p>
            <w:pPr>
              <w:spacing w:line="240" w:lineRule="exact"/>
              <w:jc w:val="center"/>
              <w:rPr>
                <w:rFonts w:eastAsia="微软雅黑"/>
                <w:b/>
                <w:bCs/>
                <w:color w:val="000000" w:themeColor="text1"/>
                <w:sz w:val="15"/>
                <w:szCs w:val="15"/>
              </w:rPr>
            </w:pPr>
            <w:r>
              <w:rPr>
                <w:rFonts w:hint="eastAsia" w:eastAsia="微软雅黑"/>
                <w:b/>
                <w:bCs/>
                <w:color w:val="000000" w:themeColor="text1"/>
                <w:sz w:val="15"/>
                <w:szCs w:val="15"/>
                <w:lang w:val="en-US" w:eastAsia="zh-CN"/>
              </w:rPr>
              <w:t>1730</w:t>
            </w:r>
            <w:r>
              <w:rPr>
                <w:rFonts w:eastAsia="微软雅黑"/>
                <w:b/>
                <w:bCs/>
                <w:color w:val="000000" w:themeColor="text1"/>
                <w:sz w:val="15"/>
                <w:szCs w:val="15"/>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14" w:hRule="atLeast"/>
          <w:jc w:val="center"/>
        </w:trPr>
        <w:tc>
          <w:tcPr>
            <w:tcW w:w="459" w:type="dxa"/>
            <w:tcBorders>
              <w:left w:val="single" w:color="000000" w:sz="4" w:space="0"/>
            </w:tcBorders>
            <w:vAlign w:val="center"/>
          </w:tcPr>
          <w:p>
            <w:pPr>
              <w:spacing w:line="240" w:lineRule="exact"/>
              <w:jc w:val="center"/>
              <w:rPr>
                <w:rFonts w:hint="eastAsia" w:eastAsia="微软雅黑"/>
                <w:b/>
                <w:bCs/>
                <w:color w:val="000000" w:themeColor="text1"/>
                <w:sz w:val="15"/>
                <w:szCs w:val="15"/>
                <w:lang w:val="en-US" w:eastAsia="zh-CN"/>
              </w:rPr>
            </w:pPr>
            <w:r>
              <w:rPr>
                <w:rFonts w:hint="eastAsia" w:eastAsia="微软雅黑"/>
                <w:b/>
                <w:bCs/>
                <w:color w:val="000000" w:themeColor="text1"/>
                <w:sz w:val="15"/>
                <w:szCs w:val="15"/>
                <w:lang w:val="en-US" w:eastAsia="zh-CN"/>
              </w:rPr>
              <w:t>3</w:t>
            </w:r>
          </w:p>
        </w:tc>
        <w:tc>
          <w:tcPr>
            <w:tcW w:w="866" w:type="dxa"/>
            <w:tcBorders>
              <w:right w:val="single" w:color="000000" w:sz="4" w:space="0"/>
            </w:tcBorders>
            <w:vAlign w:val="center"/>
          </w:tcPr>
          <w:p>
            <w:pPr>
              <w:widowControl/>
              <w:spacing w:line="270" w:lineRule="exact"/>
              <w:jc w:val="center"/>
              <w:rPr>
                <w:rFonts w:hint="eastAsia" w:eastAsia="微软雅黑"/>
                <w:b/>
                <w:bCs/>
                <w:color w:val="000000"/>
                <w:sz w:val="15"/>
                <w:szCs w:val="15"/>
                <w:lang w:val="en-US" w:eastAsia="zh-CN"/>
              </w:rPr>
            </w:pPr>
            <w:r>
              <w:rPr>
                <w:rFonts w:hint="eastAsia" w:eastAsia="微软雅黑"/>
                <w:b/>
                <w:bCs/>
                <w:color w:val="000000"/>
                <w:sz w:val="15"/>
                <w:szCs w:val="15"/>
                <w:lang w:val="en-US" w:eastAsia="zh-CN"/>
              </w:rPr>
              <w:t>达州市达钢（老厂）片区C05-03地块</w:t>
            </w:r>
          </w:p>
        </w:tc>
        <w:tc>
          <w:tcPr>
            <w:tcW w:w="795" w:type="dxa"/>
            <w:tcBorders>
              <w:right w:val="single" w:color="000000" w:sz="4" w:space="0"/>
            </w:tcBorders>
            <w:vAlign w:val="center"/>
          </w:tcPr>
          <w:p>
            <w:pPr>
              <w:widowControl/>
              <w:spacing w:line="270" w:lineRule="exact"/>
              <w:jc w:val="center"/>
              <w:rPr>
                <w:rFonts w:hint="eastAsia" w:eastAsia="微软雅黑"/>
                <w:b/>
                <w:bCs/>
                <w:color w:val="000000"/>
                <w:sz w:val="15"/>
                <w:szCs w:val="15"/>
                <w:lang w:val="en-US" w:eastAsia="zh-CN"/>
              </w:rPr>
            </w:pPr>
            <w:r>
              <w:rPr>
                <w:rFonts w:hint="eastAsia" w:eastAsia="微软雅黑"/>
                <w:b/>
                <w:bCs/>
                <w:color w:val="000000"/>
                <w:sz w:val="15"/>
                <w:szCs w:val="15"/>
                <w:lang w:val="en-US" w:eastAsia="zh-CN"/>
              </w:rPr>
              <w:t>通川区西河路</w:t>
            </w:r>
          </w:p>
        </w:tc>
        <w:tc>
          <w:tcPr>
            <w:tcW w:w="856" w:type="dxa"/>
            <w:tcBorders>
              <w:right w:val="single" w:color="000000" w:sz="4" w:space="0"/>
            </w:tcBorders>
            <w:vAlign w:val="center"/>
          </w:tcPr>
          <w:p>
            <w:pPr>
              <w:widowControl/>
              <w:spacing w:line="270" w:lineRule="exact"/>
              <w:jc w:val="center"/>
              <w:rPr>
                <w:rFonts w:hint="eastAsia" w:eastAsia="微软雅黑"/>
                <w:b/>
                <w:bCs/>
                <w:color w:val="000000"/>
                <w:sz w:val="15"/>
                <w:szCs w:val="15"/>
                <w:lang w:val="en-US" w:eastAsia="zh-CN"/>
              </w:rPr>
            </w:pPr>
            <w:r>
              <w:rPr>
                <w:rFonts w:hint="eastAsia" w:eastAsia="微软雅黑"/>
                <w:b/>
                <w:bCs/>
                <w:color w:val="000000"/>
                <w:sz w:val="15"/>
                <w:szCs w:val="15"/>
                <w:lang w:val="en-US" w:eastAsia="zh-CN"/>
              </w:rPr>
              <w:t>16164.21</w:t>
            </w:r>
            <w:r>
              <w:rPr>
                <w:rFonts w:hint="eastAsia" w:eastAsia="微软雅黑"/>
                <w:b/>
                <w:bCs/>
                <w:color w:val="000000"/>
                <w:sz w:val="15"/>
                <w:szCs w:val="15"/>
              </w:rPr>
              <w:t>平方米（折合</w:t>
            </w:r>
            <w:r>
              <w:rPr>
                <w:rFonts w:hint="eastAsia" w:eastAsia="微软雅黑"/>
                <w:b/>
                <w:bCs/>
                <w:color w:val="000000"/>
                <w:sz w:val="15"/>
                <w:szCs w:val="15"/>
                <w:lang w:val="en-US" w:eastAsia="zh-CN"/>
              </w:rPr>
              <w:t>24.25</w:t>
            </w:r>
            <w:r>
              <w:rPr>
                <w:rFonts w:hint="eastAsia" w:eastAsia="微软雅黑"/>
                <w:b/>
                <w:bCs/>
                <w:color w:val="000000"/>
                <w:sz w:val="15"/>
                <w:szCs w:val="15"/>
              </w:rPr>
              <w:t>亩）</w:t>
            </w:r>
          </w:p>
        </w:tc>
        <w:tc>
          <w:tcPr>
            <w:tcW w:w="600" w:type="dxa"/>
            <w:tcBorders>
              <w:right w:val="single" w:color="000000" w:sz="4" w:space="0"/>
            </w:tcBorders>
            <w:vAlign w:val="center"/>
          </w:tcPr>
          <w:p>
            <w:pPr>
              <w:widowControl/>
              <w:spacing w:line="270" w:lineRule="exact"/>
              <w:jc w:val="center"/>
              <w:rPr>
                <w:rFonts w:hint="default" w:eastAsia="微软雅黑"/>
                <w:b/>
                <w:bCs/>
                <w:color w:val="000000"/>
                <w:sz w:val="15"/>
                <w:szCs w:val="15"/>
                <w:lang w:val="en-US" w:eastAsia="zh-CN"/>
              </w:rPr>
            </w:pPr>
            <w:r>
              <w:rPr>
                <w:rFonts w:hint="eastAsia" w:eastAsia="微软雅黑"/>
                <w:b/>
                <w:bCs/>
                <w:color w:val="000000"/>
                <w:sz w:val="15"/>
                <w:szCs w:val="15"/>
                <w:lang w:val="en-US" w:eastAsia="zh-CN"/>
              </w:rPr>
              <w:t>二类居住用地（R21）</w:t>
            </w:r>
          </w:p>
        </w:tc>
        <w:tc>
          <w:tcPr>
            <w:tcW w:w="793" w:type="dxa"/>
            <w:tcBorders>
              <w:right w:val="single" w:color="000000" w:sz="4" w:space="0"/>
            </w:tcBorders>
            <w:vAlign w:val="center"/>
          </w:tcPr>
          <w:p>
            <w:pPr>
              <w:widowControl/>
              <w:spacing w:line="270" w:lineRule="exact"/>
              <w:jc w:val="center"/>
              <w:rPr>
                <w:rFonts w:hint="default" w:eastAsia="微软雅黑"/>
                <w:b/>
                <w:bCs/>
                <w:color w:val="000000"/>
                <w:kern w:val="0"/>
                <w:sz w:val="15"/>
                <w:szCs w:val="15"/>
                <w:lang w:val="en-US" w:eastAsia="zh-CN"/>
              </w:rPr>
            </w:pPr>
            <w:r>
              <w:rPr>
                <w:rFonts w:hint="eastAsia" w:eastAsia="微软雅黑"/>
                <w:b/>
                <w:bCs/>
                <w:color w:val="000000"/>
                <w:kern w:val="0"/>
                <w:sz w:val="15"/>
                <w:szCs w:val="15"/>
                <w:lang w:val="en-US" w:eastAsia="zh-CN"/>
              </w:rPr>
              <w:t>1.0＜</w:t>
            </w:r>
            <w:r>
              <w:rPr>
                <w:rFonts w:eastAsia="微软雅黑"/>
                <w:b/>
                <w:bCs/>
                <w:color w:val="000000"/>
                <w:kern w:val="0"/>
                <w:sz w:val="15"/>
                <w:szCs w:val="15"/>
              </w:rPr>
              <w:t>F≤</w:t>
            </w:r>
            <w:r>
              <w:rPr>
                <w:rFonts w:hint="eastAsia" w:eastAsia="微软雅黑"/>
                <w:b/>
                <w:bCs/>
                <w:color w:val="000000"/>
                <w:kern w:val="0"/>
                <w:sz w:val="15"/>
                <w:szCs w:val="15"/>
                <w:lang w:val="en-US" w:eastAsia="zh-CN"/>
              </w:rPr>
              <w:t>2.5</w:t>
            </w:r>
          </w:p>
        </w:tc>
        <w:tc>
          <w:tcPr>
            <w:tcW w:w="570" w:type="dxa"/>
            <w:vAlign w:val="center"/>
          </w:tcPr>
          <w:p>
            <w:pPr>
              <w:widowControl/>
              <w:spacing w:line="270" w:lineRule="exact"/>
              <w:jc w:val="center"/>
              <w:rPr>
                <w:rFonts w:eastAsia="微软雅黑"/>
                <w:b/>
                <w:bCs/>
                <w:color w:val="000000"/>
                <w:kern w:val="0"/>
                <w:sz w:val="15"/>
                <w:szCs w:val="15"/>
              </w:rPr>
            </w:pPr>
            <w:r>
              <w:rPr>
                <w:rFonts w:eastAsia="微软雅黑"/>
                <w:b/>
                <w:bCs/>
                <w:color w:val="000000"/>
                <w:kern w:val="0"/>
                <w:sz w:val="15"/>
                <w:szCs w:val="15"/>
              </w:rPr>
              <w:t>B≤</w:t>
            </w:r>
            <w:r>
              <w:rPr>
                <w:rFonts w:hint="eastAsia" w:eastAsia="微软雅黑"/>
                <w:b/>
                <w:bCs/>
                <w:color w:val="000000"/>
                <w:kern w:val="0"/>
                <w:sz w:val="15"/>
                <w:szCs w:val="15"/>
                <w:lang w:val="en-US" w:eastAsia="zh-CN"/>
              </w:rPr>
              <w:t>22</w:t>
            </w:r>
            <w:r>
              <w:rPr>
                <w:rFonts w:eastAsia="微软雅黑"/>
                <w:b/>
                <w:bCs/>
                <w:color w:val="000000"/>
                <w:kern w:val="0"/>
                <w:sz w:val="15"/>
                <w:szCs w:val="15"/>
              </w:rPr>
              <w:t>%</w:t>
            </w:r>
          </w:p>
        </w:tc>
        <w:tc>
          <w:tcPr>
            <w:tcW w:w="572" w:type="dxa"/>
            <w:vAlign w:val="center"/>
          </w:tcPr>
          <w:p>
            <w:pPr>
              <w:widowControl/>
              <w:spacing w:line="270" w:lineRule="exact"/>
              <w:jc w:val="center"/>
              <w:rPr>
                <w:rFonts w:eastAsia="微软雅黑"/>
                <w:b/>
                <w:bCs/>
                <w:color w:val="000000"/>
                <w:kern w:val="0"/>
                <w:sz w:val="15"/>
                <w:szCs w:val="15"/>
              </w:rPr>
            </w:pPr>
            <w:r>
              <w:rPr>
                <w:rFonts w:eastAsia="微软雅黑"/>
                <w:b/>
                <w:bCs/>
                <w:color w:val="000000"/>
                <w:kern w:val="0"/>
                <w:sz w:val="15"/>
                <w:szCs w:val="15"/>
              </w:rPr>
              <w:t>G≥</w:t>
            </w:r>
            <w:r>
              <w:rPr>
                <w:rFonts w:hint="eastAsia" w:eastAsia="微软雅黑"/>
                <w:b/>
                <w:bCs/>
                <w:color w:val="000000"/>
                <w:kern w:val="0"/>
                <w:sz w:val="15"/>
                <w:szCs w:val="15"/>
                <w:lang w:val="en-US" w:eastAsia="zh-CN"/>
              </w:rPr>
              <w:t>35</w:t>
            </w:r>
            <w:r>
              <w:rPr>
                <w:rFonts w:eastAsia="微软雅黑"/>
                <w:b/>
                <w:bCs/>
                <w:color w:val="000000"/>
                <w:kern w:val="0"/>
                <w:sz w:val="15"/>
                <w:szCs w:val="15"/>
              </w:rPr>
              <w:t>%</w:t>
            </w:r>
          </w:p>
        </w:tc>
        <w:tc>
          <w:tcPr>
            <w:tcW w:w="686" w:type="dxa"/>
            <w:vAlign w:val="center"/>
          </w:tcPr>
          <w:p>
            <w:pPr>
              <w:widowControl/>
              <w:spacing w:line="270" w:lineRule="exact"/>
              <w:jc w:val="center"/>
              <w:rPr>
                <w:rFonts w:eastAsia="微软雅黑"/>
                <w:b/>
                <w:bCs/>
                <w:color w:val="000000"/>
                <w:kern w:val="0"/>
                <w:sz w:val="15"/>
                <w:szCs w:val="15"/>
              </w:rPr>
            </w:pPr>
            <w:r>
              <w:rPr>
                <w:rFonts w:eastAsia="微软雅黑"/>
                <w:b/>
                <w:bCs/>
                <w:color w:val="000000"/>
                <w:kern w:val="0"/>
                <w:sz w:val="15"/>
                <w:szCs w:val="15"/>
              </w:rPr>
              <w:t>HL≤</w:t>
            </w:r>
            <w:r>
              <w:rPr>
                <w:rFonts w:hint="eastAsia" w:eastAsia="微软雅黑"/>
                <w:b/>
                <w:bCs/>
                <w:color w:val="000000"/>
                <w:kern w:val="0"/>
                <w:sz w:val="15"/>
                <w:szCs w:val="15"/>
                <w:lang w:val="en-US" w:eastAsia="zh-CN"/>
              </w:rPr>
              <w:t>60</w:t>
            </w:r>
            <w:r>
              <w:rPr>
                <w:rFonts w:eastAsia="微软雅黑"/>
                <w:b/>
                <w:bCs/>
                <w:color w:val="000000"/>
                <w:kern w:val="0"/>
                <w:sz w:val="15"/>
                <w:szCs w:val="15"/>
              </w:rPr>
              <w:t>米</w:t>
            </w:r>
          </w:p>
        </w:tc>
        <w:tc>
          <w:tcPr>
            <w:tcW w:w="985" w:type="dxa"/>
            <w:vAlign w:val="center"/>
          </w:tcPr>
          <w:p>
            <w:pPr>
              <w:snapToGrid w:val="0"/>
              <w:spacing w:line="240" w:lineRule="exact"/>
              <w:jc w:val="center"/>
              <w:rPr>
                <w:rFonts w:eastAsia="微软雅黑"/>
                <w:b/>
                <w:bCs/>
                <w:color w:val="000000" w:themeColor="text1"/>
                <w:sz w:val="15"/>
                <w:szCs w:val="15"/>
              </w:rPr>
            </w:pPr>
            <w:r>
              <w:rPr>
                <w:rFonts w:eastAsia="微软雅黑"/>
                <w:b/>
                <w:bCs/>
                <w:color w:val="000000" w:themeColor="text1"/>
                <w:sz w:val="15"/>
                <w:szCs w:val="15"/>
              </w:rPr>
              <w:t>详见《</w:t>
            </w:r>
            <w:r>
              <w:rPr>
                <w:rFonts w:hint="eastAsia" w:eastAsia="微软雅黑"/>
                <w:b/>
                <w:bCs/>
                <w:color w:val="000000"/>
                <w:sz w:val="15"/>
                <w:szCs w:val="15"/>
                <w:lang w:val="en-US" w:eastAsia="zh-CN"/>
              </w:rPr>
              <w:t>达州市达钢（老厂）片区C05-03地块</w:t>
            </w:r>
            <w:r>
              <w:rPr>
                <w:rFonts w:eastAsia="微软雅黑"/>
                <w:b/>
                <w:bCs/>
                <w:color w:val="000000" w:themeColor="text1"/>
                <w:sz w:val="15"/>
                <w:szCs w:val="15"/>
              </w:rPr>
              <w:t>规划条件》</w:t>
            </w:r>
          </w:p>
        </w:tc>
        <w:tc>
          <w:tcPr>
            <w:tcW w:w="945" w:type="dxa"/>
            <w:tcBorders>
              <w:right w:val="single" w:color="000000" w:sz="4" w:space="0"/>
            </w:tcBorders>
            <w:vAlign w:val="center"/>
          </w:tcPr>
          <w:p>
            <w:pPr>
              <w:snapToGrid w:val="0"/>
              <w:spacing w:line="240" w:lineRule="exact"/>
              <w:jc w:val="center"/>
              <w:rPr>
                <w:rFonts w:eastAsia="微软雅黑"/>
                <w:b/>
                <w:bCs/>
                <w:color w:val="000000" w:themeColor="text1"/>
                <w:sz w:val="15"/>
                <w:szCs w:val="15"/>
              </w:rPr>
            </w:pPr>
            <w:r>
              <w:rPr>
                <w:rFonts w:eastAsia="微软雅黑"/>
                <w:b/>
                <w:bCs/>
                <w:color w:val="000000" w:themeColor="text1"/>
                <w:sz w:val="15"/>
                <w:szCs w:val="15"/>
              </w:rPr>
              <w:t>详见《</w:t>
            </w:r>
            <w:r>
              <w:rPr>
                <w:rFonts w:hint="eastAsia" w:eastAsia="微软雅黑"/>
                <w:b/>
                <w:bCs/>
                <w:color w:val="000000"/>
                <w:sz w:val="15"/>
                <w:szCs w:val="15"/>
                <w:lang w:val="en-US" w:eastAsia="zh-CN"/>
              </w:rPr>
              <w:t>达州市达钢（老厂）片区C05-03地块</w:t>
            </w:r>
            <w:r>
              <w:rPr>
                <w:rFonts w:eastAsia="微软雅黑"/>
                <w:b/>
                <w:bCs/>
                <w:color w:val="000000" w:themeColor="text1"/>
                <w:sz w:val="15"/>
                <w:szCs w:val="15"/>
              </w:rPr>
              <w:t>规划条件》</w:t>
            </w:r>
          </w:p>
        </w:tc>
        <w:tc>
          <w:tcPr>
            <w:tcW w:w="449" w:type="dxa"/>
            <w:tcBorders>
              <w:right w:val="single" w:color="000000" w:sz="4" w:space="0"/>
            </w:tcBorders>
            <w:vAlign w:val="center"/>
          </w:tcPr>
          <w:p>
            <w:pPr>
              <w:widowControl/>
              <w:spacing w:line="270" w:lineRule="exact"/>
              <w:jc w:val="center"/>
              <w:rPr>
                <w:rFonts w:hint="eastAsia" w:eastAsia="微软雅黑"/>
                <w:b/>
                <w:bCs/>
                <w:color w:val="000000"/>
                <w:kern w:val="0"/>
                <w:sz w:val="15"/>
                <w:szCs w:val="15"/>
                <w:lang w:val="en-US" w:eastAsia="zh-CN"/>
              </w:rPr>
            </w:pPr>
            <w:r>
              <w:rPr>
                <w:rFonts w:hint="eastAsia" w:eastAsia="微软雅黑"/>
                <w:b/>
                <w:bCs/>
                <w:color w:val="000000"/>
                <w:kern w:val="0"/>
                <w:sz w:val="15"/>
                <w:szCs w:val="15"/>
                <w:lang w:val="en-US" w:eastAsia="zh-CN"/>
              </w:rPr>
              <w:t>商业用地</w:t>
            </w:r>
            <w:r>
              <w:rPr>
                <w:rFonts w:eastAsia="微软雅黑"/>
                <w:b/>
                <w:bCs/>
                <w:color w:val="000000"/>
                <w:kern w:val="0"/>
                <w:sz w:val="15"/>
                <w:szCs w:val="15"/>
              </w:rPr>
              <w:t>40年</w:t>
            </w:r>
            <w:r>
              <w:rPr>
                <w:rFonts w:hint="eastAsia" w:eastAsia="微软雅黑"/>
                <w:b/>
                <w:bCs/>
                <w:color w:val="000000"/>
                <w:kern w:val="0"/>
                <w:sz w:val="15"/>
                <w:szCs w:val="15"/>
                <w:lang w:eastAsia="zh-CN"/>
              </w:rPr>
              <w:t>、</w:t>
            </w:r>
            <w:r>
              <w:rPr>
                <w:rFonts w:hint="eastAsia" w:eastAsia="微软雅黑"/>
                <w:b/>
                <w:bCs/>
                <w:color w:val="000000"/>
                <w:kern w:val="0"/>
                <w:sz w:val="15"/>
                <w:szCs w:val="15"/>
                <w:lang w:val="en-US" w:eastAsia="zh-CN"/>
              </w:rPr>
              <w:t>住宅用地70年</w:t>
            </w:r>
          </w:p>
        </w:tc>
        <w:tc>
          <w:tcPr>
            <w:tcW w:w="516" w:type="dxa"/>
            <w:tcBorders>
              <w:right w:val="single" w:color="000000" w:sz="4" w:space="0"/>
            </w:tcBorders>
            <w:vAlign w:val="center"/>
          </w:tcPr>
          <w:p>
            <w:pPr>
              <w:spacing w:line="240" w:lineRule="exact"/>
              <w:jc w:val="center"/>
              <w:rPr>
                <w:rFonts w:hint="eastAsia" w:eastAsia="微软雅黑"/>
                <w:b/>
                <w:bCs/>
                <w:color w:val="000000" w:themeColor="text1"/>
                <w:sz w:val="15"/>
                <w:szCs w:val="15"/>
                <w:lang w:val="en-US" w:eastAsia="zh-CN"/>
              </w:rPr>
            </w:pPr>
            <w:r>
              <w:rPr>
                <w:rFonts w:hint="eastAsia" w:eastAsia="微软雅黑"/>
                <w:b/>
                <w:bCs/>
                <w:color w:val="000000" w:themeColor="text1"/>
                <w:sz w:val="15"/>
                <w:szCs w:val="15"/>
                <w:lang w:val="en-US" w:eastAsia="zh-CN"/>
              </w:rPr>
              <w:t>411</w:t>
            </w:r>
            <w:r>
              <w:rPr>
                <w:rFonts w:eastAsia="微软雅黑"/>
                <w:b/>
                <w:bCs/>
                <w:color w:val="000000" w:themeColor="text1"/>
                <w:sz w:val="15"/>
                <w:szCs w:val="15"/>
              </w:rPr>
              <w:t>万元/亩</w:t>
            </w:r>
          </w:p>
        </w:tc>
        <w:tc>
          <w:tcPr>
            <w:tcW w:w="639" w:type="dxa"/>
            <w:tcBorders>
              <w:right w:val="single" w:color="000000" w:sz="4" w:space="0"/>
            </w:tcBorders>
            <w:vAlign w:val="center"/>
          </w:tcPr>
          <w:p>
            <w:pPr>
              <w:spacing w:line="240" w:lineRule="exact"/>
              <w:jc w:val="center"/>
              <w:rPr>
                <w:rFonts w:eastAsia="微软雅黑"/>
                <w:b/>
                <w:bCs/>
                <w:color w:val="000000" w:themeColor="text1"/>
                <w:sz w:val="15"/>
                <w:szCs w:val="15"/>
              </w:rPr>
            </w:pPr>
            <w:r>
              <w:rPr>
                <w:rFonts w:eastAsia="微软雅黑"/>
                <w:b/>
                <w:bCs/>
                <w:color w:val="000000" w:themeColor="text1"/>
                <w:sz w:val="15"/>
                <w:szCs w:val="15"/>
              </w:rPr>
              <w:t>5万元/ 亩或5万元/ 亩的整倍数</w:t>
            </w:r>
          </w:p>
        </w:tc>
        <w:tc>
          <w:tcPr>
            <w:tcW w:w="424" w:type="dxa"/>
            <w:tcBorders>
              <w:right w:val="single" w:color="000000" w:sz="4" w:space="0"/>
            </w:tcBorders>
            <w:vAlign w:val="center"/>
          </w:tcPr>
          <w:p>
            <w:pPr>
              <w:spacing w:line="240" w:lineRule="exact"/>
              <w:jc w:val="center"/>
              <w:rPr>
                <w:rFonts w:hint="eastAsia" w:eastAsia="微软雅黑"/>
                <w:b/>
                <w:bCs/>
                <w:color w:val="000000" w:themeColor="text1"/>
                <w:sz w:val="15"/>
                <w:szCs w:val="15"/>
                <w:lang w:val="en-US" w:eastAsia="zh-CN"/>
              </w:rPr>
            </w:pPr>
            <w:r>
              <w:rPr>
                <w:rFonts w:hint="eastAsia" w:eastAsia="微软雅黑"/>
                <w:b/>
                <w:bCs/>
                <w:color w:val="000000" w:themeColor="text1"/>
                <w:sz w:val="15"/>
                <w:szCs w:val="15"/>
                <w:lang w:val="en-US" w:eastAsia="zh-CN"/>
              </w:rPr>
              <w:t>2000</w:t>
            </w:r>
            <w:r>
              <w:rPr>
                <w:rFonts w:eastAsia="微软雅黑"/>
                <w:b/>
                <w:bCs/>
                <w:color w:val="000000" w:themeColor="text1"/>
                <w:sz w:val="15"/>
                <w:szCs w:val="15"/>
              </w:rPr>
              <w:t>万元</w:t>
            </w:r>
          </w:p>
        </w:tc>
      </w:tr>
    </w:tbl>
    <w:p>
      <w:pPr>
        <w:keepNext w:val="0"/>
        <w:keepLines w:val="0"/>
        <w:pageBreakBefore w:val="0"/>
        <w:kinsoku/>
        <w:wordWrap/>
        <w:overflowPunct/>
        <w:topLinePunct w:val="0"/>
        <w:autoSpaceDE/>
        <w:autoSpaceDN/>
        <w:bidi w:val="0"/>
        <w:adjustRightInd/>
        <w:snapToGrid w:val="0"/>
        <w:spacing w:line="530" w:lineRule="exact"/>
        <w:ind w:right="0" w:firstLine="640" w:firstLineChars="200"/>
        <w:jc w:val="both"/>
        <w:textAlignment w:val="auto"/>
        <w:rPr>
          <w:rFonts w:eastAsia="仿宋"/>
          <w:color w:val="000000" w:themeColor="text1"/>
          <w:sz w:val="32"/>
          <w:szCs w:val="32"/>
        </w:rPr>
      </w:pPr>
      <w:r>
        <w:rPr>
          <w:rFonts w:eastAsia="仿宋"/>
          <w:color w:val="000000" w:themeColor="text1"/>
          <w:sz w:val="32"/>
          <w:szCs w:val="32"/>
        </w:rPr>
        <w:t>二、中华人民共和国境内外的法人、自然人和其他组织均可申请参加竞买</w:t>
      </w:r>
      <w:r>
        <w:rPr>
          <w:rFonts w:hint="eastAsia" w:eastAsia="仿宋"/>
          <w:color w:val="000000" w:themeColor="text1"/>
          <w:sz w:val="32"/>
          <w:szCs w:val="32"/>
          <w:lang w:eastAsia="zh-CN"/>
        </w:rPr>
        <w:t>，</w:t>
      </w:r>
      <w:r>
        <w:rPr>
          <w:rFonts w:eastAsia="仿宋"/>
          <w:color w:val="000000" w:themeColor="text1"/>
          <w:sz w:val="32"/>
          <w:szCs w:val="32"/>
        </w:rPr>
        <w:t>竞买申请人可以单独申请</w:t>
      </w:r>
      <w:r>
        <w:rPr>
          <w:rFonts w:hint="eastAsia" w:eastAsia="仿宋"/>
          <w:color w:val="000000" w:themeColor="text1"/>
          <w:sz w:val="32"/>
          <w:szCs w:val="32"/>
          <w:lang w:eastAsia="zh-CN"/>
        </w:rPr>
        <w:t>，</w:t>
      </w:r>
      <w:r>
        <w:rPr>
          <w:rFonts w:eastAsia="仿宋"/>
          <w:color w:val="000000" w:themeColor="text1"/>
          <w:sz w:val="32"/>
          <w:szCs w:val="32"/>
        </w:rPr>
        <w:t>也可以联合申请，但法律法规或出让文件有特殊规定的除外。</w:t>
      </w:r>
    </w:p>
    <w:p>
      <w:pPr>
        <w:keepNext w:val="0"/>
        <w:keepLines w:val="0"/>
        <w:pageBreakBefore w:val="0"/>
        <w:kinsoku/>
        <w:wordWrap/>
        <w:overflowPunct/>
        <w:topLinePunct w:val="0"/>
        <w:autoSpaceDE/>
        <w:autoSpaceDN/>
        <w:bidi w:val="0"/>
        <w:adjustRightInd/>
        <w:snapToGrid w:val="0"/>
        <w:spacing w:line="530" w:lineRule="exact"/>
        <w:ind w:left="0" w:leftChars="0" w:right="0" w:firstLine="640" w:firstLineChars="200"/>
        <w:jc w:val="both"/>
        <w:textAlignment w:val="auto"/>
        <w:rPr>
          <w:rFonts w:eastAsia="仿宋"/>
          <w:color w:val="000000" w:themeColor="text1"/>
          <w:sz w:val="32"/>
          <w:szCs w:val="32"/>
        </w:rPr>
      </w:pPr>
      <w:r>
        <w:rPr>
          <w:rFonts w:eastAsia="仿宋"/>
          <w:color w:val="000000" w:themeColor="text1"/>
          <w:sz w:val="32"/>
          <w:szCs w:val="32"/>
        </w:rPr>
        <w:t>三、申请参加本公告土地竞买的，竞买保证金须按竞买宗地对应金额足额缴纳。</w:t>
      </w:r>
    </w:p>
    <w:p>
      <w:pPr>
        <w:keepNext w:val="0"/>
        <w:keepLines w:val="0"/>
        <w:pageBreakBefore w:val="0"/>
        <w:kinsoku/>
        <w:wordWrap/>
        <w:overflowPunct/>
        <w:topLinePunct w:val="0"/>
        <w:autoSpaceDE/>
        <w:autoSpaceDN/>
        <w:bidi w:val="0"/>
        <w:adjustRightInd/>
        <w:snapToGrid w:val="0"/>
        <w:spacing w:line="530" w:lineRule="exact"/>
        <w:ind w:left="0" w:leftChars="0" w:right="0" w:firstLine="640" w:firstLineChars="200"/>
        <w:jc w:val="both"/>
        <w:textAlignment w:val="auto"/>
        <w:rPr>
          <w:rFonts w:eastAsia="仿宋"/>
          <w:color w:val="000000" w:themeColor="text1"/>
          <w:sz w:val="32"/>
          <w:szCs w:val="32"/>
        </w:rPr>
      </w:pPr>
      <w:r>
        <w:rPr>
          <w:rFonts w:eastAsia="仿宋"/>
          <w:color w:val="000000" w:themeColor="text1"/>
          <w:sz w:val="32"/>
          <w:szCs w:val="32"/>
        </w:rPr>
        <w:t>四、本次国有建设用地使用权拍卖出让</w:t>
      </w:r>
      <w:r>
        <w:rPr>
          <w:rFonts w:hint="eastAsia" w:eastAsia="仿宋"/>
          <w:b/>
          <w:bCs/>
          <w:color w:val="000000" w:themeColor="text1"/>
          <w:sz w:val="32"/>
          <w:szCs w:val="32"/>
          <w:u w:val="single"/>
          <w:lang w:val="en-US" w:eastAsia="zh-CN"/>
        </w:rPr>
        <w:t>区</w:t>
      </w:r>
      <w:r>
        <w:rPr>
          <w:rFonts w:eastAsia="仿宋"/>
          <w:b/>
          <w:color w:val="000000" w:themeColor="text1"/>
          <w:sz w:val="32"/>
          <w:szCs w:val="32"/>
          <w:u w:val="single"/>
        </w:rPr>
        <w:t>政府设有底价，采用增价拍卖方式竞价，按照价高者得原则确定竞得人（不低于</w:t>
      </w:r>
      <w:r>
        <w:rPr>
          <w:rFonts w:hint="eastAsia" w:eastAsia="仿宋"/>
          <w:b/>
          <w:color w:val="000000" w:themeColor="text1"/>
          <w:sz w:val="32"/>
          <w:szCs w:val="32"/>
          <w:u w:val="single"/>
          <w:lang w:val="en-US" w:eastAsia="zh-CN"/>
        </w:rPr>
        <w:t>区</w:t>
      </w:r>
      <w:r>
        <w:rPr>
          <w:rFonts w:eastAsia="仿宋"/>
          <w:b/>
          <w:color w:val="000000" w:themeColor="text1"/>
          <w:sz w:val="32"/>
          <w:szCs w:val="32"/>
          <w:u w:val="single"/>
        </w:rPr>
        <w:t>政府底价）</w:t>
      </w:r>
      <w:r>
        <w:rPr>
          <w:rFonts w:eastAsia="仿宋"/>
          <w:color w:val="000000" w:themeColor="text1"/>
          <w:sz w:val="32"/>
          <w:szCs w:val="32"/>
        </w:rPr>
        <w:t>。</w:t>
      </w:r>
    </w:p>
    <w:p>
      <w:pPr>
        <w:keepNext w:val="0"/>
        <w:keepLines w:val="0"/>
        <w:pageBreakBefore w:val="0"/>
        <w:kinsoku/>
        <w:wordWrap/>
        <w:overflowPunct/>
        <w:topLinePunct w:val="0"/>
        <w:autoSpaceDE/>
        <w:autoSpaceDN/>
        <w:bidi w:val="0"/>
        <w:adjustRightInd/>
        <w:snapToGrid w:val="0"/>
        <w:spacing w:line="530" w:lineRule="exact"/>
        <w:ind w:right="0" w:firstLine="640" w:firstLineChars="200"/>
        <w:jc w:val="both"/>
        <w:textAlignment w:val="auto"/>
        <w:rPr>
          <w:rFonts w:eastAsia="仿宋"/>
          <w:color w:val="000000" w:themeColor="text1"/>
          <w:sz w:val="32"/>
          <w:szCs w:val="32"/>
        </w:rPr>
      </w:pPr>
      <w:r>
        <w:rPr>
          <w:rFonts w:eastAsia="仿宋"/>
          <w:color w:val="000000" w:themeColor="text1"/>
          <w:sz w:val="32"/>
          <w:szCs w:val="32"/>
        </w:rPr>
        <w:t>五、本次国有建设用地使用权拍卖出让实行网上报名，竞买申请人须在</w:t>
      </w:r>
      <w:r>
        <w:rPr>
          <w:rStyle w:val="17"/>
          <w:rFonts w:eastAsia="仿宋"/>
          <w:color w:val="000000" w:themeColor="text1"/>
          <w:sz w:val="32"/>
          <w:szCs w:val="32"/>
        </w:rPr>
        <w:t>达州市公共资源交易服务网（</w:t>
      </w:r>
      <w:r>
        <w:fldChar w:fldCharType="begin"/>
      </w:r>
      <w:r>
        <w:instrText xml:space="preserve"> HYPERLINK "http://www.dzggzy.cn/" </w:instrText>
      </w:r>
      <w:r>
        <w:fldChar w:fldCharType="separate"/>
      </w:r>
      <w:r>
        <w:rPr>
          <w:rStyle w:val="17"/>
          <w:rFonts w:eastAsia="仿宋"/>
          <w:color w:val="000000" w:themeColor="text1"/>
          <w:sz w:val="32"/>
          <w:szCs w:val="32"/>
        </w:rPr>
        <w:t>http://www.dzggzy.cn</w:t>
      </w:r>
      <w:r>
        <w:rPr>
          <w:rStyle w:val="17"/>
          <w:rFonts w:eastAsia="仿宋"/>
          <w:color w:val="000000" w:themeColor="text1"/>
          <w:sz w:val="32"/>
          <w:szCs w:val="32"/>
        </w:rPr>
        <w:fldChar w:fldCharType="end"/>
      </w:r>
      <w:r>
        <w:rPr>
          <w:rStyle w:val="17"/>
          <w:rFonts w:eastAsia="仿宋"/>
          <w:color w:val="000000" w:themeColor="text1"/>
          <w:sz w:val="32"/>
          <w:szCs w:val="32"/>
        </w:rPr>
        <w:t>）查阅网上操作指南，完成用户注册、网上报名等</w:t>
      </w:r>
      <w:r>
        <w:rPr>
          <w:rFonts w:eastAsia="仿宋"/>
          <w:color w:val="000000" w:themeColor="text1"/>
          <w:sz w:val="32"/>
          <w:szCs w:val="32"/>
        </w:rPr>
        <w:t>。</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Style w:val="17"/>
          <w:rFonts w:eastAsia="仿宋"/>
          <w:b w:val="0"/>
          <w:bCs/>
          <w:color w:val="000000" w:themeColor="text1"/>
          <w:sz w:val="32"/>
          <w:szCs w:val="32"/>
          <w:u w:val="none"/>
        </w:rPr>
      </w:pPr>
      <w:r>
        <w:rPr>
          <w:rStyle w:val="17"/>
          <w:rFonts w:eastAsia="仿宋"/>
          <w:color w:val="000000" w:themeColor="text1"/>
          <w:sz w:val="32"/>
          <w:szCs w:val="32"/>
          <w:u w:val="none"/>
        </w:rPr>
        <w:t>已完成用户注册的竞买申请人须在</w:t>
      </w:r>
      <w:r>
        <w:rPr>
          <w:rStyle w:val="17"/>
          <w:rFonts w:eastAsia="仿宋"/>
          <w:b w:val="0"/>
          <w:bCs/>
          <w:color w:val="000000" w:themeColor="text1"/>
          <w:sz w:val="32"/>
          <w:szCs w:val="32"/>
        </w:rPr>
        <w:t>2022年</w:t>
      </w:r>
      <w:r>
        <w:rPr>
          <w:rStyle w:val="17"/>
          <w:rFonts w:hint="eastAsia" w:eastAsia="仿宋"/>
          <w:b w:val="0"/>
          <w:bCs/>
          <w:color w:val="000000" w:themeColor="text1"/>
          <w:sz w:val="32"/>
          <w:szCs w:val="32"/>
          <w:lang w:val="en-US" w:eastAsia="zh-CN"/>
        </w:rPr>
        <w:t>12</w:t>
      </w:r>
      <w:r>
        <w:rPr>
          <w:rStyle w:val="17"/>
          <w:rFonts w:eastAsia="仿宋"/>
          <w:b w:val="0"/>
          <w:bCs/>
          <w:color w:val="000000" w:themeColor="text1"/>
          <w:sz w:val="32"/>
          <w:szCs w:val="32"/>
        </w:rPr>
        <w:t>月</w:t>
      </w:r>
      <w:r>
        <w:rPr>
          <w:rStyle w:val="17"/>
          <w:rFonts w:hint="eastAsia" w:eastAsia="仿宋"/>
          <w:b w:val="0"/>
          <w:bCs/>
          <w:color w:val="000000" w:themeColor="text1"/>
          <w:sz w:val="32"/>
          <w:szCs w:val="32"/>
          <w:lang w:val="en-US" w:eastAsia="zh-CN"/>
        </w:rPr>
        <w:t>29</w:t>
      </w:r>
      <w:r>
        <w:rPr>
          <w:rStyle w:val="17"/>
          <w:rFonts w:eastAsia="仿宋"/>
          <w:b w:val="0"/>
          <w:bCs/>
          <w:color w:val="000000" w:themeColor="text1"/>
          <w:sz w:val="32"/>
          <w:szCs w:val="32"/>
        </w:rPr>
        <w:t>日17:00</w:t>
      </w:r>
      <w:r>
        <w:rPr>
          <w:rStyle w:val="17"/>
          <w:rFonts w:eastAsia="仿宋"/>
          <w:b w:val="0"/>
          <w:bCs/>
          <w:color w:val="000000" w:themeColor="text1"/>
          <w:sz w:val="32"/>
          <w:szCs w:val="32"/>
          <w:u w:val="none"/>
        </w:rPr>
        <w:t>之前经达州市公共资源交易服务网（</w:t>
      </w:r>
      <w:r>
        <w:rPr>
          <w:b w:val="0"/>
          <w:bCs/>
        </w:rPr>
        <w:fldChar w:fldCharType="begin"/>
      </w:r>
      <w:r>
        <w:rPr>
          <w:b w:val="0"/>
          <w:bCs/>
        </w:rPr>
        <w:instrText xml:space="preserve"> HYPERLINK "http://www.dzggzy.cn/" </w:instrText>
      </w:r>
      <w:r>
        <w:rPr>
          <w:b w:val="0"/>
          <w:bCs/>
        </w:rPr>
        <w:fldChar w:fldCharType="separate"/>
      </w:r>
      <w:r>
        <w:rPr>
          <w:rStyle w:val="17"/>
          <w:rFonts w:eastAsia="仿宋"/>
          <w:b w:val="0"/>
          <w:bCs/>
          <w:color w:val="000000" w:themeColor="text1"/>
          <w:sz w:val="32"/>
          <w:szCs w:val="32"/>
          <w:u w:val="none"/>
        </w:rPr>
        <w:t>http://www.dzggzy.cn</w:t>
      </w:r>
      <w:r>
        <w:rPr>
          <w:rStyle w:val="17"/>
          <w:rFonts w:eastAsia="仿宋"/>
          <w:b w:val="0"/>
          <w:bCs/>
          <w:color w:val="000000" w:themeColor="text1"/>
          <w:sz w:val="32"/>
          <w:szCs w:val="32"/>
          <w:u w:val="none"/>
        </w:rPr>
        <w:fldChar w:fldCharType="end"/>
      </w:r>
      <w:r>
        <w:rPr>
          <w:rStyle w:val="17"/>
          <w:rFonts w:eastAsia="仿宋"/>
          <w:b w:val="0"/>
          <w:bCs/>
          <w:color w:val="000000" w:themeColor="text1"/>
          <w:sz w:val="32"/>
          <w:szCs w:val="32"/>
          <w:u w:val="none"/>
        </w:rPr>
        <w:t>）通过系统提交竞买申请。通过指定账户缴纳竞买保证金，到账截止时间为</w:t>
      </w:r>
      <w:r>
        <w:rPr>
          <w:rStyle w:val="17"/>
          <w:rFonts w:eastAsia="仿宋"/>
          <w:b w:val="0"/>
          <w:bCs/>
          <w:color w:val="000000" w:themeColor="text1"/>
          <w:sz w:val="32"/>
          <w:szCs w:val="32"/>
        </w:rPr>
        <w:t>2022年</w:t>
      </w:r>
      <w:r>
        <w:rPr>
          <w:rStyle w:val="17"/>
          <w:rFonts w:hint="eastAsia" w:eastAsia="仿宋"/>
          <w:b w:val="0"/>
          <w:bCs/>
          <w:color w:val="000000" w:themeColor="text1"/>
          <w:sz w:val="32"/>
          <w:szCs w:val="32"/>
          <w:lang w:val="en-US" w:eastAsia="zh-CN"/>
        </w:rPr>
        <w:t>12</w:t>
      </w:r>
      <w:r>
        <w:rPr>
          <w:rStyle w:val="17"/>
          <w:rFonts w:eastAsia="仿宋"/>
          <w:b w:val="0"/>
          <w:bCs/>
          <w:color w:val="000000" w:themeColor="text1"/>
          <w:sz w:val="32"/>
          <w:szCs w:val="32"/>
        </w:rPr>
        <w:t>月</w:t>
      </w:r>
      <w:r>
        <w:rPr>
          <w:rStyle w:val="17"/>
          <w:rFonts w:hint="eastAsia" w:eastAsia="仿宋"/>
          <w:b w:val="0"/>
          <w:bCs/>
          <w:color w:val="000000" w:themeColor="text1"/>
          <w:sz w:val="32"/>
          <w:szCs w:val="32"/>
          <w:lang w:val="en-US" w:eastAsia="zh-CN"/>
        </w:rPr>
        <w:t>29</w:t>
      </w:r>
      <w:r>
        <w:rPr>
          <w:rStyle w:val="17"/>
          <w:rFonts w:eastAsia="仿宋"/>
          <w:b w:val="0"/>
          <w:bCs/>
          <w:color w:val="000000" w:themeColor="text1"/>
          <w:sz w:val="32"/>
          <w:szCs w:val="32"/>
        </w:rPr>
        <w:t>日17:00时</w:t>
      </w:r>
      <w:r>
        <w:rPr>
          <w:rStyle w:val="17"/>
          <w:rFonts w:eastAsia="仿宋"/>
          <w:b w:val="0"/>
          <w:bCs/>
          <w:color w:val="000000" w:themeColor="text1"/>
          <w:sz w:val="32"/>
          <w:szCs w:val="32"/>
          <w:u w:val="none"/>
        </w:rPr>
        <w:t>。</w:t>
      </w:r>
    </w:p>
    <w:p>
      <w:pPr>
        <w:keepNext w:val="0"/>
        <w:keepLines w:val="0"/>
        <w:pageBreakBefore w:val="0"/>
        <w:kinsoku/>
        <w:wordWrap/>
        <w:overflowPunct/>
        <w:topLinePunct w:val="0"/>
        <w:autoSpaceDE/>
        <w:autoSpaceDN/>
        <w:bidi w:val="0"/>
        <w:adjustRightInd/>
        <w:snapToGrid w:val="0"/>
        <w:spacing w:line="530" w:lineRule="exact"/>
        <w:ind w:left="0" w:leftChars="0" w:right="0" w:firstLine="524" w:firstLineChars="164"/>
        <w:jc w:val="both"/>
        <w:textAlignment w:val="auto"/>
        <w:rPr>
          <w:rFonts w:eastAsia="仿宋"/>
          <w:b w:val="0"/>
          <w:bCs/>
          <w:color w:val="000000" w:themeColor="text1"/>
          <w:sz w:val="32"/>
          <w:szCs w:val="32"/>
        </w:rPr>
      </w:pPr>
      <w:r>
        <w:rPr>
          <w:rFonts w:eastAsia="仿宋"/>
          <w:b w:val="0"/>
          <w:bCs/>
          <w:color w:val="000000" w:themeColor="text1"/>
          <w:sz w:val="32"/>
          <w:szCs w:val="32"/>
        </w:rPr>
        <w:t>已提交申请的竞买申请人须在资格审查当日（</w:t>
      </w:r>
      <w:r>
        <w:rPr>
          <w:rFonts w:eastAsia="仿宋"/>
          <w:b w:val="0"/>
          <w:bCs/>
          <w:color w:val="000000" w:themeColor="text1"/>
          <w:sz w:val="32"/>
          <w:szCs w:val="32"/>
          <w:u w:val="single"/>
        </w:rPr>
        <w:t>2022年</w:t>
      </w:r>
      <w:r>
        <w:rPr>
          <w:rFonts w:hint="eastAsia" w:eastAsia="仿宋"/>
          <w:b w:val="0"/>
          <w:bCs/>
          <w:color w:val="000000" w:themeColor="text1"/>
          <w:sz w:val="32"/>
          <w:szCs w:val="32"/>
          <w:u w:val="single"/>
          <w:lang w:val="en-US" w:eastAsia="zh-CN"/>
        </w:rPr>
        <w:t>12</w:t>
      </w:r>
      <w:r>
        <w:rPr>
          <w:rFonts w:eastAsia="仿宋"/>
          <w:b w:val="0"/>
          <w:bCs/>
          <w:color w:val="000000" w:themeColor="text1"/>
          <w:sz w:val="32"/>
          <w:szCs w:val="32"/>
          <w:u w:val="single"/>
        </w:rPr>
        <w:t>月</w:t>
      </w:r>
      <w:r>
        <w:rPr>
          <w:rFonts w:hint="eastAsia" w:eastAsia="仿宋"/>
          <w:b w:val="0"/>
          <w:bCs/>
          <w:color w:val="000000" w:themeColor="text1"/>
          <w:sz w:val="32"/>
          <w:szCs w:val="32"/>
          <w:u w:val="single"/>
          <w:lang w:val="en-US" w:eastAsia="zh-CN"/>
        </w:rPr>
        <w:t>30</w:t>
      </w:r>
      <w:r>
        <w:rPr>
          <w:rFonts w:eastAsia="仿宋"/>
          <w:b w:val="0"/>
          <w:bCs/>
          <w:color w:val="000000" w:themeColor="text1"/>
          <w:sz w:val="32"/>
          <w:szCs w:val="32"/>
          <w:u w:val="single"/>
        </w:rPr>
        <w:t>日</w:t>
      </w:r>
      <w:r>
        <w:rPr>
          <w:rFonts w:eastAsia="仿宋"/>
          <w:b w:val="0"/>
          <w:bCs/>
          <w:color w:val="000000" w:themeColor="text1"/>
          <w:sz w:val="32"/>
          <w:szCs w:val="32"/>
        </w:rPr>
        <w:t>）</w:t>
      </w:r>
      <w:r>
        <w:rPr>
          <w:rFonts w:eastAsia="仿宋"/>
          <w:b w:val="0"/>
          <w:bCs/>
          <w:color w:val="000000" w:themeColor="text1"/>
          <w:sz w:val="32"/>
          <w:szCs w:val="32"/>
          <w:u w:val="single"/>
        </w:rPr>
        <w:t>9:00</w:t>
      </w:r>
      <w:r>
        <w:rPr>
          <w:rFonts w:eastAsia="仿宋"/>
          <w:b w:val="0"/>
          <w:bCs/>
          <w:color w:val="000000" w:themeColor="text1"/>
          <w:sz w:val="32"/>
          <w:szCs w:val="32"/>
        </w:rPr>
        <w:t>之前将竞买申请文件原件现场提交至达州市公共资源交易服务中心</w:t>
      </w:r>
      <w:r>
        <w:rPr>
          <w:rFonts w:eastAsia="仿宋"/>
          <w:b w:val="0"/>
          <w:bCs/>
          <w:color w:val="000000" w:themeColor="text1"/>
          <w:sz w:val="32"/>
          <w:szCs w:val="32"/>
          <w:u w:val="single"/>
        </w:rPr>
        <w:t>4B-17</w:t>
      </w:r>
      <w:r>
        <w:rPr>
          <w:rFonts w:eastAsia="仿宋"/>
          <w:b w:val="0"/>
          <w:bCs/>
          <w:color w:val="000000" w:themeColor="text1"/>
          <w:sz w:val="32"/>
          <w:szCs w:val="32"/>
        </w:rPr>
        <w:t>室，未按时提交原件的视为自行放弃竞买资格。</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b w:val="0"/>
          <w:bCs/>
          <w:color w:val="000000" w:themeColor="text1"/>
          <w:sz w:val="32"/>
          <w:szCs w:val="32"/>
        </w:rPr>
        <w:t>通过竞买资格审查的竞买申请人须在</w:t>
      </w:r>
      <w:r>
        <w:rPr>
          <w:rFonts w:eastAsia="仿宋"/>
          <w:b w:val="0"/>
          <w:bCs/>
          <w:sz w:val="32"/>
          <w:szCs w:val="32"/>
          <w:u w:val="single"/>
        </w:rPr>
        <w:t>2022年</w:t>
      </w:r>
      <w:r>
        <w:rPr>
          <w:rFonts w:hint="eastAsia" w:eastAsia="仿宋"/>
          <w:b w:val="0"/>
          <w:bCs/>
          <w:sz w:val="32"/>
          <w:szCs w:val="32"/>
          <w:u w:val="single"/>
          <w:lang w:val="en-US" w:eastAsia="zh-CN"/>
        </w:rPr>
        <w:t>12</w:t>
      </w:r>
      <w:r>
        <w:rPr>
          <w:rFonts w:eastAsia="仿宋"/>
          <w:b w:val="0"/>
          <w:bCs/>
          <w:sz w:val="32"/>
          <w:szCs w:val="32"/>
          <w:u w:val="single"/>
        </w:rPr>
        <w:t>月</w:t>
      </w:r>
      <w:r>
        <w:rPr>
          <w:rFonts w:hint="eastAsia" w:eastAsia="仿宋"/>
          <w:b w:val="0"/>
          <w:bCs/>
          <w:sz w:val="32"/>
          <w:szCs w:val="32"/>
          <w:u w:val="single"/>
          <w:lang w:val="en-US" w:eastAsia="zh-CN"/>
        </w:rPr>
        <w:t>30</w:t>
      </w:r>
      <w:r>
        <w:rPr>
          <w:rFonts w:eastAsia="仿宋"/>
          <w:b w:val="0"/>
          <w:bCs/>
          <w:sz w:val="32"/>
          <w:szCs w:val="32"/>
          <w:u w:val="single"/>
        </w:rPr>
        <w:t>日1</w:t>
      </w:r>
      <w:r>
        <w:rPr>
          <w:rFonts w:hint="eastAsia" w:eastAsia="仿宋"/>
          <w:b w:val="0"/>
          <w:bCs/>
          <w:sz w:val="32"/>
          <w:szCs w:val="32"/>
          <w:u w:val="single"/>
          <w:lang w:val="en-US" w:eastAsia="zh-CN"/>
        </w:rPr>
        <w:t>0</w:t>
      </w:r>
      <w:r>
        <w:rPr>
          <w:rFonts w:eastAsia="仿宋"/>
          <w:b w:val="0"/>
          <w:bCs/>
          <w:sz w:val="32"/>
          <w:szCs w:val="32"/>
          <w:u w:val="single"/>
        </w:rPr>
        <w:t>:00</w:t>
      </w:r>
      <w:r>
        <w:rPr>
          <w:rFonts w:eastAsia="仿宋"/>
          <w:b w:val="0"/>
          <w:bCs/>
          <w:color w:val="000000" w:themeColor="text1"/>
          <w:sz w:val="32"/>
          <w:szCs w:val="32"/>
        </w:rPr>
        <w:t>前自行通过</w:t>
      </w:r>
      <w:r>
        <w:rPr>
          <w:rFonts w:eastAsia="仿宋"/>
          <w:b w:val="0"/>
          <w:bCs/>
          <w:color w:val="000000" w:themeColor="text1"/>
          <w:sz w:val="32"/>
          <w:szCs w:val="32"/>
          <w:u w:val="single"/>
        </w:rPr>
        <w:t>达州市公共资源</w:t>
      </w:r>
      <w:r>
        <w:rPr>
          <w:rFonts w:eastAsia="仿宋"/>
          <w:color w:val="000000" w:themeColor="text1"/>
          <w:sz w:val="32"/>
          <w:szCs w:val="32"/>
          <w:u w:val="single"/>
        </w:rPr>
        <w:t>交易服务</w:t>
      </w:r>
      <w:r>
        <w:rPr>
          <w:rStyle w:val="17"/>
          <w:rFonts w:eastAsia="仿宋"/>
          <w:color w:val="000000" w:themeColor="text1"/>
          <w:sz w:val="32"/>
          <w:szCs w:val="32"/>
        </w:rPr>
        <w:t>网（</w:t>
      </w:r>
      <w:r>
        <w:fldChar w:fldCharType="begin"/>
      </w:r>
      <w:r>
        <w:instrText xml:space="preserve"> HYPERLINK "http://www.dzggzy.cn/" </w:instrText>
      </w:r>
      <w:r>
        <w:fldChar w:fldCharType="separate"/>
      </w:r>
      <w:r>
        <w:rPr>
          <w:rStyle w:val="17"/>
          <w:rFonts w:eastAsia="仿宋"/>
          <w:color w:val="000000" w:themeColor="text1"/>
          <w:sz w:val="32"/>
          <w:szCs w:val="32"/>
        </w:rPr>
        <w:t>http://www.dzggzy.cn</w:t>
      </w:r>
      <w:r>
        <w:rPr>
          <w:rStyle w:val="17"/>
          <w:rFonts w:eastAsia="仿宋"/>
          <w:color w:val="000000" w:themeColor="text1"/>
          <w:sz w:val="32"/>
          <w:szCs w:val="32"/>
        </w:rPr>
        <w:fldChar w:fldCharType="end"/>
      </w:r>
      <w:r>
        <w:rPr>
          <w:rStyle w:val="17"/>
          <w:rFonts w:eastAsia="仿宋"/>
          <w:color w:val="000000" w:themeColor="text1"/>
          <w:sz w:val="32"/>
          <w:szCs w:val="32"/>
        </w:rPr>
        <w:t>）</w:t>
      </w:r>
      <w:r>
        <w:rPr>
          <w:rFonts w:eastAsia="仿宋"/>
          <w:color w:val="000000" w:themeColor="text1"/>
          <w:sz w:val="32"/>
          <w:szCs w:val="32"/>
        </w:rPr>
        <w:t>打印竞买资格确认书并带到拍卖现场</w:t>
      </w:r>
      <w:r>
        <w:rPr>
          <w:rFonts w:hint="eastAsia" w:eastAsia="仿宋"/>
          <w:color w:val="000000" w:themeColor="text1"/>
          <w:sz w:val="32"/>
          <w:szCs w:val="32"/>
        </w:rPr>
        <w:t>（</w:t>
      </w:r>
      <w:r>
        <w:rPr>
          <w:rFonts w:eastAsia="仿宋"/>
          <w:color w:val="000000" w:themeColor="text1"/>
          <w:sz w:val="32"/>
          <w:szCs w:val="32"/>
        </w:rPr>
        <w:t>打印时间可能因资格审查而延迟</w:t>
      </w:r>
      <w:r>
        <w:rPr>
          <w:rFonts w:hint="eastAsia" w:eastAsia="仿宋"/>
          <w:color w:val="000000" w:themeColor="text1"/>
          <w:sz w:val="32"/>
          <w:szCs w:val="32"/>
        </w:rPr>
        <w:t>）</w:t>
      </w:r>
      <w:r>
        <w:rPr>
          <w:rFonts w:eastAsia="仿宋"/>
          <w:color w:val="000000" w:themeColor="text1"/>
          <w:sz w:val="32"/>
          <w:szCs w:val="32"/>
        </w:rPr>
        <w:t>。</w:t>
      </w:r>
    </w:p>
    <w:p>
      <w:pPr>
        <w:keepNext w:val="0"/>
        <w:keepLines w:val="0"/>
        <w:pageBreakBefore w:val="0"/>
        <w:kinsoku/>
        <w:wordWrap/>
        <w:overflowPunct/>
        <w:topLinePunct w:val="0"/>
        <w:autoSpaceDE/>
        <w:autoSpaceDN/>
        <w:bidi w:val="0"/>
        <w:adjustRightInd/>
        <w:snapToGrid w:val="0"/>
        <w:spacing w:line="530" w:lineRule="exact"/>
        <w:ind w:right="0" w:firstLine="640" w:firstLineChars="200"/>
        <w:jc w:val="both"/>
        <w:textAlignment w:val="auto"/>
        <w:rPr>
          <w:rFonts w:eastAsia="仿宋"/>
          <w:color w:val="000000" w:themeColor="text1"/>
          <w:sz w:val="32"/>
          <w:szCs w:val="32"/>
        </w:rPr>
      </w:pPr>
      <w:r>
        <w:rPr>
          <w:rFonts w:eastAsia="仿宋"/>
          <w:color w:val="000000" w:themeColor="text1"/>
          <w:sz w:val="32"/>
          <w:szCs w:val="32"/>
        </w:rPr>
        <w:t>六、本次国有建设用地使用权拍卖会定</w:t>
      </w:r>
      <w:r>
        <w:rPr>
          <w:rFonts w:hint="eastAsia" w:eastAsia="仿宋"/>
          <w:color w:val="000000" w:themeColor="text1"/>
          <w:sz w:val="32"/>
          <w:szCs w:val="32"/>
          <w:lang w:val="en-US" w:eastAsia="zh-CN"/>
        </w:rPr>
        <w:t>于</w:t>
      </w:r>
      <w:r>
        <w:rPr>
          <w:rFonts w:eastAsia="仿宋"/>
          <w:b w:val="0"/>
          <w:bCs/>
          <w:sz w:val="32"/>
          <w:szCs w:val="32"/>
          <w:u w:val="single"/>
        </w:rPr>
        <w:t>2022年</w:t>
      </w:r>
      <w:r>
        <w:rPr>
          <w:rFonts w:hint="eastAsia" w:eastAsia="仿宋"/>
          <w:b w:val="0"/>
          <w:bCs/>
          <w:sz w:val="32"/>
          <w:szCs w:val="32"/>
          <w:u w:val="single"/>
          <w:lang w:val="en-US" w:eastAsia="zh-CN"/>
        </w:rPr>
        <w:t>12</w:t>
      </w:r>
      <w:r>
        <w:rPr>
          <w:rFonts w:eastAsia="仿宋"/>
          <w:b w:val="0"/>
          <w:bCs/>
          <w:sz w:val="32"/>
          <w:szCs w:val="32"/>
          <w:u w:val="single"/>
        </w:rPr>
        <w:t>月</w:t>
      </w:r>
      <w:r>
        <w:rPr>
          <w:rFonts w:hint="eastAsia" w:eastAsia="仿宋"/>
          <w:b w:val="0"/>
          <w:bCs/>
          <w:sz w:val="32"/>
          <w:szCs w:val="32"/>
          <w:u w:val="single"/>
          <w:lang w:val="en-US" w:eastAsia="zh-CN"/>
        </w:rPr>
        <w:t>30</w:t>
      </w:r>
      <w:r>
        <w:rPr>
          <w:rFonts w:eastAsia="仿宋"/>
          <w:b w:val="0"/>
          <w:bCs/>
          <w:sz w:val="32"/>
          <w:szCs w:val="32"/>
          <w:u w:val="single"/>
        </w:rPr>
        <w:t>日1</w:t>
      </w:r>
      <w:r>
        <w:rPr>
          <w:rFonts w:hint="eastAsia" w:eastAsia="仿宋"/>
          <w:b w:val="0"/>
          <w:bCs/>
          <w:sz w:val="32"/>
          <w:szCs w:val="32"/>
          <w:u w:val="single"/>
          <w:lang w:val="en-US" w:eastAsia="zh-CN"/>
        </w:rPr>
        <w:t>0</w:t>
      </w:r>
      <w:r>
        <w:rPr>
          <w:rFonts w:eastAsia="仿宋"/>
          <w:b w:val="0"/>
          <w:bCs/>
          <w:sz w:val="32"/>
          <w:szCs w:val="32"/>
          <w:u w:val="single"/>
        </w:rPr>
        <w:t>:00</w:t>
      </w:r>
      <w:r>
        <w:rPr>
          <w:rFonts w:eastAsia="仿宋"/>
          <w:color w:val="000000" w:themeColor="text1"/>
          <w:sz w:val="32"/>
          <w:szCs w:val="32"/>
        </w:rPr>
        <w:t>在</w:t>
      </w:r>
      <w:r>
        <w:rPr>
          <w:rFonts w:eastAsia="仿宋"/>
          <w:b w:val="0"/>
          <w:bCs w:val="0"/>
          <w:color w:val="000000" w:themeColor="text1"/>
          <w:sz w:val="32"/>
          <w:szCs w:val="32"/>
          <w:u w:val="single"/>
        </w:rPr>
        <w:t>开标二厅</w:t>
      </w:r>
      <w:r>
        <w:rPr>
          <w:rFonts w:eastAsia="仿宋"/>
          <w:color w:val="000000" w:themeColor="text1"/>
          <w:sz w:val="32"/>
          <w:szCs w:val="32"/>
        </w:rPr>
        <w:t>举行</w:t>
      </w:r>
      <w:r>
        <w:rPr>
          <w:rFonts w:hint="eastAsia" w:eastAsia="仿宋"/>
          <w:color w:val="000000" w:themeColor="text1"/>
          <w:sz w:val="32"/>
          <w:szCs w:val="32"/>
        </w:rPr>
        <w:t>（</w:t>
      </w:r>
      <w:r>
        <w:rPr>
          <w:rFonts w:eastAsia="仿宋"/>
          <w:color w:val="000000" w:themeColor="text1"/>
          <w:sz w:val="32"/>
          <w:szCs w:val="32"/>
        </w:rPr>
        <w:t>拍卖会时间可能因资格审查而延迟</w:t>
      </w:r>
      <w:r>
        <w:rPr>
          <w:rFonts w:hint="eastAsia" w:eastAsia="仿宋"/>
          <w:color w:val="000000" w:themeColor="text1"/>
          <w:sz w:val="32"/>
          <w:szCs w:val="32"/>
        </w:rPr>
        <w:t>）</w:t>
      </w:r>
      <w:r>
        <w:rPr>
          <w:rFonts w:eastAsia="仿宋"/>
          <w:color w:val="000000" w:themeColor="text1"/>
          <w:sz w:val="32"/>
          <w:szCs w:val="32"/>
        </w:rPr>
        <w:t>。</w:t>
      </w:r>
    </w:p>
    <w:p>
      <w:pPr>
        <w:pStyle w:val="11"/>
        <w:keepNext w:val="0"/>
        <w:keepLines w:val="0"/>
        <w:pageBreakBefore w:val="0"/>
        <w:kinsoku/>
        <w:wordWrap/>
        <w:overflowPunct/>
        <w:topLinePunct w:val="0"/>
        <w:autoSpaceDE/>
        <w:autoSpaceDN/>
        <w:bidi w:val="0"/>
        <w:adjustRightInd/>
        <w:spacing w:before="0" w:beforeAutospacing="0" w:after="0" w:afterAutospacing="0" w:line="530" w:lineRule="exact"/>
        <w:ind w:right="0" w:firstLine="640" w:firstLineChars="200"/>
        <w:jc w:val="both"/>
        <w:textAlignment w:val="auto"/>
        <w:rPr>
          <w:rFonts w:ascii="Times New Roman" w:hAnsi="Times New Roman" w:eastAsia="仿宋" w:cs="Times New Roman"/>
          <w:color w:val="000000" w:themeColor="text1"/>
          <w:sz w:val="32"/>
          <w:szCs w:val="32"/>
        </w:rPr>
      </w:pPr>
      <w:r>
        <w:rPr>
          <w:rFonts w:ascii="Times New Roman" w:hAnsi="Times New Roman" w:eastAsia="仿宋" w:cs="Times New Roman"/>
          <w:color w:val="000000" w:themeColor="text1"/>
          <w:sz w:val="32"/>
          <w:szCs w:val="32"/>
        </w:rPr>
        <w:t>七、凡参与竞买的申请人须对本出让公告、出让文件、宗地详情全面了解、完全接受、不持异议，必须承认起叫价，报价规则详见拍卖出让须知。本次拍卖出让不接受邮寄竞买申请。</w:t>
      </w:r>
    </w:p>
    <w:p>
      <w:pPr>
        <w:keepNext w:val="0"/>
        <w:keepLines w:val="0"/>
        <w:pageBreakBefore w:val="0"/>
        <w:kinsoku/>
        <w:wordWrap/>
        <w:overflowPunct/>
        <w:topLinePunct w:val="0"/>
        <w:autoSpaceDE/>
        <w:autoSpaceDN/>
        <w:bidi w:val="0"/>
        <w:adjustRightInd/>
        <w:snapToGrid w:val="0"/>
        <w:spacing w:line="530" w:lineRule="exact"/>
        <w:ind w:left="0" w:leftChars="0" w:right="0" w:firstLine="567"/>
        <w:jc w:val="both"/>
        <w:textAlignment w:val="auto"/>
        <w:rPr>
          <w:rFonts w:eastAsia="仿宋"/>
          <w:color w:val="000000" w:themeColor="text1"/>
          <w:sz w:val="32"/>
          <w:szCs w:val="32"/>
        </w:rPr>
      </w:pPr>
      <w:r>
        <w:rPr>
          <w:rFonts w:eastAsia="仿宋"/>
          <w:color w:val="000000" w:themeColor="text1"/>
          <w:sz w:val="32"/>
          <w:szCs w:val="32"/>
        </w:rPr>
        <w:t>八、本公告未尽事宜详见拍卖出让文件（拍卖出让文件可在达州市公共资源交易服务网</w:t>
      </w:r>
      <w:r>
        <w:rPr>
          <w:rFonts w:eastAsia="仿宋"/>
          <w:color w:val="000000" w:themeColor="text1"/>
          <w:w w:val="90"/>
          <w:sz w:val="32"/>
          <w:szCs w:val="32"/>
        </w:rPr>
        <w:t>（</w:t>
      </w:r>
      <w:r>
        <w:fldChar w:fldCharType="begin"/>
      </w:r>
      <w:r>
        <w:instrText xml:space="preserve"> HYPERLINK "http://www.dzggzy.cn/" </w:instrText>
      </w:r>
      <w:r>
        <w:fldChar w:fldCharType="separate"/>
      </w:r>
      <w:r>
        <w:rPr>
          <w:rStyle w:val="17"/>
          <w:rFonts w:eastAsia="仿宋"/>
          <w:color w:val="000000" w:themeColor="text1"/>
          <w:sz w:val="32"/>
          <w:szCs w:val="32"/>
        </w:rPr>
        <w:t>http://www.dzggzy.cn</w:t>
      </w:r>
      <w:r>
        <w:rPr>
          <w:rStyle w:val="17"/>
          <w:rFonts w:eastAsia="仿宋"/>
          <w:color w:val="000000" w:themeColor="text1"/>
          <w:sz w:val="32"/>
          <w:szCs w:val="32"/>
        </w:rPr>
        <w:fldChar w:fldCharType="end"/>
      </w:r>
      <w:r>
        <w:rPr>
          <w:rFonts w:eastAsia="仿宋"/>
          <w:color w:val="000000" w:themeColor="text1"/>
          <w:w w:val="90"/>
          <w:sz w:val="32"/>
          <w:szCs w:val="32"/>
        </w:rPr>
        <w:t>）下载）</w:t>
      </w:r>
      <w:r>
        <w:rPr>
          <w:rFonts w:eastAsia="仿宋"/>
          <w:color w:val="000000" w:themeColor="text1"/>
          <w:sz w:val="32"/>
          <w:szCs w:val="32"/>
        </w:rPr>
        <w:t>，并以拍卖出让文件中各相关职能部门或主管单位出具的文书为准。公告发布后可能出现延期、中止、终止等变更情况，敬请各竞买人在交易开始前随时关注查阅相关公告信息，并按要求完善相关事项，以保障各竞买人顺利参加本次拍卖活动。</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九、竞买保证金缴纳指定账户</w:t>
      </w:r>
    </w:p>
    <w:p>
      <w:pPr>
        <w:pStyle w:val="11"/>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u w:val="single"/>
        </w:rPr>
      </w:pPr>
      <w:r>
        <w:rPr>
          <w:rFonts w:ascii="Times New Roman" w:hAnsi="Times New Roman" w:eastAsia="仿宋" w:cs="Times New Roman"/>
          <w:color w:val="000000" w:themeColor="text1"/>
          <w:kern w:val="2"/>
          <w:sz w:val="32"/>
          <w:szCs w:val="32"/>
        </w:rPr>
        <w:t>建设银行开户行：</w:t>
      </w:r>
      <w:r>
        <w:rPr>
          <w:rFonts w:ascii="Times New Roman" w:hAnsi="Times New Roman" w:eastAsia="仿宋" w:cs="Times New Roman"/>
          <w:color w:val="000000" w:themeColor="text1"/>
          <w:kern w:val="2"/>
          <w:sz w:val="32"/>
          <w:szCs w:val="32"/>
          <w:u w:val="single"/>
        </w:rPr>
        <w:t>中国建设银行股份有限公司达州荷叶支行</w:t>
      </w:r>
    </w:p>
    <w:p>
      <w:pPr>
        <w:pStyle w:val="11"/>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u w:val="single"/>
        </w:rPr>
      </w:pPr>
      <w:r>
        <w:rPr>
          <w:rFonts w:ascii="Times New Roman" w:hAnsi="Times New Roman" w:eastAsia="仿宋" w:cs="Times New Roman"/>
          <w:color w:val="000000" w:themeColor="text1"/>
          <w:kern w:val="2"/>
          <w:sz w:val="32"/>
          <w:szCs w:val="32"/>
        </w:rPr>
        <w:t>户名：</w:t>
      </w:r>
      <w:r>
        <w:rPr>
          <w:rFonts w:ascii="Times New Roman" w:hAnsi="Times New Roman" w:eastAsia="仿宋" w:cs="Times New Roman"/>
          <w:color w:val="000000" w:themeColor="text1"/>
          <w:kern w:val="2"/>
          <w:sz w:val="32"/>
          <w:szCs w:val="32"/>
          <w:u w:val="single"/>
        </w:rPr>
        <w:t>达州市公共资源交易服务中心交易专户</w:t>
      </w:r>
    </w:p>
    <w:p>
      <w:pPr>
        <w:pStyle w:val="11"/>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u w:val="single"/>
        </w:rPr>
      </w:pPr>
      <w:r>
        <w:rPr>
          <w:rFonts w:ascii="Times New Roman" w:hAnsi="Times New Roman" w:eastAsia="仿宋" w:cs="Times New Roman"/>
          <w:color w:val="000000" w:themeColor="text1"/>
          <w:kern w:val="2"/>
          <w:sz w:val="32"/>
          <w:szCs w:val="32"/>
        </w:rPr>
        <w:t>账号：</w:t>
      </w:r>
      <w:r>
        <w:rPr>
          <w:rFonts w:ascii="Times New Roman" w:hAnsi="Times New Roman" w:eastAsia="仿宋" w:cs="Times New Roman"/>
          <w:color w:val="000000" w:themeColor="text1"/>
          <w:kern w:val="2"/>
          <w:sz w:val="32"/>
          <w:szCs w:val="32"/>
          <w:u w:val="single"/>
        </w:rPr>
        <w:t>系统自动生成</w:t>
      </w:r>
    </w:p>
    <w:p>
      <w:pPr>
        <w:pStyle w:val="11"/>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u w:val="single"/>
        </w:rPr>
      </w:pPr>
      <w:r>
        <w:rPr>
          <w:rFonts w:ascii="Times New Roman" w:hAnsi="Times New Roman" w:eastAsia="仿宋" w:cs="Times New Roman"/>
          <w:color w:val="000000" w:themeColor="text1"/>
          <w:kern w:val="2"/>
          <w:sz w:val="32"/>
          <w:szCs w:val="32"/>
        </w:rPr>
        <w:t>农业银行开户行：</w:t>
      </w:r>
      <w:r>
        <w:rPr>
          <w:rFonts w:ascii="Times New Roman" w:hAnsi="Times New Roman" w:eastAsia="仿宋" w:cs="Times New Roman"/>
          <w:color w:val="000000" w:themeColor="text1"/>
          <w:kern w:val="2"/>
          <w:sz w:val="32"/>
          <w:szCs w:val="32"/>
          <w:u w:val="single"/>
        </w:rPr>
        <w:t>中国农业银行达州通川支行</w:t>
      </w:r>
    </w:p>
    <w:p>
      <w:pPr>
        <w:pStyle w:val="11"/>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rPr>
      </w:pPr>
      <w:r>
        <w:rPr>
          <w:rFonts w:ascii="Times New Roman" w:hAnsi="Times New Roman" w:eastAsia="仿宋" w:cs="Times New Roman"/>
          <w:color w:val="000000" w:themeColor="text1"/>
          <w:kern w:val="2"/>
          <w:sz w:val="32"/>
          <w:szCs w:val="32"/>
        </w:rPr>
        <w:t>户名：</w:t>
      </w:r>
      <w:r>
        <w:rPr>
          <w:rFonts w:ascii="Times New Roman" w:hAnsi="Times New Roman" w:eastAsia="仿宋" w:cs="Times New Roman"/>
          <w:color w:val="000000" w:themeColor="text1"/>
          <w:kern w:val="2"/>
          <w:sz w:val="32"/>
          <w:szCs w:val="32"/>
          <w:u w:val="single"/>
        </w:rPr>
        <w:t>达州市公共资源交易服务中心交易专户</w:t>
      </w:r>
    </w:p>
    <w:p>
      <w:pPr>
        <w:pStyle w:val="11"/>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rPr>
      </w:pPr>
      <w:r>
        <w:rPr>
          <w:rFonts w:ascii="Times New Roman" w:hAnsi="Times New Roman" w:eastAsia="仿宋" w:cs="Times New Roman"/>
          <w:color w:val="000000" w:themeColor="text1"/>
          <w:kern w:val="2"/>
          <w:sz w:val="32"/>
          <w:szCs w:val="32"/>
        </w:rPr>
        <w:t>账号：</w:t>
      </w:r>
      <w:r>
        <w:rPr>
          <w:rFonts w:ascii="Times New Roman" w:hAnsi="Times New Roman" w:eastAsia="仿宋" w:cs="Times New Roman"/>
          <w:color w:val="000000" w:themeColor="text1"/>
          <w:kern w:val="2"/>
          <w:sz w:val="32"/>
          <w:szCs w:val="32"/>
          <w:u w:val="single"/>
        </w:rPr>
        <w:t>系统自动生成</w:t>
      </w:r>
    </w:p>
    <w:p>
      <w:pPr>
        <w:pStyle w:val="11"/>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u w:val="single"/>
        </w:rPr>
      </w:pPr>
      <w:r>
        <w:rPr>
          <w:rFonts w:ascii="Times New Roman" w:hAnsi="Times New Roman" w:eastAsia="仿宋" w:cs="Times New Roman"/>
          <w:color w:val="000000" w:themeColor="text1"/>
          <w:kern w:val="2"/>
          <w:sz w:val="32"/>
          <w:szCs w:val="32"/>
        </w:rPr>
        <w:t>工商银行开户行：</w:t>
      </w:r>
      <w:r>
        <w:rPr>
          <w:rFonts w:ascii="Times New Roman" w:hAnsi="Times New Roman" w:eastAsia="仿宋" w:cs="Times New Roman"/>
          <w:color w:val="000000" w:themeColor="text1"/>
          <w:kern w:val="2"/>
          <w:sz w:val="32"/>
          <w:szCs w:val="32"/>
          <w:u w:val="single"/>
        </w:rPr>
        <w:t>中国工商银行达州市分行海棠湾支行</w:t>
      </w:r>
    </w:p>
    <w:p>
      <w:pPr>
        <w:pStyle w:val="11"/>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rPr>
      </w:pPr>
      <w:r>
        <w:rPr>
          <w:rFonts w:ascii="Times New Roman" w:hAnsi="Times New Roman" w:eastAsia="仿宋" w:cs="Times New Roman"/>
          <w:color w:val="000000" w:themeColor="text1"/>
          <w:kern w:val="2"/>
          <w:sz w:val="32"/>
          <w:szCs w:val="32"/>
        </w:rPr>
        <w:t>户名：</w:t>
      </w:r>
      <w:r>
        <w:rPr>
          <w:rFonts w:ascii="Times New Roman" w:hAnsi="Times New Roman" w:eastAsia="仿宋" w:cs="Times New Roman"/>
          <w:color w:val="000000" w:themeColor="text1"/>
          <w:kern w:val="2"/>
          <w:sz w:val="32"/>
          <w:szCs w:val="32"/>
          <w:u w:val="single"/>
        </w:rPr>
        <w:t>达州市公共资源交易服务中心交易专户</w:t>
      </w:r>
    </w:p>
    <w:p>
      <w:pPr>
        <w:pStyle w:val="11"/>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u w:val="single"/>
        </w:rPr>
      </w:pPr>
      <w:r>
        <w:rPr>
          <w:rFonts w:ascii="Times New Roman" w:hAnsi="Times New Roman" w:eastAsia="仿宋" w:cs="Times New Roman"/>
          <w:color w:val="000000" w:themeColor="text1"/>
          <w:kern w:val="2"/>
          <w:sz w:val="32"/>
          <w:szCs w:val="32"/>
        </w:rPr>
        <w:t>账号：</w:t>
      </w:r>
      <w:r>
        <w:rPr>
          <w:rFonts w:ascii="Times New Roman" w:hAnsi="Times New Roman" w:eastAsia="仿宋" w:cs="Times New Roman"/>
          <w:color w:val="000000" w:themeColor="text1"/>
          <w:kern w:val="2"/>
          <w:sz w:val="32"/>
          <w:szCs w:val="32"/>
          <w:u w:val="single"/>
        </w:rPr>
        <w:t>系统自动生成</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十、联系方式</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出让人：</w:t>
      </w:r>
      <w:r>
        <w:rPr>
          <w:rFonts w:hint="eastAsia" w:eastAsia="仿宋"/>
          <w:color w:val="000000" w:themeColor="text1"/>
          <w:sz w:val="32"/>
          <w:szCs w:val="32"/>
          <w:u w:val="none"/>
        </w:rPr>
        <w:t>达州市通川区自然资源局</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联系地址：</w:t>
      </w:r>
      <w:r>
        <w:rPr>
          <w:rFonts w:hint="eastAsia" w:eastAsia="仿宋"/>
          <w:color w:val="000000" w:themeColor="text1"/>
          <w:sz w:val="32"/>
          <w:szCs w:val="32"/>
        </w:rPr>
        <w:t>达州市通川区凤北街道青杠垭路38号</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hint="default" w:eastAsia="仿宋"/>
          <w:color w:val="000000" w:themeColor="text1"/>
          <w:sz w:val="32"/>
          <w:szCs w:val="32"/>
          <w:lang w:val="en-US" w:eastAsia="zh-CN"/>
        </w:rPr>
      </w:pPr>
      <w:r>
        <w:rPr>
          <w:rFonts w:eastAsia="仿宋"/>
          <w:color w:val="000000" w:themeColor="text1"/>
          <w:sz w:val="32"/>
          <w:szCs w:val="32"/>
        </w:rPr>
        <w:t xml:space="preserve">联系电话： </w:t>
      </w:r>
      <w:r>
        <w:rPr>
          <w:rFonts w:hint="eastAsia" w:eastAsia="仿宋"/>
          <w:color w:val="000000" w:themeColor="text1"/>
          <w:sz w:val="32"/>
          <w:szCs w:val="32"/>
        </w:rPr>
        <w:t>0818-2370872</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达州市公共资源交易服务中心</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联系地址：四川省达州市马踏洞新区龙马大道与鱼泉路交叉口处新政务服务大楼</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联系电话: 0818-2183355</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p>
    <w:p>
      <w:pPr>
        <w:keepNext w:val="0"/>
        <w:keepLines w:val="0"/>
        <w:pageBreakBefore w:val="0"/>
        <w:kinsoku/>
        <w:wordWrap/>
        <w:overflowPunct/>
        <w:topLinePunct w:val="0"/>
        <w:autoSpaceDE/>
        <w:autoSpaceDN/>
        <w:bidi w:val="0"/>
        <w:adjustRightInd/>
        <w:snapToGrid w:val="0"/>
        <w:spacing w:line="530" w:lineRule="exact"/>
        <w:ind w:right="0"/>
        <w:jc w:val="both"/>
        <w:textAlignment w:val="auto"/>
        <w:rPr>
          <w:rFonts w:eastAsia="仿宋"/>
          <w:color w:val="000000" w:themeColor="text1"/>
          <w:sz w:val="32"/>
          <w:szCs w:val="32"/>
        </w:rPr>
      </w:pPr>
      <w:r>
        <w:rPr>
          <w:rFonts w:hint="eastAsia" w:eastAsia="仿宋"/>
          <w:color w:val="000000" w:themeColor="text1"/>
          <w:sz w:val="32"/>
          <w:szCs w:val="32"/>
          <w:u w:val="none"/>
        </w:rPr>
        <w:t>达州市通川区自然资源局</w:t>
      </w:r>
      <w:r>
        <w:rPr>
          <w:rFonts w:hint="eastAsia" w:eastAsia="仿宋"/>
          <w:color w:val="000000" w:themeColor="text1"/>
          <w:sz w:val="32"/>
          <w:szCs w:val="32"/>
          <w:u w:val="none"/>
          <w:lang w:val="en-US" w:eastAsia="zh-CN"/>
        </w:rPr>
        <w:t xml:space="preserve">     </w:t>
      </w:r>
      <w:r>
        <w:rPr>
          <w:rFonts w:eastAsia="仿宋"/>
          <w:color w:val="000000" w:themeColor="text1"/>
          <w:sz w:val="32"/>
          <w:szCs w:val="32"/>
        </w:rPr>
        <w:t>达州市公共资源交易服务中心</w:t>
      </w:r>
    </w:p>
    <w:p>
      <w:pPr>
        <w:keepNext w:val="0"/>
        <w:keepLines w:val="0"/>
        <w:pageBreakBefore w:val="0"/>
        <w:kinsoku/>
        <w:wordWrap/>
        <w:overflowPunct/>
        <w:topLinePunct w:val="0"/>
        <w:autoSpaceDE/>
        <w:autoSpaceDN/>
        <w:bidi w:val="0"/>
        <w:adjustRightInd/>
        <w:snapToGrid w:val="0"/>
        <w:spacing w:line="530" w:lineRule="exact"/>
        <w:ind w:left="0" w:leftChars="0" w:right="0"/>
        <w:jc w:val="both"/>
        <w:textAlignment w:val="auto"/>
        <w:rPr>
          <w:rFonts w:eastAsia="仿宋"/>
          <w:color w:val="000000" w:themeColor="text1"/>
          <w:sz w:val="32"/>
          <w:szCs w:val="32"/>
        </w:rPr>
        <w:sectPr>
          <w:headerReference r:id="rId8" w:type="first"/>
          <w:footerReference r:id="rId11" w:type="first"/>
          <w:headerReference r:id="rId6" w:type="default"/>
          <w:footerReference r:id="rId9" w:type="default"/>
          <w:headerReference r:id="rId7" w:type="even"/>
          <w:footerReference r:id="rId10" w:type="even"/>
          <w:pgSz w:w="11906" w:h="16838"/>
          <w:pgMar w:top="1701" w:right="1474" w:bottom="1701" w:left="1588" w:header="851" w:footer="992" w:gutter="0"/>
          <w:pgNumType w:fmt="numberInDash"/>
          <w:cols w:space="425" w:num="1"/>
          <w:docGrid w:type="lines" w:linePitch="312" w:charSpace="0"/>
        </w:sectPr>
      </w:pPr>
      <w:r>
        <w:rPr>
          <w:rFonts w:hint="eastAsia" w:eastAsia="仿宋"/>
          <w:color w:val="000000" w:themeColor="text1"/>
          <w:sz w:val="32"/>
          <w:szCs w:val="32"/>
        </w:rPr>
        <w:t xml:space="preserve">                       </w:t>
      </w:r>
      <w:r>
        <w:rPr>
          <w:rFonts w:hint="eastAsia" w:eastAsia="仿宋"/>
          <w:color w:val="000000" w:themeColor="text1"/>
          <w:sz w:val="32"/>
          <w:szCs w:val="32"/>
          <w:lang w:val="en-US" w:eastAsia="zh-CN"/>
        </w:rPr>
        <w:t xml:space="preserve">     </w:t>
      </w:r>
      <w:r>
        <w:rPr>
          <w:rFonts w:hint="eastAsia" w:eastAsia="仿宋"/>
          <w:color w:val="000000" w:themeColor="text1"/>
          <w:sz w:val="32"/>
          <w:szCs w:val="32"/>
        </w:rPr>
        <w:t xml:space="preserve"> </w:t>
      </w:r>
      <w:r>
        <w:rPr>
          <w:rFonts w:hint="eastAsia" w:eastAsia="仿宋"/>
          <w:color w:val="000000" w:themeColor="text1"/>
          <w:sz w:val="32"/>
          <w:szCs w:val="32"/>
          <w:lang w:val="en-US" w:eastAsia="zh-CN"/>
        </w:rPr>
        <w:t xml:space="preserve">  </w:t>
      </w:r>
      <w:r>
        <w:rPr>
          <w:rFonts w:hint="eastAsia" w:eastAsia="仿宋"/>
          <w:color w:val="000000" w:themeColor="text1"/>
          <w:sz w:val="32"/>
          <w:szCs w:val="32"/>
        </w:rPr>
        <w:t xml:space="preserve"> </w:t>
      </w:r>
      <w:r>
        <w:rPr>
          <w:rFonts w:eastAsia="仿宋"/>
          <w:color w:val="000000" w:themeColor="text1"/>
          <w:sz w:val="32"/>
          <w:szCs w:val="32"/>
        </w:rPr>
        <w:t>2022年</w:t>
      </w:r>
      <w:r>
        <w:rPr>
          <w:rFonts w:hint="eastAsia" w:eastAsia="仿宋"/>
          <w:color w:val="000000" w:themeColor="text1"/>
          <w:sz w:val="32"/>
          <w:szCs w:val="32"/>
          <w:lang w:val="en-US" w:eastAsia="zh-CN"/>
        </w:rPr>
        <w:t>12</w:t>
      </w:r>
      <w:r>
        <w:rPr>
          <w:rFonts w:eastAsia="仿宋"/>
          <w:color w:val="000000" w:themeColor="text1"/>
          <w:sz w:val="32"/>
          <w:szCs w:val="32"/>
        </w:rPr>
        <w:t>月</w:t>
      </w:r>
      <w:r>
        <w:rPr>
          <w:rFonts w:hint="eastAsia" w:eastAsia="仿宋"/>
          <w:color w:val="000000" w:themeColor="text1"/>
          <w:sz w:val="32"/>
          <w:szCs w:val="32"/>
          <w:lang w:val="en-US" w:eastAsia="zh-CN"/>
        </w:rPr>
        <w:t>9</w:t>
      </w:r>
      <w:bookmarkStart w:id="22" w:name="_GoBack"/>
      <w:bookmarkEnd w:id="22"/>
      <w:r>
        <w:rPr>
          <w:rFonts w:eastAsia="仿宋"/>
          <w:color w:val="000000" w:themeColor="text1"/>
          <w:sz w:val="32"/>
          <w:szCs w:val="32"/>
        </w:rPr>
        <w:t>日</w:t>
      </w:r>
    </w:p>
    <w:bookmarkEnd w:id="2"/>
    <w:p>
      <w:pPr>
        <w:pStyle w:val="12"/>
        <w:spacing w:before="0" w:after="0" w:line="600" w:lineRule="exact"/>
        <w:rPr>
          <w:rFonts w:ascii="Times New Roman" w:hAnsi="Times New Roman" w:eastAsia="方正小标宋简体"/>
          <w:b w:val="0"/>
          <w:color w:val="000000" w:themeColor="text1"/>
          <w:sz w:val="44"/>
          <w:szCs w:val="44"/>
        </w:rPr>
      </w:pPr>
      <w:r>
        <w:rPr>
          <w:rFonts w:ascii="Times New Roman" w:hAnsi="Times New Roman" w:eastAsia="方正小标宋简体"/>
          <w:b w:val="0"/>
          <w:color w:val="000000" w:themeColor="text1"/>
          <w:sz w:val="44"/>
          <w:szCs w:val="44"/>
        </w:rPr>
        <w:t>国有建设用地使用权拍卖出让须知</w:t>
      </w:r>
      <w:bookmarkEnd w:id="3"/>
      <w:bookmarkEnd w:id="4"/>
    </w:p>
    <w:p>
      <w:pPr>
        <w:spacing w:line="600" w:lineRule="exact"/>
        <w:rPr>
          <w:color w:val="000000" w:themeColor="text1"/>
          <w:sz w:val="28"/>
          <w:szCs w:val="28"/>
        </w:rPr>
      </w:pPr>
    </w:p>
    <w:p>
      <w:pPr>
        <w:wordWrap w:val="0"/>
        <w:spacing w:line="600" w:lineRule="exact"/>
        <w:ind w:firstLine="560" w:firstLineChars="200"/>
        <w:rPr>
          <w:color w:val="000000" w:themeColor="text1"/>
          <w:sz w:val="28"/>
          <w:szCs w:val="28"/>
          <w:u w:val="single"/>
        </w:rPr>
      </w:pPr>
      <w:r>
        <w:rPr>
          <w:color w:val="000000" w:themeColor="text1"/>
          <w:sz w:val="28"/>
          <w:szCs w:val="28"/>
        </w:rPr>
        <w:t>根据《中华人民共和国土地管理法》、《中华人民共和国城市房地产管理法》、《中华人民共和国城镇国有土地使用权出让和转让暂行条例》、《招标拍卖挂牌出让国有建设用地使用权规定》以及《招标拍卖挂牌出让国有土地使用权规范》等有关规定，经</w:t>
      </w:r>
      <w:r>
        <w:rPr>
          <w:b/>
          <w:bCs/>
          <w:color w:val="000000" w:themeColor="text1"/>
          <w:sz w:val="28"/>
          <w:szCs w:val="28"/>
          <w:u w:val="single"/>
        </w:rPr>
        <w:t>达州市</w:t>
      </w:r>
      <w:r>
        <w:rPr>
          <w:rFonts w:hint="eastAsia"/>
          <w:b/>
          <w:bCs/>
          <w:color w:val="000000" w:themeColor="text1"/>
          <w:sz w:val="28"/>
          <w:szCs w:val="28"/>
          <w:u w:val="single"/>
          <w:lang w:val="en-US" w:eastAsia="zh-CN"/>
        </w:rPr>
        <w:t>通川区</w:t>
      </w:r>
      <w:r>
        <w:rPr>
          <w:b/>
          <w:bCs/>
          <w:color w:val="000000" w:themeColor="text1"/>
          <w:sz w:val="28"/>
          <w:szCs w:val="28"/>
          <w:u w:val="single"/>
        </w:rPr>
        <w:t>人民政府</w:t>
      </w:r>
      <w:r>
        <w:rPr>
          <w:color w:val="000000" w:themeColor="text1"/>
          <w:sz w:val="28"/>
          <w:szCs w:val="28"/>
        </w:rPr>
        <w:t>批准</w:t>
      </w:r>
      <w:r>
        <w:rPr>
          <w:rFonts w:hint="eastAsia"/>
          <w:color w:val="000000" w:themeColor="text1"/>
          <w:sz w:val="28"/>
          <w:szCs w:val="28"/>
          <w:lang w:eastAsia="zh-CN"/>
        </w:rPr>
        <w:t>，</w:t>
      </w:r>
      <w:r>
        <w:rPr>
          <w:rFonts w:hint="eastAsia"/>
          <w:b/>
          <w:bCs/>
          <w:color w:val="000000" w:themeColor="text1"/>
          <w:sz w:val="28"/>
          <w:szCs w:val="28"/>
          <w:u w:val="single"/>
        </w:rPr>
        <w:t>达州市通川区自然资源局</w:t>
      </w:r>
      <w:r>
        <w:rPr>
          <w:color w:val="000000" w:themeColor="text1"/>
          <w:sz w:val="28"/>
          <w:szCs w:val="28"/>
        </w:rPr>
        <w:t>决定拍卖出让</w:t>
      </w:r>
      <w:r>
        <w:rPr>
          <w:b/>
          <w:bCs/>
          <w:color w:val="000000" w:themeColor="text1"/>
          <w:sz w:val="28"/>
          <w:szCs w:val="28"/>
          <w:u w:val="single"/>
        </w:rPr>
        <w:t>达州市达钢（老厂）片区C0</w:t>
      </w:r>
      <w:r>
        <w:rPr>
          <w:rFonts w:hint="eastAsia"/>
          <w:b/>
          <w:bCs/>
          <w:color w:val="000000" w:themeColor="text1"/>
          <w:sz w:val="28"/>
          <w:szCs w:val="28"/>
          <w:u w:val="single"/>
          <w:lang w:val="en-US" w:eastAsia="zh-CN"/>
        </w:rPr>
        <w:t>5</w:t>
      </w:r>
      <w:r>
        <w:rPr>
          <w:b/>
          <w:bCs/>
          <w:color w:val="000000" w:themeColor="text1"/>
          <w:sz w:val="28"/>
          <w:szCs w:val="28"/>
          <w:u w:val="single"/>
        </w:rPr>
        <w:t>-03地块</w:t>
      </w:r>
      <w:r>
        <w:rPr>
          <w:color w:val="000000" w:themeColor="text1"/>
          <w:sz w:val="28"/>
          <w:szCs w:val="28"/>
        </w:rPr>
        <w:t>国有建设用地使用权。</w:t>
      </w:r>
    </w:p>
    <w:p>
      <w:pPr>
        <w:spacing w:line="600" w:lineRule="exact"/>
        <w:ind w:firstLine="560" w:firstLineChars="200"/>
        <w:rPr>
          <w:color w:val="000000" w:themeColor="text1"/>
          <w:sz w:val="28"/>
          <w:szCs w:val="28"/>
        </w:rPr>
      </w:pPr>
      <w:r>
        <w:rPr>
          <w:color w:val="000000" w:themeColor="text1"/>
          <w:sz w:val="28"/>
          <w:szCs w:val="28"/>
        </w:rPr>
        <w:t>一、本次国有建设用地使用权拍卖出让的出让人为</w:t>
      </w:r>
      <w:r>
        <w:rPr>
          <w:rFonts w:hint="eastAsia"/>
          <w:b/>
          <w:bCs/>
          <w:color w:val="000000" w:themeColor="text1"/>
          <w:sz w:val="28"/>
          <w:szCs w:val="28"/>
          <w:u w:val="single"/>
        </w:rPr>
        <w:t>达州市通川区自然资源局</w:t>
      </w:r>
      <w:r>
        <w:rPr>
          <w:rFonts w:eastAsia="楷体"/>
          <w:b w:val="0"/>
          <w:bCs/>
          <w:color w:val="000000" w:themeColor="text1"/>
          <w:sz w:val="28"/>
          <w:szCs w:val="28"/>
        </w:rPr>
        <w:t>，</w:t>
      </w:r>
      <w:r>
        <w:rPr>
          <w:color w:val="000000" w:themeColor="text1"/>
          <w:sz w:val="28"/>
          <w:szCs w:val="28"/>
        </w:rPr>
        <w:t>由达州市公共资源交易服务中心具体组织实施。</w:t>
      </w:r>
    </w:p>
    <w:p>
      <w:pPr>
        <w:spacing w:line="600" w:lineRule="exact"/>
        <w:ind w:firstLine="560" w:firstLineChars="200"/>
        <w:rPr>
          <w:color w:val="000000" w:themeColor="text1"/>
          <w:sz w:val="28"/>
          <w:szCs w:val="28"/>
        </w:rPr>
      </w:pPr>
      <w:r>
        <w:rPr>
          <w:color w:val="000000" w:themeColor="text1"/>
          <w:sz w:val="28"/>
          <w:szCs w:val="28"/>
        </w:rPr>
        <w:t>二、本次国有建设用地使用权拍卖出让遵循公开、公平、公正和诚实信用原则。</w:t>
      </w:r>
    </w:p>
    <w:p>
      <w:pPr>
        <w:spacing w:line="600" w:lineRule="exact"/>
        <w:ind w:firstLine="560" w:firstLineChars="200"/>
        <w:rPr>
          <w:color w:val="000000" w:themeColor="text1"/>
          <w:sz w:val="28"/>
          <w:szCs w:val="28"/>
        </w:rPr>
      </w:pPr>
      <w:r>
        <w:rPr>
          <w:color w:val="000000" w:themeColor="text1"/>
          <w:sz w:val="28"/>
          <w:szCs w:val="28"/>
        </w:rPr>
        <w:t>三、出让地块的基本情况及相关要求</w:t>
      </w:r>
    </w:p>
    <w:p>
      <w:pPr>
        <w:spacing w:line="600" w:lineRule="exact"/>
        <w:ind w:firstLine="560" w:firstLineChars="200"/>
        <w:rPr>
          <w:color w:val="000000" w:themeColor="text1"/>
          <w:sz w:val="28"/>
          <w:szCs w:val="28"/>
        </w:rPr>
      </w:pPr>
      <w:r>
        <w:rPr>
          <w:color w:val="000000" w:themeColor="text1"/>
          <w:sz w:val="28"/>
          <w:szCs w:val="28"/>
        </w:rPr>
        <w:t>（一）地块位置：</w:t>
      </w:r>
      <w:r>
        <w:rPr>
          <w:rFonts w:hint="eastAsia"/>
          <w:color w:val="000000" w:themeColor="text1"/>
          <w:sz w:val="28"/>
          <w:szCs w:val="28"/>
          <w:lang w:val="en-US" w:eastAsia="zh-CN"/>
        </w:rPr>
        <w:t>通川区西河路</w:t>
      </w:r>
      <w:r>
        <w:rPr>
          <w:color w:val="000000" w:themeColor="text1"/>
          <w:sz w:val="28"/>
          <w:szCs w:val="28"/>
        </w:rPr>
        <w:t>；</w:t>
      </w:r>
    </w:p>
    <w:p>
      <w:pPr>
        <w:spacing w:line="600" w:lineRule="exact"/>
        <w:ind w:firstLine="560" w:firstLineChars="200"/>
        <w:rPr>
          <w:color w:val="000000" w:themeColor="text1"/>
          <w:sz w:val="28"/>
          <w:szCs w:val="28"/>
        </w:rPr>
      </w:pPr>
      <w:r>
        <w:rPr>
          <w:color w:val="000000" w:themeColor="text1"/>
          <w:sz w:val="28"/>
          <w:szCs w:val="28"/>
        </w:rPr>
        <w:t>（二）地块范围：详见《达州市达钢（老厂）片区C0</w:t>
      </w:r>
      <w:r>
        <w:rPr>
          <w:rFonts w:hint="eastAsia"/>
          <w:color w:val="000000" w:themeColor="text1"/>
          <w:sz w:val="28"/>
          <w:szCs w:val="28"/>
          <w:lang w:val="en-US" w:eastAsia="zh-CN"/>
        </w:rPr>
        <w:t>5</w:t>
      </w:r>
      <w:r>
        <w:rPr>
          <w:color w:val="000000" w:themeColor="text1"/>
          <w:sz w:val="28"/>
          <w:szCs w:val="28"/>
        </w:rPr>
        <w:t>-03地块</w:t>
      </w:r>
      <w:r>
        <w:rPr>
          <w:rFonts w:hint="eastAsia"/>
          <w:color w:val="000000" w:themeColor="text1"/>
          <w:sz w:val="28"/>
          <w:szCs w:val="28"/>
        </w:rPr>
        <w:t>供地</w:t>
      </w:r>
      <w:r>
        <w:rPr>
          <w:color w:val="000000" w:themeColor="text1"/>
          <w:sz w:val="28"/>
          <w:szCs w:val="28"/>
        </w:rPr>
        <w:t>勘界图》；</w:t>
      </w:r>
    </w:p>
    <w:p>
      <w:pPr>
        <w:spacing w:line="600" w:lineRule="exact"/>
        <w:ind w:firstLine="560" w:firstLineChars="200"/>
        <w:rPr>
          <w:color w:val="000000" w:themeColor="text1"/>
          <w:sz w:val="28"/>
          <w:szCs w:val="28"/>
        </w:rPr>
      </w:pPr>
      <w:r>
        <w:rPr>
          <w:color w:val="000000" w:themeColor="text1"/>
          <w:sz w:val="28"/>
          <w:szCs w:val="28"/>
        </w:rPr>
        <w:t>（三）出让面积：</w:t>
      </w:r>
      <w:r>
        <w:rPr>
          <w:rFonts w:hint="eastAsia"/>
          <w:color w:val="000000" w:themeColor="text1"/>
          <w:sz w:val="28"/>
          <w:szCs w:val="28"/>
          <w:lang w:val="en-US" w:eastAsia="zh-CN"/>
        </w:rPr>
        <w:t>16164.21</w:t>
      </w:r>
      <w:r>
        <w:rPr>
          <w:rFonts w:hint="eastAsia"/>
          <w:color w:val="000000" w:themeColor="text1"/>
          <w:sz w:val="28"/>
          <w:szCs w:val="28"/>
        </w:rPr>
        <w:t>平方米（折合</w:t>
      </w:r>
      <w:r>
        <w:rPr>
          <w:rFonts w:hint="eastAsia"/>
          <w:color w:val="000000" w:themeColor="text1"/>
          <w:sz w:val="28"/>
          <w:szCs w:val="28"/>
          <w:lang w:val="en-US" w:eastAsia="zh-CN"/>
        </w:rPr>
        <w:t>24.25</w:t>
      </w:r>
      <w:r>
        <w:rPr>
          <w:rFonts w:hint="eastAsia"/>
          <w:color w:val="000000" w:themeColor="text1"/>
          <w:sz w:val="28"/>
          <w:szCs w:val="28"/>
        </w:rPr>
        <w:t>亩）</w:t>
      </w:r>
      <w:r>
        <w:rPr>
          <w:color w:val="000000" w:themeColor="text1"/>
          <w:sz w:val="28"/>
          <w:szCs w:val="28"/>
        </w:rPr>
        <w:t>；</w:t>
      </w:r>
    </w:p>
    <w:p>
      <w:pPr>
        <w:spacing w:line="600" w:lineRule="exact"/>
        <w:ind w:firstLine="560" w:firstLineChars="200"/>
        <w:rPr>
          <w:color w:val="000000" w:themeColor="text1"/>
          <w:sz w:val="28"/>
          <w:szCs w:val="28"/>
        </w:rPr>
      </w:pPr>
      <w:r>
        <w:rPr>
          <w:color w:val="000000" w:themeColor="text1"/>
          <w:sz w:val="28"/>
          <w:szCs w:val="28"/>
        </w:rPr>
        <w:t>（四）土地用途：</w:t>
      </w:r>
      <w:r>
        <w:rPr>
          <w:rFonts w:hint="eastAsia"/>
          <w:color w:val="000000" w:themeColor="text1"/>
          <w:sz w:val="28"/>
          <w:szCs w:val="28"/>
          <w:lang w:val="en-US" w:eastAsia="zh-CN"/>
        </w:rPr>
        <w:t>二类居住用地（R21）</w:t>
      </w:r>
      <w:r>
        <w:rPr>
          <w:color w:val="000000" w:themeColor="text1"/>
          <w:sz w:val="28"/>
          <w:szCs w:val="28"/>
        </w:rPr>
        <w:t>；</w:t>
      </w:r>
    </w:p>
    <w:p>
      <w:pPr>
        <w:spacing w:line="600" w:lineRule="exact"/>
        <w:ind w:firstLine="560" w:firstLineChars="200"/>
        <w:rPr>
          <w:color w:val="000000" w:themeColor="text1"/>
          <w:sz w:val="28"/>
          <w:szCs w:val="28"/>
        </w:rPr>
      </w:pPr>
      <w:r>
        <w:rPr>
          <w:color w:val="000000" w:themeColor="text1"/>
          <w:sz w:val="28"/>
          <w:szCs w:val="28"/>
        </w:rPr>
        <w:t>（五）出让年限：</w:t>
      </w:r>
      <w:r>
        <w:rPr>
          <w:rFonts w:hint="eastAsia"/>
          <w:color w:val="000000" w:themeColor="text1"/>
          <w:sz w:val="28"/>
          <w:szCs w:val="28"/>
          <w:lang w:val="en-US" w:eastAsia="zh-CN"/>
        </w:rPr>
        <w:t>商业用地</w:t>
      </w:r>
      <w:r>
        <w:rPr>
          <w:color w:val="000000" w:themeColor="text1"/>
          <w:sz w:val="28"/>
          <w:szCs w:val="28"/>
        </w:rPr>
        <w:t>40年</w:t>
      </w:r>
      <w:r>
        <w:rPr>
          <w:rFonts w:hint="eastAsia"/>
          <w:color w:val="000000" w:themeColor="text1"/>
          <w:sz w:val="28"/>
          <w:szCs w:val="28"/>
          <w:lang w:eastAsia="zh-CN"/>
        </w:rPr>
        <w:t>、</w:t>
      </w:r>
      <w:r>
        <w:rPr>
          <w:rFonts w:hint="eastAsia"/>
          <w:color w:val="000000" w:themeColor="text1"/>
          <w:sz w:val="28"/>
          <w:szCs w:val="28"/>
          <w:lang w:val="en-US" w:eastAsia="zh-CN"/>
        </w:rPr>
        <w:t>住宅用地70年</w:t>
      </w:r>
      <w:r>
        <w:rPr>
          <w:color w:val="000000" w:themeColor="text1"/>
          <w:sz w:val="28"/>
          <w:szCs w:val="28"/>
        </w:rPr>
        <w:t>；</w:t>
      </w:r>
    </w:p>
    <w:p>
      <w:pPr>
        <w:spacing w:line="600" w:lineRule="exact"/>
        <w:ind w:firstLine="560" w:firstLineChars="200"/>
        <w:rPr>
          <w:color w:val="000000" w:themeColor="text1"/>
          <w:sz w:val="28"/>
          <w:szCs w:val="28"/>
        </w:rPr>
      </w:pPr>
      <w:r>
        <w:rPr>
          <w:color w:val="000000" w:themeColor="text1"/>
          <w:sz w:val="28"/>
          <w:szCs w:val="28"/>
        </w:rPr>
        <w:t>（六）规划条件：详见《达州市达钢（老厂）片区C0</w:t>
      </w:r>
      <w:r>
        <w:rPr>
          <w:rFonts w:hint="eastAsia"/>
          <w:color w:val="000000" w:themeColor="text1"/>
          <w:sz w:val="28"/>
          <w:szCs w:val="28"/>
          <w:lang w:val="en-US" w:eastAsia="zh-CN"/>
        </w:rPr>
        <w:t>5</w:t>
      </w:r>
      <w:r>
        <w:rPr>
          <w:color w:val="000000" w:themeColor="text1"/>
          <w:sz w:val="28"/>
          <w:szCs w:val="28"/>
        </w:rPr>
        <w:t>-03地块规划条件》；</w:t>
      </w:r>
    </w:p>
    <w:p>
      <w:pPr>
        <w:spacing w:line="620" w:lineRule="exact"/>
        <w:ind w:firstLine="560" w:firstLineChars="200"/>
        <w:rPr>
          <w:rFonts w:hint="eastAsia"/>
          <w:color w:val="000000" w:themeColor="text1"/>
          <w:sz w:val="28"/>
          <w:szCs w:val="28"/>
        </w:rPr>
      </w:pPr>
      <w:r>
        <w:rPr>
          <w:color w:val="000000" w:themeColor="text1"/>
          <w:sz w:val="28"/>
          <w:szCs w:val="28"/>
        </w:rPr>
        <w:t>（七）</w:t>
      </w:r>
      <w:r>
        <w:rPr>
          <w:rFonts w:hint="eastAsia"/>
          <w:color w:val="000000" w:themeColor="text1"/>
          <w:sz w:val="28"/>
          <w:szCs w:val="28"/>
        </w:rPr>
        <w:t>可配建</w:t>
      </w:r>
      <w:r>
        <w:rPr>
          <w:rFonts w:hint="eastAsia"/>
          <w:color w:val="000000" w:themeColor="text1"/>
          <w:sz w:val="28"/>
          <w:szCs w:val="28"/>
          <w:lang w:val="en-US" w:eastAsia="zh-CN"/>
        </w:rPr>
        <w:t>不大于</w:t>
      </w:r>
      <w:r>
        <w:rPr>
          <w:rFonts w:hint="eastAsia"/>
          <w:color w:val="000000" w:themeColor="text1"/>
          <w:sz w:val="28"/>
          <w:szCs w:val="28"/>
        </w:rPr>
        <w:t>计容总建筑面积10</w:t>
      </w:r>
      <w:r>
        <w:rPr>
          <w:rFonts w:hint="eastAsia"/>
          <w:color w:val="000000" w:themeColor="text1"/>
          <w:sz w:val="28"/>
          <w:szCs w:val="28"/>
          <w:lang w:val="en-US" w:eastAsia="zh-CN"/>
        </w:rPr>
        <w:t>%</w:t>
      </w:r>
      <w:r>
        <w:rPr>
          <w:rFonts w:hint="eastAsia"/>
          <w:color w:val="000000" w:themeColor="text1"/>
          <w:sz w:val="28"/>
          <w:szCs w:val="28"/>
        </w:rPr>
        <w:t>的商业服务用房，设计方案中商业、居住必须分离布局</w:t>
      </w:r>
      <w:r>
        <w:rPr>
          <w:rFonts w:hint="eastAsia"/>
          <w:color w:val="000000" w:themeColor="text1"/>
          <w:sz w:val="28"/>
          <w:szCs w:val="28"/>
          <w:lang w:eastAsia="zh-CN"/>
        </w:rPr>
        <w:t>（</w:t>
      </w:r>
      <w:r>
        <w:rPr>
          <w:rFonts w:hint="eastAsia"/>
          <w:color w:val="000000" w:themeColor="text1"/>
          <w:sz w:val="28"/>
          <w:szCs w:val="28"/>
        </w:rPr>
        <w:t>商业用房在设计方案中应设置商业专用烟道</w:t>
      </w:r>
      <w:r>
        <w:rPr>
          <w:rFonts w:hint="eastAsia"/>
          <w:color w:val="000000" w:themeColor="text1"/>
          <w:sz w:val="28"/>
          <w:szCs w:val="28"/>
          <w:lang w:eastAsia="zh-CN"/>
        </w:rPr>
        <w:t>）</w:t>
      </w:r>
      <w:r>
        <w:rPr>
          <w:rFonts w:hint="eastAsia"/>
          <w:color w:val="000000" w:themeColor="text1"/>
          <w:sz w:val="28"/>
          <w:szCs w:val="28"/>
        </w:rPr>
        <w:t>，其临规划主</w:t>
      </w:r>
      <w:r>
        <w:rPr>
          <w:rFonts w:hint="eastAsia"/>
          <w:color w:val="000000" w:themeColor="text1"/>
          <w:sz w:val="28"/>
          <w:szCs w:val="28"/>
          <w:lang w:val="en-US" w:eastAsia="zh-CN"/>
        </w:rPr>
        <w:t>干</w:t>
      </w:r>
      <w:r>
        <w:rPr>
          <w:rFonts w:hint="eastAsia"/>
          <w:color w:val="000000" w:themeColor="text1"/>
          <w:sz w:val="28"/>
          <w:szCs w:val="28"/>
        </w:rPr>
        <w:t>道的建筑外立面应作公建化设计。建筑退距</w:t>
      </w:r>
      <w:r>
        <w:rPr>
          <w:rFonts w:hint="eastAsia"/>
          <w:color w:val="000000" w:themeColor="text1"/>
          <w:sz w:val="28"/>
          <w:szCs w:val="28"/>
          <w:lang w:eastAsia="zh-CN"/>
        </w:rPr>
        <w:t>：</w:t>
      </w:r>
      <w:r>
        <w:rPr>
          <w:rFonts w:hint="eastAsia"/>
          <w:color w:val="000000" w:themeColor="text1"/>
          <w:sz w:val="28"/>
          <w:szCs w:val="28"/>
        </w:rPr>
        <w:t>该地块内建筑后退规划绿地距离、后退规划道路距离见用地红线图。项目排水实行雨污分流，生活污水须接入市政污水管网排放，项目建成后因市政原因导致生活污水暂不能接入市政污水管网排放的</w:t>
      </w:r>
      <w:r>
        <w:rPr>
          <w:rFonts w:hint="eastAsia"/>
          <w:color w:val="000000" w:themeColor="text1"/>
          <w:sz w:val="28"/>
          <w:szCs w:val="28"/>
          <w:lang w:eastAsia="zh-CN"/>
        </w:rPr>
        <w:t>，</w:t>
      </w:r>
      <w:r>
        <w:rPr>
          <w:rFonts w:hint="eastAsia"/>
          <w:color w:val="000000" w:themeColor="text1"/>
          <w:sz w:val="28"/>
          <w:szCs w:val="28"/>
        </w:rPr>
        <w:t>建设单位需同步配套临时污水处理设施，确保生活污水处理达标后排放</w:t>
      </w:r>
      <w:r>
        <w:rPr>
          <w:rFonts w:hint="eastAsia"/>
          <w:color w:val="000000" w:themeColor="text1"/>
          <w:sz w:val="28"/>
          <w:szCs w:val="28"/>
          <w:lang w:eastAsia="zh-CN"/>
        </w:rPr>
        <w:t>；</w:t>
      </w:r>
      <w:r>
        <w:rPr>
          <w:rFonts w:hint="eastAsia"/>
          <w:color w:val="000000" w:themeColor="text1"/>
          <w:sz w:val="28"/>
          <w:szCs w:val="28"/>
        </w:rPr>
        <w:t>市政管网接通后，建设单位必须将生产、生活污水接入市政管网排放。根据《达州市人民政府办公室关于印发达钢老厂区土地利用处置工作方案的通知》</w:t>
      </w:r>
      <w:r>
        <w:rPr>
          <w:rFonts w:hint="eastAsia" w:ascii="Times New Roman" w:hAnsi="Times New Roman" w:cs="Times New Roman"/>
          <w:color w:val="000000" w:themeColor="text1"/>
          <w:sz w:val="28"/>
          <w:szCs w:val="28"/>
          <w:lang w:eastAsia="zh-CN"/>
        </w:rPr>
        <w:t>（</w:t>
      </w:r>
      <w:r>
        <w:rPr>
          <w:rFonts w:hint="eastAsia" w:ascii="Times New Roman" w:hAnsi="Times New Roman" w:cs="Times New Roman"/>
          <w:color w:val="000000" w:themeColor="text1"/>
          <w:sz w:val="28"/>
          <w:szCs w:val="28"/>
        </w:rPr>
        <w:t>达市府办函</w:t>
      </w:r>
      <w:r>
        <w:rPr>
          <w:rFonts w:hint="default" w:ascii="Times New Roman" w:hAnsi="Times New Roman" w:cs="Times New Roman"/>
          <w:color w:val="000000" w:themeColor="text1"/>
          <w:sz w:val="28"/>
          <w:szCs w:val="28"/>
          <w:lang w:eastAsia="zh-CN"/>
        </w:rPr>
        <w:t>〔</w:t>
      </w:r>
      <w:r>
        <w:rPr>
          <w:rFonts w:hint="eastAsia" w:ascii="Times New Roman" w:hAnsi="Times New Roman" w:cs="Times New Roman"/>
          <w:color w:val="000000" w:themeColor="text1"/>
          <w:sz w:val="28"/>
          <w:szCs w:val="28"/>
          <w:lang w:val="en-US" w:eastAsia="zh-CN"/>
        </w:rPr>
        <w:t>2022</w:t>
      </w:r>
      <w:r>
        <w:rPr>
          <w:rFonts w:hint="default" w:ascii="Times New Roman" w:hAnsi="Times New Roman" w:cs="Times New Roman"/>
          <w:color w:val="000000" w:themeColor="text1"/>
          <w:sz w:val="28"/>
          <w:szCs w:val="28"/>
          <w:lang w:val="en-US" w:eastAsia="zh-CN"/>
        </w:rPr>
        <w:t>〕</w:t>
      </w:r>
      <w:r>
        <w:rPr>
          <w:rFonts w:hint="eastAsia" w:ascii="Times New Roman" w:hAnsi="Times New Roman" w:cs="Times New Roman"/>
          <w:color w:val="000000" w:themeColor="text1"/>
          <w:sz w:val="28"/>
          <w:szCs w:val="28"/>
        </w:rPr>
        <w:t>87号</w:t>
      </w:r>
      <w:r>
        <w:rPr>
          <w:rFonts w:hint="eastAsia" w:ascii="Times New Roman" w:hAnsi="Times New Roman" w:cs="Times New Roman"/>
          <w:color w:val="000000" w:themeColor="text1"/>
          <w:sz w:val="28"/>
          <w:szCs w:val="28"/>
          <w:lang w:eastAsia="zh-CN"/>
        </w:rPr>
        <w:t>）</w:t>
      </w:r>
      <w:r>
        <w:rPr>
          <w:rFonts w:hint="eastAsia" w:ascii="Times New Roman" w:hAnsi="Times New Roman" w:cs="Times New Roman"/>
          <w:color w:val="000000" w:themeColor="text1"/>
          <w:sz w:val="28"/>
          <w:szCs w:val="28"/>
        </w:rPr>
        <w:t>文件精神，本着改善环境、提升土地价值的</w:t>
      </w:r>
      <w:r>
        <w:rPr>
          <w:rFonts w:hint="eastAsia"/>
          <w:color w:val="000000" w:themeColor="text1"/>
          <w:sz w:val="28"/>
          <w:szCs w:val="28"/>
        </w:rPr>
        <w:t>原则，地块</w:t>
      </w:r>
      <w:r>
        <w:rPr>
          <w:rFonts w:hint="eastAsia"/>
          <w:color w:val="000000" w:themeColor="text1"/>
          <w:sz w:val="28"/>
          <w:szCs w:val="28"/>
          <w:lang w:val="en-US" w:eastAsia="zh-CN"/>
        </w:rPr>
        <w:t>东侧规划绿地，南侧、北侧规划道路</w:t>
      </w:r>
      <w:r>
        <w:rPr>
          <w:rFonts w:hint="eastAsia"/>
          <w:color w:val="000000" w:themeColor="text1"/>
          <w:sz w:val="28"/>
          <w:szCs w:val="28"/>
        </w:rPr>
        <w:t>由竞得者打造后无偿移交给政府，具体位置及范围详见规划红线图。地块内建筑间距、退用地界线距离、停车泊位等应满足《城市居住区规划设计标准》</w:t>
      </w:r>
      <w:r>
        <w:rPr>
          <w:rFonts w:hint="eastAsia"/>
          <w:color w:val="000000" w:themeColor="text1"/>
          <w:sz w:val="28"/>
          <w:szCs w:val="28"/>
          <w:lang w:eastAsia="zh-CN"/>
        </w:rPr>
        <w:t>（</w:t>
      </w:r>
      <w:r>
        <w:rPr>
          <w:rFonts w:hint="eastAsia"/>
          <w:color w:val="000000" w:themeColor="text1"/>
          <w:sz w:val="28"/>
          <w:szCs w:val="28"/>
        </w:rPr>
        <w:t>GB50180-2018</w:t>
      </w:r>
      <w:r>
        <w:rPr>
          <w:rFonts w:hint="eastAsia"/>
          <w:color w:val="000000" w:themeColor="text1"/>
          <w:sz w:val="28"/>
          <w:szCs w:val="28"/>
          <w:lang w:eastAsia="zh-CN"/>
        </w:rPr>
        <w:t>）《</w:t>
      </w:r>
      <w:r>
        <w:rPr>
          <w:rFonts w:hint="eastAsia"/>
          <w:color w:val="000000" w:themeColor="text1"/>
          <w:sz w:val="28"/>
          <w:szCs w:val="28"/>
        </w:rPr>
        <w:t>达州市国土空间规划管理技术规定</w:t>
      </w:r>
      <w:r>
        <w:rPr>
          <w:rFonts w:hint="eastAsia"/>
          <w:color w:val="000000" w:themeColor="text1"/>
          <w:sz w:val="28"/>
          <w:szCs w:val="28"/>
          <w:lang w:eastAsia="zh-CN"/>
        </w:rPr>
        <w:t>（</w:t>
      </w:r>
      <w:r>
        <w:rPr>
          <w:rFonts w:hint="eastAsia"/>
          <w:color w:val="000000" w:themeColor="text1"/>
          <w:sz w:val="28"/>
          <w:szCs w:val="28"/>
        </w:rPr>
        <w:t>2021版</w:t>
      </w:r>
      <w:r>
        <w:rPr>
          <w:rFonts w:hint="eastAsia"/>
          <w:color w:val="000000" w:themeColor="text1"/>
          <w:sz w:val="28"/>
          <w:szCs w:val="28"/>
          <w:lang w:eastAsia="zh-CN"/>
        </w:rPr>
        <w:t>）》</w:t>
      </w:r>
      <w:r>
        <w:rPr>
          <w:rFonts w:hint="eastAsia"/>
          <w:color w:val="000000" w:themeColor="text1"/>
          <w:sz w:val="28"/>
          <w:szCs w:val="28"/>
        </w:rPr>
        <w:t>《达州市达钢</w:t>
      </w:r>
      <w:r>
        <w:rPr>
          <w:rFonts w:hint="eastAsia"/>
          <w:color w:val="000000" w:themeColor="text1"/>
          <w:sz w:val="28"/>
          <w:szCs w:val="28"/>
          <w:lang w:eastAsia="zh-CN"/>
        </w:rPr>
        <w:t>（</w:t>
      </w:r>
      <w:r>
        <w:rPr>
          <w:rFonts w:hint="eastAsia"/>
          <w:color w:val="000000" w:themeColor="text1"/>
          <w:sz w:val="28"/>
          <w:szCs w:val="28"/>
          <w:lang w:val="en-US" w:eastAsia="zh-CN"/>
        </w:rPr>
        <w:t>老厂</w:t>
      </w:r>
      <w:r>
        <w:rPr>
          <w:rFonts w:hint="eastAsia"/>
          <w:color w:val="000000" w:themeColor="text1"/>
          <w:sz w:val="28"/>
          <w:szCs w:val="28"/>
          <w:lang w:eastAsia="zh-CN"/>
        </w:rPr>
        <w:t>）</w:t>
      </w:r>
      <w:r>
        <w:rPr>
          <w:rFonts w:hint="eastAsia"/>
          <w:color w:val="000000" w:themeColor="text1"/>
          <w:sz w:val="28"/>
          <w:szCs w:val="28"/>
        </w:rPr>
        <w:t>片区控制性详细规划》等规范及文件的相关规定。</w:t>
      </w:r>
    </w:p>
    <w:p>
      <w:pPr>
        <w:spacing w:line="620" w:lineRule="exact"/>
        <w:ind w:firstLine="560" w:firstLineChars="200"/>
        <w:rPr>
          <w:rFonts w:hint="eastAsia"/>
          <w:color w:val="000000" w:themeColor="text1"/>
          <w:sz w:val="28"/>
          <w:szCs w:val="28"/>
          <w:lang w:eastAsia="zh-CN"/>
        </w:rPr>
      </w:pPr>
      <w:r>
        <w:rPr>
          <w:rFonts w:hint="eastAsia"/>
          <w:color w:val="000000" w:themeColor="text1"/>
          <w:sz w:val="28"/>
          <w:szCs w:val="28"/>
          <w:lang w:eastAsia="zh-CN"/>
        </w:rPr>
        <w:t>（</w:t>
      </w:r>
      <w:r>
        <w:rPr>
          <w:rFonts w:hint="eastAsia"/>
          <w:color w:val="000000" w:themeColor="text1"/>
          <w:sz w:val="28"/>
          <w:szCs w:val="28"/>
          <w:lang w:val="en-US" w:eastAsia="zh-CN"/>
        </w:rPr>
        <w:t>八</w:t>
      </w:r>
      <w:r>
        <w:rPr>
          <w:rFonts w:hint="eastAsia"/>
          <w:color w:val="000000" w:themeColor="text1"/>
          <w:sz w:val="28"/>
          <w:szCs w:val="28"/>
          <w:lang w:eastAsia="zh-CN"/>
        </w:rPr>
        <w:t>）该地块配套要求：1.根据《达州市人民政府办公室关于印发达州市中心城区新建住宅小区配套建设社区综合服务设施实施办法的通知》（达市府办</w:t>
      </w:r>
      <w:r>
        <w:rPr>
          <w:rFonts w:hint="default" w:ascii="Times New Roman" w:hAnsi="Times New Roman" w:cs="Times New Roman"/>
          <w:color w:val="000000" w:themeColor="text1"/>
          <w:sz w:val="28"/>
          <w:szCs w:val="28"/>
          <w:lang w:eastAsia="zh-CN"/>
        </w:rPr>
        <w:t>〔</w:t>
      </w:r>
      <w:r>
        <w:rPr>
          <w:rFonts w:hint="eastAsia" w:ascii="Times New Roman" w:hAnsi="Times New Roman" w:cs="Times New Roman"/>
          <w:color w:val="000000" w:themeColor="text1"/>
          <w:sz w:val="28"/>
          <w:szCs w:val="28"/>
          <w:lang w:val="en-US" w:eastAsia="zh-CN"/>
        </w:rPr>
        <w:t>20</w:t>
      </w:r>
      <w:r>
        <w:rPr>
          <w:rFonts w:hint="eastAsia" w:cs="Times New Roman"/>
          <w:color w:val="000000" w:themeColor="text1"/>
          <w:sz w:val="28"/>
          <w:szCs w:val="28"/>
          <w:lang w:val="en-US" w:eastAsia="zh-CN"/>
        </w:rPr>
        <w:t>18</w:t>
      </w:r>
      <w:r>
        <w:rPr>
          <w:rFonts w:hint="default" w:ascii="Times New Roman" w:hAnsi="Times New Roman" w:cs="Times New Roman"/>
          <w:color w:val="000000" w:themeColor="text1"/>
          <w:sz w:val="28"/>
          <w:szCs w:val="28"/>
          <w:lang w:val="en-US" w:eastAsia="zh-CN"/>
        </w:rPr>
        <w:t>〕</w:t>
      </w:r>
      <w:r>
        <w:rPr>
          <w:rFonts w:hint="eastAsia"/>
          <w:color w:val="000000" w:themeColor="text1"/>
          <w:sz w:val="28"/>
          <w:szCs w:val="28"/>
          <w:lang w:eastAsia="zh-CN"/>
        </w:rPr>
        <w:t>57号）精神，按照计容住宅建筑面积3</w:t>
      </w:r>
      <w:r>
        <w:rPr>
          <w:rFonts w:hint="eastAsia"/>
          <w:color w:val="000000" w:themeColor="text1"/>
          <w:sz w:val="28"/>
          <w:szCs w:val="28"/>
          <w:lang w:val="en-US" w:eastAsia="zh-CN"/>
        </w:rPr>
        <w:t>‰</w:t>
      </w:r>
      <w:r>
        <w:rPr>
          <w:rFonts w:hint="eastAsia"/>
          <w:color w:val="000000" w:themeColor="text1"/>
          <w:sz w:val="28"/>
          <w:szCs w:val="28"/>
          <w:lang w:eastAsia="zh-CN"/>
        </w:rPr>
        <w:t>的比例无偿配建一个不低于150平方米的社区综合服务设施。社区综合服务设施的建筑面积不计入项目容积率，其不动产权和使用权归地方政府。2.根据《达州市人民政府关于印发达州市“十四五”养老服务发展规划的通知》（达市府发</w:t>
      </w:r>
      <w:r>
        <w:rPr>
          <w:rFonts w:hint="default" w:ascii="Times New Roman" w:hAnsi="Times New Roman" w:cs="Times New Roman"/>
          <w:color w:val="000000" w:themeColor="text1"/>
          <w:sz w:val="28"/>
          <w:szCs w:val="28"/>
          <w:lang w:eastAsia="zh-CN"/>
        </w:rPr>
        <w:t>〔</w:t>
      </w:r>
      <w:r>
        <w:rPr>
          <w:rFonts w:hint="eastAsia" w:ascii="Times New Roman" w:hAnsi="Times New Roman" w:cs="Times New Roman"/>
          <w:color w:val="000000" w:themeColor="text1"/>
          <w:sz w:val="28"/>
          <w:szCs w:val="28"/>
          <w:lang w:val="en-US" w:eastAsia="zh-CN"/>
        </w:rPr>
        <w:t>20</w:t>
      </w:r>
      <w:r>
        <w:rPr>
          <w:rFonts w:hint="eastAsia" w:cs="Times New Roman"/>
          <w:color w:val="000000" w:themeColor="text1"/>
          <w:sz w:val="28"/>
          <w:szCs w:val="28"/>
          <w:lang w:val="en-US" w:eastAsia="zh-CN"/>
        </w:rPr>
        <w:t>22</w:t>
      </w:r>
      <w:r>
        <w:rPr>
          <w:rFonts w:hint="default" w:ascii="Times New Roman" w:hAnsi="Times New Roman" w:cs="Times New Roman"/>
          <w:color w:val="000000" w:themeColor="text1"/>
          <w:sz w:val="28"/>
          <w:szCs w:val="28"/>
          <w:lang w:val="en-US" w:eastAsia="zh-CN"/>
        </w:rPr>
        <w:t>〕</w:t>
      </w:r>
      <w:r>
        <w:rPr>
          <w:rFonts w:hint="eastAsia"/>
          <w:color w:val="000000" w:themeColor="text1"/>
          <w:sz w:val="28"/>
          <w:szCs w:val="28"/>
          <w:lang w:eastAsia="zh-CN"/>
        </w:rPr>
        <w:t>17号）精神，按照每100户不低于30平方米的标准配建养老服务设施（不计入要求配建的社区公共服务用房面积）。在项目产权移交时，建设单位应将养老服务设施以及有关建设资料无偿移交至所在地县（市、区）民政部门，由民政部门履行监管职责，确保养老服务用途。</w:t>
      </w:r>
    </w:p>
    <w:p>
      <w:pPr>
        <w:spacing w:line="620" w:lineRule="exact"/>
        <w:ind w:firstLine="560" w:firstLineChars="200"/>
        <w:rPr>
          <w:rFonts w:hint="eastAsia"/>
          <w:color w:val="000000" w:themeColor="text1"/>
          <w:sz w:val="28"/>
          <w:szCs w:val="28"/>
          <w:lang w:eastAsia="zh-CN"/>
        </w:rPr>
      </w:pPr>
      <w:r>
        <w:rPr>
          <w:rFonts w:hint="eastAsia"/>
          <w:color w:val="000000" w:themeColor="text1"/>
          <w:sz w:val="28"/>
          <w:szCs w:val="28"/>
          <w:lang w:eastAsia="zh-CN"/>
        </w:rPr>
        <w:t>（</w:t>
      </w:r>
      <w:r>
        <w:rPr>
          <w:rFonts w:hint="eastAsia"/>
          <w:color w:val="000000" w:themeColor="text1"/>
          <w:sz w:val="28"/>
          <w:szCs w:val="28"/>
          <w:lang w:val="en-US" w:eastAsia="zh-CN"/>
        </w:rPr>
        <w:t>九</w:t>
      </w:r>
      <w:r>
        <w:rPr>
          <w:rFonts w:hint="eastAsia"/>
          <w:color w:val="000000" w:themeColor="text1"/>
          <w:sz w:val="28"/>
          <w:szCs w:val="28"/>
          <w:lang w:eastAsia="zh-CN"/>
        </w:rPr>
        <w:t>）土地竞得人须严格按照达州市达钢（</w:t>
      </w:r>
      <w:r>
        <w:rPr>
          <w:rFonts w:hint="eastAsia"/>
          <w:color w:val="000000" w:themeColor="text1"/>
          <w:sz w:val="28"/>
          <w:szCs w:val="28"/>
          <w:lang w:val="en-US" w:eastAsia="zh-CN"/>
        </w:rPr>
        <w:t>老厂</w:t>
      </w:r>
      <w:r>
        <w:rPr>
          <w:rFonts w:hint="eastAsia"/>
          <w:color w:val="000000" w:themeColor="text1"/>
          <w:sz w:val="28"/>
          <w:szCs w:val="28"/>
          <w:lang w:eastAsia="zh-CN"/>
        </w:rPr>
        <w:t>）片区</w:t>
      </w:r>
      <w:r>
        <w:rPr>
          <w:rFonts w:hint="eastAsia"/>
          <w:color w:val="000000" w:themeColor="text1"/>
          <w:sz w:val="28"/>
          <w:szCs w:val="28"/>
          <w:lang w:val="en-US" w:eastAsia="zh-CN"/>
        </w:rPr>
        <w:t>C05</w:t>
      </w:r>
      <w:r>
        <w:rPr>
          <w:rFonts w:hint="eastAsia"/>
          <w:color w:val="000000" w:themeColor="text1"/>
          <w:sz w:val="28"/>
          <w:szCs w:val="28"/>
          <w:lang w:eastAsia="zh-CN"/>
        </w:rPr>
        <w:t>-0</w:t>
      </w:r>
      <w:r>
        <w:rPr>
          <w:rFonts w:hint="eastAsia"/>
          <w:color w:val="000000" w:themeColor="text1"/>
          <w:sz w:val="28"/>
          <w:szCs w:val="28"/>
          <w:lang w:val="en-US" w:eastAsia="zh-CN"/>
        </w:rPr>
        <w:t>3</w:t>
      </w:r>
      <w:r>
        <w:rPr>
          <w:rFonts w:hint="eastAsia"/>
          <w:color w:val="000000" w:themeColor="text1"/>
          <w:sz w:val="28"/>
          <w:szCs w:val="28"/>
          <w:lang w:eastAsia="zh-CN"/>
        </w:rPr>
        <w:t>地块规划条件及要求进行开发建设；须严格按照地质灾害防治的相关要求，落实地质灾害防治措施；须严格按照生态环境保护的相关要求，开展环境影响评价，全面落实生态环境保护措施。</w:t>
      </w:r>
    </w:p>
    <w:p>
      <w:pPr>
        <w:spacing w:line="620" w:lineRule="exact"/>
        <w:ind w:firstLine="560" w:firstLineChars="200"/>
        <w:rPr>
          <w:rFonts w:hint="eastAsia"/>
          <w:color w:val="000000" w:themeColor="text1"/>
          <w:sz w:val="28"/>
          <w:szCs w:val="28"/>
          <w:lang w:eastAsia="zh-CN"/>
        </w:rPr>
      </w:pPr>
      <w:r>
        <w:rPr>
          <w:rFonts w:hint="eastAsia"/>
          <w:color w:val="000000" w:themeColor="text1"/>
          <w:sz w:val="28"/>
          <w:szCs w:val="28"/>
          <w:lang w:eastAsia="zh-CN"/>
        </w:rPr>
        <w:t>（</w:t>
      </w:r>
      <w:r>
        <w:rPr>
          <w:rFonts w:hint="eastAsia"/>
          <w:color w:val="000000" w:themeColor="text1"/>
          <w:sz w:val="28"/>
          <w:szCs w:val="28"/>
          <w:lang w:val="en-US" w:eastAsia="zh-CN"/>
        </w:rPr>
        <w:t>十</w:t>
      </w:r>
      <w:r>
        <w:rPr>
          <w:rFonts w:hint="eastAsia"/>
          <w:color w:val="000000" w:themeColor="text1"/>
          <w:sz w:val="28"/>
          <w:szCs w:val="28"/>
          <w:lang w:eastAsia="zh-CN"/>
        </w:rPr>
        <w:t>）在土地竞得人缴清全部土地出让价款（含滞纳金）之日起5个工作日内，按现状土地使用条件交付土地。受让人须自交地之日起1年内开工，自开工之日起3年内建成；受让人不能按期开工，应提前30日向出让人提出延建申请，经出让人同意延建的，其项目竣工时间相应顺延，但延建期限不得超过1年。</w:t>
      </w:r>
    </w:p>
    <w:p>
      <w:pPr>
        <w:spacing w:line="600" w:lineRule="exact"/>
        <w:ind w:firstLine="560" w:firstLineChars="200"/>
        <w:rPr>
          <w:rFonts w:hint="eastAsia"/>
          <w:color w:val="000000" w:themeColor="text1"/>
          <w:sz w:val="28"/>
          <w:szCs w:val="28"/>
        </w:rPr>
      </w:pPr>
      <w:r>
        <w:rPr>
          <w:color w:val="000000" w:themeColor="text1"/>
          <w:sz w:val="28"/>
          <w:szCs w:val="28"/>
        </w:rPr>
        <w:t>（十</w:t>
      </w:r>
      <w:r>
        <w:rPr>
          <w:rFonts w:hint="eastAsia"/>
          <w:color w:val="000000" w:themeColor="text1"/>
          <w:sz w:val="28"/>
          <w:szCs w:val="28"/>
          <w:lang w:val="en-US" w:eastAsia="zh-CN"/>
        </w:rPr>
        <w:t>一</w:t>
      </w:r>
      <w:r>
        <w:rPr>
          <w:color w:val="000000" w:themeColor="text1"/>
          <w:sz w:val="28"/>
          <w:szCs w:val="28"/>
        </w:rPr>
        <w:t>）</w:t>
      </w:r>
      <w:r>
        <w:rPr>
          <w:rFonts w:hint="eastAsia"/>
          <w:color w:val="000000" w:themeColor="text1"/>
          <w:sz w:val="28"/>
          <w:szCs w:val="28"/>
        </w:rPr>
        <w:t>竞买人须承诺</w:t>
      </w:r>
      <w:r>
        <w:rPr>
          <w:rFonts w:hint="eastAsia"/>
          <w:color w:val="000000" w:themeColor="text1"/>
          <w:sz w:val="28"/>
          <w:szCs w:val="28"/>
          <w:lang w:eastAsia="zh-CN"/>
        </w:rPr>
        <w:t>：</w:t>
      </w:r>
      <w:r>
        <w:rPr>
          <w:rFonts w:hint="eastAsia"/>
          <w:color w:val="000000" w:themeColor="text1"/>
          <w:sz w:val="28"/>
          <w:szCs w:val="28"/>
        </w:rPr>
        <w:t>1.土地所在辖区外的竞买人，若竞得土地使用权，须在土地所在辖区成立一家新公司对竞得土地进行开发建设</w:t>
      </w:r>
      <w:r>
        <w:rPr>
          <w:rFonts w:hint="eastAsia"/>
          <w:color w:val="000000" w:themeColor="text1"/>
          <w:sz w:val="28"/>
          <w:szCs w:val="28"/>
          <w:lang w:eastAsia="zh-CN"/>
        </w:rPr>
        <w:t>；</w:t>
      </w:r>
      <w:r>
        <w:rPr>
          <w:rFonts w:hint="eastAsia"/>
          <w:color w:val="000000" w:themeColor="text1"/>
          <w:sz w:val="28"/>
          <w:szCs w:val="28"/>
        </w:rPr>
        <w:t>2.负责土壤污染治理及其费用筹措</w:t>
      </w:r>
      <w:r>
        <w:rPr>
          <w:rFonts w:hint="eastAsia"/>
          <w:color w:val="000000" w:themeColor="text1"/>
          <w:sz w:val="28"/>
          <w:szCs w:val="28"/>
          <w:lang w:eastAsia="zh-CN"/>
        </w:rPr>
        <w:t>；</w:t>
      </w:r>
      <w:r>
        <w:rPr>
          <w:rFonts w:hint="eastAsia"/>
          <w:color w:val="000000" w:themeColor="text1"/>
          <w:sz w:val="28"/>
          <w:szCs w:val="28"/>
        </w:rPr>
        <w:t>3.负责收回土地的地面建</w:t>
      </w:r>
      <w:r>
        <w:rPr>
          <w:rFonts w:hint="eastAsia"/>
          <w:color w:val="000000" w:themeColor="text1"/>
          <w:sz w:val="28"/>
          <w:szCs w:val="28"/>
          <w:lang w:eastAsia="zh-CN"/>
        </w:rPr>
        <w:t>（</w:t>
      </w:r>
      <w:r>
        <w:rPr>
          <w:rFonts w:hint="eastAsia"/>
          <w:color w:val="000000" w:themeColor="text1"/>
          <w:sz w:val="28"/>
          <w:szCs w:val="28"/>
          <w:lang w:val="en-US" w:eastAsia="zh-CN"/>
        </w:rPr>
        <w:t>构</w:t>
      </w:r>
      <w:r>
        <w:rPr>
          <w:rFonts w:hint="eastAsia"/>
          <w:color w:val="000000" w:themeColor="text1"/>
          <w:sz w:val="28"/>
          <w:szCs w:val="28"/>
          <w:lang w:eastAsia="zh-CN"/>
        </w:rPr>
        <w:t>）</w:t>
      </w:r>
      <w:r>
        <w:rPr>
          <w:rFonts w:hint="eastAsia"/>
          <w:color w:val="000000" w:themeColor="text1"/>
          <w:sz w:val="28"/>
          <w:szCs w:val="28"/>
        </w:rPr>
        <w:t>筑物</w:t>
      </w:r>
      <w:r>
        <w:rPr>
          <w:rFonts w:hint="eastAsia"/>
          <w:color w:val="000000" w:themeColor="text1"/>
          <w:sz w:val="28"/>
          <w:szCs w:val="28"/>
          <w:lang w:eastAsia="zh-CN"/>
        </w:rPr>
        <w:t>（</w:t>
      </w:r>
      <w:r>
        <w:rPr>
          <w:rFonts w:hint="eastAsia"/>
          <w:color w:val="000000" w:themeColor="text1"/>
          <w:sz w:val="28"/>
          <w:szCs w:val="28"/>
        </w:rPr>
        <w:t>所含属地下管线等</w:t>
      </w:r>
      <w:r>
        <w:rPr>
          <w:rFonts w:hint="eastAsia"/>
          <w:color w:val="000000" w:themeColor="text1"/>
          <w:sz w:val="28"/>
          <w:szCs w:val="28"/>
          <w:lang w:eastAsia="zh-CN"/>
        </w:rPr>
        <w:t>）</w:t>
      </w:r>
      <w:r>
        <w:rPr>
          <w:rFonts w:hint="eastAsia"/>
          <w:color w:val="000000" w:themeColor="text1"/>
          <w:sz w:val="28"/>
          <w:szCs w:val="28"/>
        </w:rPr>
        <w:t>拆除及其费用筹措。</w:t>
      </w:r>
    </w:p>
    <w:p>
      <w:pPr>
        <w:spacing w:line="600" w:lineRule="exact"/>
        <w:ind w:firstLine="560" w:firstLineChars="200"/>
        <w:rPr>
          <w:rFonts w:hint="eastAsia" w:eastAsia="宋体"/>
          <w:color w:val="000000" w:themeColor="text1"/>
          <w:sz w:val="28"/>
          <w:szCs w:val="28"/>
          <w:lang w:eastAsia="zh-CN"/>
        </w:rPr>
      </w:pPr>
      <w:r>
        <w:rPr>
          <w:rFonts w:hint="eastAsia"/>
          <w:color w:val="000000" w:themeColor="text1"/>
          <w:sz w:val="28"/>
          <w:szCs w:val="28"/>
          <w:lang w:eastAsia="zh-CN"/>
        </w:rPr>
        <w:t>（</w:t>
      </w:r>
      <w:r>
        <w:rPr>
          <w:rFonts w:hint="eastAsia"/>
          <w:color w:val="000000" w:themeColor="text1"/>
          <w:sz w:val="28"/>
          <w:szCs w:val="28"/>
          <w:lang w:val="en-US" w:eastAsia="zh-CN"/>
        </w:rPr>
        <w:t>十二</w:t>
      </w:r>
      <w:r>
        <w:rPr>
          <w:rFonts w:hint="eastAsia"/>
          <w:color w:val="000000" w:themeColor="text1"/>
          <w:sz w:val="28"/>
          <w:szCs w:val="28"/>
          <w:lang w:eastAsia="zh-CN"/>
        </w:rPr>
        <w:t>）土地竞得者在土壤污染治理未经验收合格前，不得受理地块工程规划设计方案和施工图设计方案的审查，不得核发地块工程规划许可证和施工许可证。</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四、竞买资格及要求</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 xml:space="preserve"> </w:t>
      </w:r>
      <w:r>
        <w:rPr>
          <w:rFonts w:hint="eastAsia" w:eastAsiaTheme="minorEastAsia"/>
          <w:color w:val="000000" w:themeColor="text1"/>
          <w:sz w:val="28"/>
          <w:szCs w:val="28"/>
          <w:lang w:eastAsia="zh-CN"/>
        </w:rPr>
        <w:t>（</w:t>
      </w:r>
      <w:r>
        <w:rPr>
          <w:rFonts w:hint="eastAsia" w:eastAsiaTheme="minorEastAsia"/>
          <w:color w:val="000000" w:themeColor="text1"/>
          <w:sz w:val="28"/>
          <w:szCs w:val="28"/>
          <w:lang w:val="en-US" w:eastAsia="zh-CN"/>
        </w:rPr>
        <w:t>一</w:t>
      </w:r>
      <w:r>
        <w:rPr>
          <w:rFonts w:hint="eastAsia" w:eastAsiaTheme="minorEastAsia"/>
          <w:color w:val="000000" w:themeColor="text1"/>
          <w:sz w:val="28"/>
          <w:szCs w:val="28"/>
          <w:lang w:eastAsia="zh-CN"/>
        </w:rPr>
        <w:t>）</w:t>
      </w:r>
      <w:r>
        <w:rPr>
          <w:rFonts w:eastAsiaTheme="minorEastAsia"/>
          <w:color w:val="000000" w:themeColor="text1"/>
          <w:sz w:val="28"/>
          <w:szCs w:val="28"/>
        </w:rPr>
        <w:t>竞买资格</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1.中华人民共和国境内外的法人、自然人和其他组织（除法律法规另有规定的外）均可申请参加，申请人可以单独申请，也可以联合申请。</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2.在达州市内有下列情形之一的，不得申请参与本次拍卖活动。</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①逾期不签成交确认书、土地出让合同的；</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②欠缴土地出让价款的；</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③因企业原因闲置土地一年以上，且尚未完成查处整改的单位和个人；</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④违反土地及城乡规划法律法规受到处罚，且尚未结案的单位和个人。</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（二）要求</w:t>
      </w:r>
    </w:p>
    <w:p>
      <w:pPr>
        <w:spacing w:line="600" w:lineRule="exact"/>
        <w:ind w:firstLine="560" w:firstLineChars="200"/>
        <w:rPr>
          <w:rFonts w:ascii="Times New Roman" w:hAnsi="Times New Roman" w:cs="Times New Roman" w:eastAsiaTheme="minorEastAsia"/>
          <w:color w:val="000000" w:themeColor="text1"/>
          <w:sz w:val="28"/>
          <w:szCs w:val="28"/>
        </w:rPr>
      </w:pPr>
      <w:r>
        <w:rPr>
          <w:rFonts w:eastAsiaTheme="minorEastAsia"/>
          <w:color w:val="000000" w:themeColor="text1"/>
          <w:sz w:val="28"/>
          <w:szCs w:val="28"/>
        </w:rPr>
        <w:t>1.竞买申请人按照地块拍卖出让公告的日期及方式索取拍卖文件。申请人应认真审阅、全面准确地理解拍卖文件内容，对本次拍卖出让地块的文件有疑问的，可向出让人</w:t>
      </w:r>
      <w:r>
        <w:rPr>
          <w:rFonts w:hint="eastAsia" w:eastAsiaTheme="minorEastAsia"/>
          <w:color w:val="000000" w:themeColor="text1"/>
          <w:sz w:val="28"/>
          <w:szCs w:val="28"/>
          <w:lang w:eastAsia="zh-CN"/>
        </w:rPr>
        <w:t>、</w:t>
      </w:r>
      <w:r>
        <w:rPr>
          <w:rFonts w:eastAsiaTheme="minorEastAsia"/>
          <w:color w:val="000000" w:themeColor="text1"/>
          <w:sz w:val="28"/>
          <w:szCs w:val="28"/>
        </w:rPr>
        <w:t>达州市公共资源交易服务</w:t>
      </w:r>
      <w:r>
        <w:rPr>
          <w:rFonts w:hint="eastAsia" w:eastAsiaTheme="minorEastAsia"/>
          <w:color w:val="000000" w:themeColor="text1"/>
          <w:sz w:val="28"/>
          <w:szCs w:val="28"/>
          <w:lang w:val="en-US" w:eastAsia="zh-CN"/>
        </w:rPr>
        <w:t>中心</w:t>
      </w:r>
      <w:r>
        <w:rPr>
          <w:rFonts w:eastAsiaTheme="minorEastAsia"/>
          <w:color w:val="000000" w:themeColor="text1"/>
          <w:sz w:val="28"/>
          <w:szCs w:val="28"/>
        </w:rPr>
        <w:t>咨询（咨询电</w:t>
      </w:r>
      <w:r>
        <w:rPr>
          <w:rFonts w:ascii="Times New Roman" w:hAnsi="Times New Roman" w:cs="Times New Roman" w:eastAsiaTheme="minorEastAsia"/>
          <w:color w:val="000000" w:themeColor="text1"/>
          <w:sz w:val="28"/>
          <w:szCs w:val="28"/>
        </w:rPr>
        <w:t>话：出让人电话</w:t>
      </w:r>
      <w:r>
        <w:rPr>
          <w:rFonts w:hint="eastAsia" w:ascii="Times New Roman" w:hAnsi="Times New Roman" w:cs="Times New Roman" w:eastAsiaTheme="minorEastAsia"/>
          <w:color w:val="000000" w:themeColor="text1"/>
          <w:sz w:val="28"/>
          <w:szCs w:val="28"/>
        </w:rPr>
        <w:t>0818-2370872</w:t>
      </w:r>
      <w:r>
        <w:rPr>
          <w:rFonts w:ascii="Times New Roman" w:hAnsi="Times New Roman" w:cs="Times New Roman" w:eastAsiaTheme="minorEastAsia"/>
          <w:color w:val="000000" w:themeColor="text1"/>
          <w:sz w:val="28"/>
          <w:szCs w:val="28"/>
        </w:rPr>
        <w:t>，电话0818-2183355）。</w:t>
      </w:r>
    </w:p>
    <w:p>
      <w:pPr>
        <w:pStyle w:val="11"/>
        <w:spacing w:before="0" w:beforeAutospacing="0" w:after="0" w:afterAutospacing="0" w:line="600" w:lineRule="exact"/>
        <w:ind w:firstLine="529" w:firstLineChars="189"/>
        <w:jc w:val="both"/>
        <w:rPr>
          <w:rFonts w:ascii="Times New Roman" w:hAnsi="Times New Roman" w:cs="Times New Roman" w:eastAsiaTheme="minorEastAsia"/>
          <w:color w:val="000000" w:themeColor="text1"/>
          <w:kern w:val="2"/>
          <w:sz w:val="28"/>
          <w:szCs w:val="28"/>
        </w:rPr>
      </w:pPr>
      <w:r>
        <w:rPr>
          <w:rFonts w:ascii="Times New Roman" w:hAnsi="Times New Roman" w:cs="Times New Roman" w:eastAsiaTheme="minorEastAsia"/>
          <w:color w:val="000000" w:themeColor="text1"/>
          <w:kern w:val="2"/>
          <w:sz w:val="28"/>
          <w:szCs w:val="28"/>
        </w:rPr>
        <w:t>2.竞买申请人除须按规定交纳竞买保证金外，还须提供该竞买保证金不属于银行贷款、股东借款、转贷和募集资金的承诺书及商业金融机构的资信证明。</w:t>
      </w:r>
    </w:p>
    <w:p>
      <w:pPr>
        <w:pStyle w:val="11"/>
        <w:spacing w:before="0" w:beforeAutospacing="0" w:after="0" w:afterAutospacing="0" w:line="600" w:lineRule="exact"/>
        <w:ind w:firstLine="529" w:firstLineChars="189"/>
        <w:jc w:val="both"/>
        <w:rPr>
          <w:rFonts w:ascii="Times New Roman" w:hAnsi="Times New Roman" w:cs="Times New Roman" w:eastAsiaTheme="minorEastAsia"/>
          <w:color w:val="000000" w:themeColor="text1"/>
          <w:kern w:val="2"/>
          <w:sz w:val="28"/>
          <w:szCs w:val="28"/>
        </w:rPr>
      </w:pPr>
      <w:r>
        <w:rPr>
          <w:rFonts w:ascii="Times New Roman" w:hAnsi="Times New Roman" w:cs="Times New Roman" w:eastAsiaTheme="minorEastAsia"/>
          <w:color w:val="000000" w:themeColor="text1"/>
          <w:kern w:val="2"/>
          <w:sz w:val="28"/>
          <w:szCs w:val="28"/>
        </w:rPr>
        <w:t>3.土地所在辖区外的竞买申请人须承诺，若竞得土地使用权后，必须在</w:t>
      </w:r>
      <w:r>
        <w:rPr>
          <w:rFonts w:ascii="Times New Roman" w:hAnsi="Times New Roman" w:cs="Times New Roman" w:eastAsiaTheme="minorEastAsia"/>
          <w:color w:val="000000" w:themeColor="text1"/>
          <w:kern w:val="2"/>
          <w:sz w:val="28"/>
          <w:szCs w:val="28"/>
          <w:u w:val="single"/>
        </w:rPr>
        <w:t>土地所在辖区</w:t>
      </w:r>
      <w:r>
        <w:rPr>
          <w:rFonts w:ascii="Times New Roman" w:hAnsi="Times New Roman" w:cs="Times New Roman" w:eastAsiaTheme="minorEastAsia"/>
          <w:color w:val="000000" w:themeColor="text1"/>
          <w:kern w:val="2"/>
          <w:sz w:val="28"/>
          <w:szCs w:val="28"/>
        </w:rPr>
        <w:t>成立一家新公司对竞得土地进行开发建设。</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五、申请和资格审查</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（一）拍卖文件取得</w:t>
      </w:r>
    </w:p>
    <w:p>
      <w:pPr>
        <w:pStyle w:val="25"/>
        <w:widowControl w:val="0"/>
        <w:spacing w:line="600" w:lineRule="exact"/>
        <w:ind w:left="0" w:firstLine="560" w:firstLineChars="200"/>
        <w:rPr>
          <w:rFonts w:eastAsiaTheme="minorEastAsia"/>
          <w:color w:val="000000" w:themeColor="text1"/>
          <w:kern w:val="2"/>
          <w:sz w:val="28"/>
          <w:szCs w:val="28"/>
        </w:rPr>
      </w:pPr>
      <w:r>
        <w:rPr>
          <w:rFonts w:eastAsiaTheme="minorEastAsia"/>
          <w:color w:val="000000" w:themeColor="text1"/>
          <w:kern w:val="2"/>
          <w:sz w:val="28"/>
          <w:szCs w:val="28"/>
        </w:rPr>
        <w:t>竞买申请人可于</w:t>
      </w:r>
      <w:r>
        <w:rPr>
          <w:rFonts w:eastAsiaTheme="minorEastAsia"/>
          <w:b/>
          <w:color w:val="000000" w:themeColor="text1"/>
          <w:sz w:val="28"/>
          <w:szCs w:val="28"/>
          <w:u w:val="single"/>
        </w:rPr>
        <w:t>2022年</w:t>
      </w:r>
      <w:r>
        <w:rPr>
          <w:rFonts w:hint="eastAsia" w:eastAsiaTheme="minorEastAsia"/>
          <w:b/>
          <w:color w:val="000000" w:themeColor="text1"/>
          <w:sz w:val="28"/>
          <w:szCs w:val="28"/>
          <w:u w:val="single"/>
          <w:lang w:val="en-US" w:eastAsia="zh-CN"/>
        </w:rPr>
        <w:t>12</w:t>
      </w:r>
      <w:r>
        <w:rPr>
          <w:rFonts w:eastAsiaTheme="minorEastAsia"/>
          <w:b/>
          <w:color w:val="000000" w:themeColor="text1"/>
          <w:sz w:val="28"/>
          <w:szCs w:val="28"/>
          <w:u w:val="single"/>
        </w:rPr>
        <w:t>月</w:t>
      </w:r>
      <w:r>
        <w:rPr>
          <w:rFonts w:hint="eastAsia" w:eastAsiaTheme="minorEastAsia"/>
          <w:b/>
          <w:color w:val="000000" w:themeColor="text1"/>
          <w:sz w:val="28"/>
          <w:szCs w:val="28"/>
          <w:u w:val="single"/>
          <w:lang w:val="en-US" w:eastAsia="zh-CN"/>
        </w:rPr>
        <w:t>10</w:t>
      </w:r>
      <w:r>
        <w:rPr>
          <w:rFonts w:eastAsiaTheme="minorEastAsia"/>
          <w:b/>
          <w:color w:val="000000" w:themeColor="text1"/>
          <w:sz w:val="28"/>
          <w:szCs w:val="28"/>
          <w:u w:val="single"/>
        </w:rPr>
        <w:t>日</w:t>
      </w:r>
      <w:r>
        <w:rPr>
          <w:rFonts w:hint="eastAsia" w:eastAsiaTheme="minorEastAsia"/>
          <w:b/>
          <w:color w:val="000000" w:themeColor="text1"/>
          <w:sz w:val="28"/>
          <w:szCs w:val="28"/>
          <w:u w:val="single"/>
          <w:lang w:val="en-US" w:eastAsia="zh-CN"/>
        </w:rPr>
        <w:t>9</w:t>
      </w:r>
      <w:r>
        <w:rPr>
          <w:rFonts w:eastAsiaTheme="minorEastAsia"/>
          <w:b/>
          <w:color w:val="000000" w:themeColor="text1"/>
          <w:sz w:val="28"/>
          <w:szCs w:val="28"/>
          <w:u w:val="single"/>
        </w:rPr>
        <w:t>:00至2022年</w:t>
      </w:r>
      <w:r>
        <w:rPr>
          <w:rFonts w:hint="eastAsia" w:eastAsiaTheme="minorEastAsia"/>
          <w:b/>
          <w:color w:val="000000" w:themeColor="text1"/>
          <w:sz w:val="28"/>
          <w:szCs w:val="28"/>
          <w:u w:val="single"/>
          <w:lang w:val="en-US" w:eastAsia="zh-CN"/>
        </w:rPr>
        <w:t>12</w:t>
      </w:r>
      <w:r>
        <w:rPr>
          <w:rFonts w:eastAsiaTheme="minorEastAsia"/>
          <w:b/>
          <w:color w:val="000000" w:themeColor="text1"/>
          <w:sz w:val="28"/>
          <w:szCs w:val="28"/>
          <w:u w:val="single"/>
        </w:rPr>
        <w:t>月</w:t>
      </w:r>
      <w:r>
        <w:rPr>
          <w:rFonts w:hint="eastAsia" w:eastAsiaTheme="minorEastAsia"/>
          <w:b/>
          <w:color w:val="000000" w:themeColor="text1"/>
          <w:sz w:val="28"/>
          <w:szCs w:val="28"/>
          <w:u w:val="single"/>
          <w:lang w:val="en-US" w:eastAsia="zh-CN"/>
        </w:rPr>
        <w:t>29</w:t>
      </w:r>
      <w:r>
        <w:rPr>
          <w:rFonts w:eastAsiaTheme="minorEastAsia"/>
          <w:b/>
          <w:color w:val="000000" w:themeColor="text1"/>
          <w:sz w:val="28"/>
          <w:szCs w:val="28"/>
          <w:u w:val="single"/>
        </w:rPr>
        <w:t>日17:00</w:t>
      </w:r>
      <w:r>
        <w:rPr>
          <w:rFonts w:eastAsiaTheme="minorEastAsia"/>
          <w:color w:val="000000" w:themeColor="text1"/>
          <w:sz w:val="28"/>
          <w:szCs w:val="28"/>
        </w:rPr>
        <w:t>，</w:t>
      </w:r>
      <w:r>
        <w:rPr>
          <w:rFonts w:eastAsiaTheme="minorEastAsia"/>
          <w:color w:val="000000" w:themeColor="text1"/>
          <w:kern w:val="2"/>
          <w:sz w:val="28"/>
          <w:szCs w:val="28"/>
        </w:rPr>
        <w:t>通过达州市公共资源交易服务网（</w:t>
      </w:r>
      <w:r>
        <w:fldChar w:fldCharType="begin"/>
      </w:r>
      <w:r>
        <w:instrText xml:space="preserve"> HYPERLINK "http://www.dzggzy.cn/" </w:instrText>
      </w:r>
      <w:r>
        <w:fldChar w:fldCharType="separate"/>
      </w:r>
      <w:r>
        <w:rPr>
          <w:rFonts w:eastAsiaTheme="minorEastAsia"/>
          <w:color w:val="000000" w:themeColor="text1"/>
          <w:kern w:val="2"/>
          <w:sz w:val="28"/>
          <w:szCs w:val="28"/>
        </w:rPr>
        <w:t>http://www.dzggzy.cn</w:t>
      </w:r>
      <w:r>
        <w:rPr>
          <w:rFonts w:eastAsiaTheme="minorEastAsia"/>
          <w:color w:val="000000" w:themeColor="text1"/>
          <w:kern w:val="2"/>
          <w:sz w:val="28"/>
          <w:szCs w:val="28"/>
        </w:rPr>
        <w:fldChar w:fldCharType="end"/>
      </w:r>
      <w:r>
        <w:rPr>
          <w:rFonts w:eastAsiaTheme="minorEastAsia"/>
          <w:color w:val="000000" w:themeColor="text1"/>
          <w:kern w:val="2"/>
          <w:sz w:val="28"/>
          <w:szCs w:val="28"/>
        </w:rPr>
        <w:t>）获取拍卖出让文件。</w:t>
      </w:r>
    </w:p>
    <w:p>
      <w:pPr>
        <w:pStyle w:val="25"/>
        <w:widowControl w:val="0"/>
        <w:spacing w:line="600" w:lineRule="exact"/>
        <w:ind w:left="0" w:firstLine="560" w:firstLineChars="200"/>
        <w:rPr>
          <w:rFonts w:eastAsiaTheme="minorEastAsia"/>
          <w:color w:val="000000" w:themeColor="text1"/>
          <w:kern w:val="2"/>
          <w:sz w:val="28"/>
          <w:szCs w:val="28"/>
        </w:rPr>
      </w:pPr>
      <w:r>
        <w:rPr>
          <w:rFonts w:eastAsiaTheme="minorEastAsia"/>
          <w:color w:val="000000" w:themeColor="text1"/>
          <w:kern w:val="2"/>
          <w:sz w:val="28"/>
          <w:szCs w:val="28"/>
        </w:rPr>
        <w:t>（二）提交申请文件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竞买申请人应于</w:t>
      </w:r>
      <w:r>
        <w:rPr>
          <w:rFonts w:eastAsiaTheme="minorEastAsia"/>
          <w:b/>
          <w:color w:val="000000" w:themeColor="text1"/>
          <w:sz w:val="28"/>
          <w:szCs w:val="28"/>
          <w:u w:val="single"/>
        </w:rPr>
        <w:t>2022年</w:t>
      </w:r>
      <w:r>
        <w:rPr>
          <w:rFonts w:hint="eastAsia" w:eastAsiaTheme="minorEastAsia"/>
          <w:b/>
          <w:color w:val="000000" w:themeColor="text1"/>
          <w:sz w:val="28"/>
          <w:szCs w:val="28"/>
          <w:u w:val="single"/>
          <w:lang w:val="en-US" w:eastAsia="zh-CN"/>
        </w:rPr>
        <w:t>12</w:t>
      </w:r>
      <w:r>
        <w:rPr>
          <w:rFonts w:eastAsiaTheme="minorEastAsia"/>
          <w:b/>
          <w:color w:val="000000" w:themeColor="text1"/>
          <w:sz w:val="28"/>
          <w:szCs w:val="28"/>
          <w:u w:val="single"/>
        </w:rPr>
        <w:t>月</w:t>
      </w:r>
      <w:r>
        <w:rPr>
          <w:rFonts w:hint="eastAsia" w:eastAsiaTheme="minorEastAsia"/>
          <w:b/>
          <w:color w:val="000000" w:themeColor="text1"/>
          <w:sz w:val="28"/>
          <w:szCs w:val="28"/>
          <w:u w:val="single"/>
          <w:lang w:val="en-US" w:eastAsia="zh-CN"/>
        </w:rPr>
        <w:t>10</w:t>
      </w:r>
      <w:r>
        <w:rPr>
          <w:rFonts w:eastAsiaTheme="minorEastAsia"/>
          <w:b/>
          <w:color w:val="000000" w:themeColor="text1"/>
          <w:sz w:val="28"/>
          <w:szCs w:val="28"/>
          <w:u w:val="single"/>
        </w:rPr>
        <w:t>日</w:t>
      </w:r>
      <w:r>
        <w:rPr>
          <w:rFonts w:hint="eastAsia" w:eastAsiaTheme="minorEastAsia"/>
          <w:b/>
          <w:color w:val="000000" w:themeColor="text1"/>
          <w:sz w:val="28"/>
          <w:szCs w:val="28"/>
          <w:u w:val="single"/>
          <w:lang w:val="en-US" w:eastAsia="zh-CN"/>
        </w:rPr>
        <w:t>9</w:t>
      </w:r>
      <w:r>
        <w:rPr>
          <w:rFonts w:eastAsiaTheme="minorEastAsia"/>
          <w:b/>
          <w:color w:val="000000" w:themeColor="text1"/>
          <w:sz w:val="28"/>
          <w:szCs w:val="28"/>
          <w:u w:val="single"/>
        </w:rPr>
        <w:t>:00至2022年</w:t>
      </w:r>
      <w:r>
        <w:rPr>
          <w:rFonts w:hint="eastAsia" w:eastAsiaTheme="minorEastAsia"/>
          <w:b/>
          <w:color w:val="000000" w:themeColor="text1"/>
          <w:sz w:val="28"/>
          <w:szCs w:val="28"/>
          <w:u w:val="single"/>
          <w:lang w:val="en-US" w:eastAsia="zh-CN"/>
        </w:rPr>
        <w:t>12</w:t>
      </w:r>
      <w:r>
        <w:rPr>
          <w:rFonts w:eastAsiaTheme="minorEastAsia"/>
          <w:b/>
          <w:color w:val="000000" w:themeColor="text1"/>
          <w:sz w:val="28"/>
          <w:szCs w:val="28"/>
          <w:u w:val="single"/>
        </w:rPr>
        <w:t>月</w:t>
      </w:r>
      <w:r>
        <w:rPr>
          <w:rFonts w:hint="eastAsia" w:eastAsiaTheme="minorEastAsia"/>
          <w:b/>
          <w:color w:val="000000" w:themeColor="text1"/>
          <w:sz w:val="28"/>
          <w:szCs w:val="28"/>
          <w:u w:val="single"/>
          <w:lang w:val="en-US" w:eastAsia="zh-CN"/>
        </w:rPr>
        <w:t>29</w:t>
      </w:r>
      <w:r>
        <w:rPr>
          <w:rFonts w:eastAsiaTheme="minorEastAsia"/>
          <w:b/>
          <w:color w:val="000000" w:themeColor="text1"/>
          <w:sz w:val="28"/>
          <w:szCs w:val="28"/>
          <w:u w:val="single"/>
        </w:rPr>
        <w:t>日17:00</w:t>
      </w:r>
      <w:r>
        <w:rPr>
          <w:rFonts w:eastAsiaTheme="minorEastAsia"/>
          <w:color w:val="000000" w:themeColor="text1"/>
          <w:sz w:val="28"/>
          <w:szCs w:val="28"/>
        </w:rPr>
        <w:t>，通过达州市公共资源交易服务网（</w:t>
      </w:r>
      <w:r>
        <w:fldChar w:fldCharType="begin"/>
      </w:r>
      <w:r>
        <w:instrText xml:space="preserve"> HYPERLINK "http://www.dzggzy.cn/" </w:instrText>
      </w:r>
      <w:r>
        <w:fldChar w:fldCharType="separate"/>
      </w:r>
      <w:r>
        <w:rPr>
          <w:rFonts w:eastAsiaTheme="minorEastAsia"/>
          <w:color w:val="000000" w:themeColor="text1"/>
          <w:sz w:val="28"/>
          <w:szCs w:val="28"/>
        </w:rPr>
        <w:t>http://www.dzggzy.cn</w:t>
      </w:r>
      <w:r>
        <w:rPr>
          <w:rFonts w:eastAsiaTheme="minorEastAsia"/>
          <w:color w:val="000000" w:themeColor="text1"/>
          <w:sz w:val="28"/>
          <w:szCs w:val="28"/>
        </w:rPr>
        <w:fldChar w:fldCharType="end"/>
      </w:r>
      <w:r>
        <w:rPr>
          <w:rFonts w:eastAsiaTheme="minorEastAsia"/>
          <w:color w:val="000000" w:themeColor="text1"/>
          <w:sz w:val="28"/>
          <w:szCs w:val="28"/>
        </w:rPr>
        <w:t>）系统上传申请文件扫描件并提交申请。申请文件包括：</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1.法人申请的，应提交下列文件：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（1）竞买申请书；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（2）保证金承诺书；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（3）商业金融机构的资信证明；</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（4）法人单位有效证明文件；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（5）法定代表人的有效身份证明文件；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（6）申请人委托他人代为办理的，应提交授权委托书及委托代理人的有效身份证明文件；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（7）开户许可证或基本存款账户信息；</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（8）竞买保证金交纳凭证；</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（9）拍卖文件规定需要提交的其它文件。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2.自然人申请的，应提交下列文件：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（1）竞买申请书；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（2）保证金承诺书；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（3）商业金融机构的资信证明；</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（4）申请人有效身份证明文件；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（5）申请人委托他人代为办理的，应提交授权委托书及委托代理人的身份证明文件；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（6）竞买保证金交纳凭证；</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（7）拍卖文件规定需要提交的其它文件。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3.其他组织申请的，应提交下列文件：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（1）竞买申请书；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（2）保证金承诺书；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（3）商业金融机构的资信证明；</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（4）表明该组织合法存在的文件或有效证明；</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（5）表明该组织负责人身份的有效证明文件；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（6）申请人委托他人办理的，应提交授权委托书及委托代理人的身份证明文件；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（7）开户许可证或基本存款账户信息；</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（8）竞买保证金交纳凭证；</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（9）拍卖文件规定需要提交的其它文件。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4.境外申请人申请的，应提交下列文件：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（1）竞买申请书；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（2）保证金承诺书；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（3）商业金融机构的资信证明；</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（4）境外法人、自然人、其他组织的有效身份证明文件；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（5）申请人委托他人办理的，应提交授权委托书及委托代理人的有效身份证明文件；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（6）开户许可证或基本存款账户信息；</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（7）竞买保证金交纳凭证；</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（8）拍卖文件规定需要提交的其它文件。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上述文件中，申请书必须用中文书写，其他文件可以使用其他语言</w:t>
      </w:r>
      <w:r>
        <w:rPr>
          <w:rFonts w:hint="eastAsia" w:eastAsiaTheme="minorEastAsia"/>
          <w:color w:val="000000" w:themeColor="text1"/>
          <w:sz w:val="28"/>
          <w:szCs w:val="28"/>
          <w:lang w:eastAsia="zh-CN"/>
        </w:rPr>
        <w:t>，</w:t>
      </w:r>
      <w:r>
        <w:rPr>
          <w:rFonts w:eastAsiaTheme="minorEastAsia"/>
          <w:color w:val="000000" w:themeColor="text1"/>
          <w:sz w:val="28"/>
          <w:szCs w:val="28"/>
        </w:rPr>
        <w:t>但必须附中文译本，所有文件的解释以中文译本为准。</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5.联合申请的，应提交下列文件：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（1）联合申请各方共同签署的申请书；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（2）联合申请各方共同签署的保证金承诺书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（3）联合体各方商业金融机构的资信证明；</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（4）联合各方的有效身份证明文件；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（5）联合竞买协议，协议要规定联合各方的出资比例、联合各方的权利和义务，并明确办理相关手续的委托人和签定《成交确认书》、《产业监管协议》和《国有建设用土地使用权出让合同》时的受让人；</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（6）申请人委托他人办理的，应提交授权委托书及委托代理人的有效身份证明文件；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（7）开户许可证或基本存款账户信息；</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（8）竞买保证金交纳凭证；</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（9）拍卖文件规定需要提交的其它文件。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（三）资格审查</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已提交申请的竞买申请人须在</w:t>
      </w:r>
      <w:r>
        <w:rPr>
          <w:rFonts w:eastAsiaTheme="minorEastAsia"/>
          <w:b/>
          <w:color w:val="000000" w:themeColor="text1"/>
          <w:sz w:val="28"/>
          <w:szCs w:val="28"/>
        </w:rPr>
        <w:t>资格审查当日（</w:t>
      </w:r>
      <w:r>
        <w:rPr>
          <w:rFonts w:eastAsiaTheme="minorEastAsia"/>
          <w:b/>
          <w:color w:val="000000" w:themeColor="text1"/>
          <w:sz w:val="28"/>
          <w:szCs w:val="28"/>
          <w:u w:val="single"/>
        </w:rPr>
        <w:t>2022年</w:t>
      </w:r>
      <w:r>
        <w:rPr>
          <w:rFonts w:hint="eastAsia" w:eastAsiaTheme="minorEastAsia"/>
          <w:b/>
          <w:color w:val="000000" w:themeColor="text1"/>
          <w:sz w:val="28"/>
          <w:szCs w:val="28"/>
          <w:u w:val="single"/>
          <w:lang w:val="en-US" w:eastAsia="zh-CN"/>
        </w:rPr>
        <w:t>12</w:t>
      </w:r>
      <w:r>
        <w:rPr>
          <w:rFonts w:eastAsiaTheme="minorEastAsia"/>
          <w:b/>
          <w:color w:val="000000" w:themeColor="text1"/>
          <w:sz w:val="28"/>
          <w:szCs w:val="28"/>
          <w:u w:val="single"/>
        </w:rPr>
        <w:t>月</w:t>
      </w:r>
      <w:r>
        <w:rPr>
          <w:rFonts w:hint="eastAsia" w:eastAsiaTheme="minorEastAsia"/>
          <w:b/>
          <w:color w:val="000000" w:themeColor="text1"/>
          <w:sz w:val="28"/>
          <w:szCs w:val="28"/>
          <w:u w:val="single"/>
          <w:lang w:val="en-US" w:eastAsia="zh-CN"/>
        </w:rPr>
        <w:t>30</w:t>
      </w:r>
      <w:r>
        <w:rPr>
          <w:rFonts w:eastAsiaTheme="minorEastAsia"/>
          <w:b/>
          <w:color w:val="000000" w:themeColor="text1"/>
          <w:sz w:val="28"/>
          <w:szCs w:val="28"/>
          <w:u w:val="single"/>
        </w:rPr>
        <w:t>日） 9:00</w:t>
      </w:r>
      <w:r>
        <w:rPr>
          <w:rFonts w:eastAsiaTheme="minorEastAsia"/>
          <w:color w:val="000000" w:themeColor="text1"/>
          <w:sz w:val="28"/>
          <w:szCs w:val="28"/>
        </w:rPr>
        <w:t>之前将竞买申请文件原件提交至4B-17，未按时提交原件的视为自行放弃竞买资格。</w:t>
      </w:r>
    </w:p>
    <w:p>
      <w:pPr>
        <w:pStyle w:val="25"/>
        <w:widowControl w:val="0"/>
        <w:spacing w:line="600" w:lineRule="exact"/>
        <w:ind w:left="0" w:firstLine="560" w:firstLineChars="200"/>
        <w:rPr>
          <w:rFonts w:eastAsiaTheme="minorEastAsia"/>
          <w:color w:val="000000" w:themeColor="text1"/>
          <w:kern w:val="2"/>
          <w:sz w:val="28"/>
          <w:szCs w:val="28"/>
        </w:rPr>
      </w:pPr>
      <w:r>
        <w:rPr>
          <w:rFonts w:eastAsiaTheme="minorEastAsia"/>
          <w:color w:val="000000" w:themeColor="text1"/>
          <w:kern w:val="2"/>
          <w:sz w:val="28"/>
          <w:szCs w:val="28"/>
        </w:rPr>
        <w:t>达州市公共资源交易服务中心负责组织相关方进行资格审查。按规定时间提交申请和缴纳竞买保证金且通过资格审查的，方能取得竞买资格。经审查，有下列情形之一的，其申请无效：</w:t>
      </w:r>
    </w:p>
    <w:p>
      <w:pPr>
        <w:pStyle w:val="25"/>
        <w:widowControl w:val="0"/>
        <w:spacing w:line="600" w:lineRule="exact"/>
        <w:ind w:left="0" w:firstLine="560" w:firstLineChars="200"/>
        <w:rPr>
          <w:rFonts w:eastAsiaTheme="minorEastAsia"/>
          <w:color w:val="000000" w:themeColor="text1"/>
          <w:kern w:val="2"/>
          <w:sz w:val="28"/>
          <w:szCs w:val="28"/>
        </w:rPr>
      </w:pPr>
      <w:r>
        <w:rPr>
          <w:rFonts w:eastAsiaTheme="minorEastAsia"/>
          <w:color w:val="000000" w:themeColor="text1"/>
          <w:kern w:val="2"/>
          <w:sz w:val="28"/>
          <w:szCs w:val="28"/>
        </w:rPr>
        <w:t>1.申请人不具备竞买资格的；</w:t>
      </w:r>
    </w:p>
    <w:p>
      <w:pPr>
        <w:pStyle w:val="25"/>
        <w:widowControl w:val="0"/>
        <w:spacing w:line="600" w:lineRule="exact"/>
        <w:ind w:left="0"/>
        <w:rPr>
          <w:rFonts w:eastAsiaTheme="minorEastAsia"/>
          <w:color w:val="000000" w:themeColor="text1"/>
          <w:kern w:val="2"/>
          <w:sz w:val="28"/>
          <w:szCs w:val="28"/>
        </w:rPr>
      </w:pPr>
      <w:r>
        <w:rPr>
          <w:rFonts w:eastAsiaTheme="minorEastAsia"/>
          <w:color w:val="000000" w:themeColor="text1"/>
          <w:kern w:val="2"/>
          <w:sz w:val="28"/>
          <w:szCs w:val="28"/>
        </w:rPr>
        <w:t xml:space="preserve">    2.未按规定交纳竞买保证金的；</w:t>
      </w:r>
    </w:p>
    <w:p>
      <w:pPr>
        <w:pStyle w:val="25"/>
        <w:widowControl w:val="0"/>
        <w:spacing w:line="600" w:lineRule="exact"/>
        <w:ind w:left="0" w:firstLine="560" w:firstLineChars="200"/>
        <w:rPr>
          <w:rFonts w:eastAsiaTheme="minorEastAsia"/>
          <w:color w:val="000000" w:themeColor="text1"/>
          <w:kern w:val="2"/>
          <w:sz w:val="28"/>
          <w:szCs w:val="28"/>
        </w:rPr>
      </w:pPr>
      <w:r>
        <w:rPr>
          <w:rFonts w:eastAsiaTheme="minorEastAsia"/>
          <w:color w:val="000000" w:themeColor="text1"/>
          <w:kern w:val="2"/>
          <w:sz w:val="28"/>
          <w:szCs w:val="28"/>
        </w:rPr>
        <w:t>3.申请文件不齐全或不符合法律法规和出让文件规定的；</w:t>
      </w:r>
    </w:p>
    <w:p>
      <w:pPr>
        <w:pStyle w:val="25"/>
        <w:widowControl w:val="0"/>
        <w:spacing w:line="600" w:lineRule="exact"/>
        <w:ind w:left="0" w:firstLine="570"/>
        <w:rPr>
          <w:rFonts w:eastAsiaTheme="minorEastAsia"/>
          <w:color w:val="000000" w:themeColor="text1"/>
          <w:kern w:val="2"/>
          <w:sz w:val="28"/>
          <w:szCs w:val="28"/>
        </w:rPr>
      </w:pPr>
      <w:r>
        <w:rPr>
          <w:rFonts w:eastAsiaTheme="minorEastAsia"/>
          <w:color w:val="000000" w:themeColor="text1"/>
          <w:kern w:val="2"/>
          <w:sz w:val="28"/>
          <w:szCs w:val="28"/>
        </w:rPr>
        <w:t>4.委托他人代理，委托文件不齐全或不符合规定的；</w:t>
      </w:r>
    </w:p>
    <w:p>
      <w:pPr>
        <w:pStyle w:val="25"/>
        <w:widowControl w:val="0"/>
        <w:spacing w:line="600" w:lineRule="exact"/>
        <w:ind w:left="0" w:firstLine="585"/>
        <w:rPr>
          <w:rFonts w:eastAsiaTheme="minorEastAsia"/>
          <w:color w:val="000000" w:themeColor="text1"/>
          <w:kern w:val="2"/>
          <w:sz w:val="28"/>
          <w:szCs w:val="28"/>
        </w:rPr>
      </w:pPr>
      <w:r>
        <w:rPr>
          <w:rFonts w:eastAsiaTheme="minorEastAsia"/>
          <w:color w:val="000000" w:themeColor="text1"/>
          <w:kern w:val="2"/>
          <w:sz w:val="28"/>
          <w:szCs w:val="28"/>
        </w:rPr>
        <w:t>5.法律法规规定的其他情形。</w:t>
      </w:r>
    </w:p>
    <w:p>
      <w:pPr>
        <w:pStyle w:val="25"/>
        <w:widowControl w:val="0"/>
        <w:spacing w:line="600" w:lineRule="exact"/>
        <w:ind w:left="0" w:firstLine="560" w:firstLineChars="200"/>
        <w:rPr>
          <w:rFonts w:eastAsiaTheme="minorEastAsia"/>
          <w:color w:val="000000" w:themeColor="text1"/>
          <w:kern w:val="2"/>
          <w:sz w:val="28"/>
          <w:szCs w:val="28"/>
        </w:rPr>
      </w:pPr>
      <w:r>
        <w:rPr>
          <w:rFonts w:eastAsiaTheme="minorEastAsia"/>
          <w:color w:val="000000" w:themeColor="text1"/>
          <w:kern w:val="2"/>
          <w:sz w:val="28"/>
          <w:szCs w:val="28"/>
        </w:rPr>
        <w:t>（四）确认竞买人资格</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取得竞买资格的竞买申请人，请在</w:t>
      </w:r>
      <w:r>
        <w:rPr>
          <w:rFonts w:eastAsiaTheme="minorEastAsia"/>
          <w:b/>
          <w:sz w:val="28"/>
          <w:szCs w:val="28"/>
          <w:u w:val="single"/>
        </w:rPr>
        <w:t>2022年</w:t>
      </w:r>
      <w:r>
        <w:rPr>
          <w:rFonts w:hint="eastAsia" w:eastAsiaTheme="minorEastAsia"/>
          <w:b/>
          <w:sz w:val="28"/>
          <w:szCs w:val="28"/>
          <w:u w:val="single"/>
          <w:lang w:val="en-US" w:eastAsia="zh-CN"/>
        </w:rPr>
        <w:t>12</w:t>
      </w:r>
      <w:r>
        <w:rPr>
          <w:rFonts w:eastAsiaTheme="minorEastAsia"/>
          <w:b/>
          <w:sz w:val="28"/>
          <w:szCs w:val="28"/>
          <w:u w:val="single"/>
        </w:rPr>
        <w:t>月</w:t>
      </w:r>
      <w:r>
        <w:rPr>
          <w:rFonts w:hint="eastAsia" w:eastAsiaTheme="minorEastAsia"/>
          <w:b/>
          <w:sz w:val="28"/>
          <w:szCs w:val="28"/>
          <w:u w:val="single"/>
          <w:lang w:val="en-US" w:eastAsia="zh-CN"/>
        </w:rPr>
        <w:t>30</w:t>
      </w:r>
      <w:r>
        <w:rPr>
          <w:rFonts w:eastAsiaTheme="minorEastAsia"/>
          <w:b/>
          <w:sz w:val="28"/>
          <w:szCs w:val="28"/>
          <w:u w:val="single"/>
        </w:rPr>
        <w:t>日1</w:t>
      </w:r>
      <w:r>
        <w:rPr>
          <w:rFonts w:hint="eastAsia" w:eastAsiaTheme="minorEastAsia"/>
          <w:b/>
          <w:sz w:val="28"/>
          <w:szCs w:val="28"/>
          <w:u w:val="single"/>
          <w:lang w:val="en-US" w:eastAsia="zh-CN"/>
        </w:rPr>
        <w:t>0</w:t>
      </w:r>
      <w:r>
        <w:rPr>
          <w:rFonts w:eastAsiaTheme="minorEastAsia"/>
          <w:b/>
          <w:sz w:val="28"/>
          <w:szCs w:val="28"/>
          <w:u w:val="single"/>
        </w:rPr>
        <w:t>：00前</w:t>
      </w:r>
      <w:r>
        <w:rPr>
          <w:rFonts w:eastAsiaTheme="minorEastAsia"/>
          <w:color w:val="000000" w:themeColor="text1"/>
          <w:sz w:val="28"/>
          <w:szCs w:val="28"/>
        </w:rPr>
        <w:t>自行登录达州市公共资源交易服务平台打印竞买资格确认书并带到拍卖现场（打印时间可能因资格审查而延迟）。</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（五）答疑及现场踏勘</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竞买申请人取得拍卖出让文件后，应全面仔细阅读其内容并现场踏勘所需竞买的宗地。</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竞买申请人对拍卖出让文件有疑问的，须在提交竞买申请书之前以书面方式向达州市公共资源交易服务</w:t>
      </w:r>
      <w:r>
        <w:rPr>
          <w:rFonts w:hint="eastAsia" w:eastAsiaTheme="minorEastAsia"/>
          <w:color w:val="000000" w:themeColor="text1"/>
          <w:sz w:val="28"/>
          <w:szCs w:val="28"/>
          <w:lang w:val="en-US" w:eastAsia="zh-CN"/>
        </w:rPr>
        <w:t>中心</w:t>
      </w:r>
      <w:r>
        <w:rPr>
          <w:rFonts w:eastAsiaTheme="minorEastAsia"/>
          <w:color w:val="000000" w:themeColor="text1"/>
          <w:sz w:val="28"/>
          <w:szCs w:val="28"/>
        </w:rPr>
        <w:t>咨询，提交竞买申请书后不予受理。申请人对拟竞买的宗地进行现场踏勘可自行前往；也可在提交竞买申请书之前以书面方式向出让人申请组织现场踏勘，提交竞买申请书后不予受理。</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六、本次出让宗地拍卖会时间、地点及拍卖的起叫价、增价幅度</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本次拍卖会地点为：达州市公共资源交易</w:t>
      </w:r>
      <w:r>
        <w:rPr>
          <w:rFonts w:hint="eastAsia" w:eastAsiaTheme="minorEastAsia"/>
          <w:color w:val="000000" w:themeColor="text1"/>
          <w:sz w:val="28"/>
          <w:szCs w:val="28"/>
          <w:lang w:val="en-US" w:eastAsia="zh-CN"/>
        </w:rPr>
        <w:t>服务</w:t>
      </w:r>
      <w:r>
        <w:rPr>
          <w:rFonts w:eastAsiaTheme="minorEastAsia"/>
          <w:color w:val="000000" w:themeColor="text1"/>
          <w:sz w:val="28"/>
          <w:szCs w:val="28"/>
        </w:rPr>
        <w:t>中心开标二厅举行。</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本次拍卖会时间为</w:t>
      </w:r>
      <w:r>
        <w:rPr>
          <w:rFonts w:eastAsiaTheme="minorEastAsia"/>
          <w:sz w:val="28"/>
          <w:szCs w:val="28"/>
        </w:rPr>
        <w:t>：</w:t>
      </w:r>
      <w:r>
        <w:rPr>
          <w:rFonts w:eastAsiaTheme="minorEastAsia"/>
          <w:b/>
          <w:sz w:val="28"/>
          <w:szCs w:val="28"/>
          <w:u w:val="single"/>
        </w:rPr>
        <w:t>2022年</w:t>
      </w:r>
      <w:r>
        <w:rPr>
          <w:rFonts w:hint="eastAsia" w:eastAsiaTheme="minorEastAsia"/>
          <w:b/>
          <w:sz w:val="28"/>
          <w:szCs w:val="28"/>
          <w:u w:val="single"/>
          <w:lang w:val="en-US" w:eastAsia="zh-CN"/>
        </w:rPr>
        <w:t>12</w:t>
      </w:r>
      <w:r>
        <w:rPr>
          <w:rFonts w:eastAsiaTheme="minorEastAsia"/>
          <w:b/>
          <w:sz w:val="28"/>
          <w:szCs w:val="28"/>
          <w:u w:val="single"/>
        </w:rPr>
        <w:t>月</w:t>
      </w:r>
      <w:r>
        <w:rPr>
          <w:rFonts w:hint="eastAsia" w:eastAsiaTheme="minorEastAsia"/>
          <w:b/>
          <w:sz w:val="28"/>
          <w:szCs w:val="28"/>
          <w:u w:val="single"/>
          <w:lang w:val="en-US" w:eastAsia="zh-CN"/>
        </w:rPr>
        <w:t>30</w:t>
      </w:r>
      <w:r>
        <w:rPr>
          <w:rFonts w:eastAsiaTheme="minorEastAsia"/>
          <w:b/>
          <w:sz w:val="28"/>
          <w:szCs w:val="28"/>
          <w:u w:val="single"/>
        </w:rPr>
        <w:t>日上午</w:t>
      </w:r>
      <w:r>
        <w:rPr>
          <w:rFonts w:hint="eastAsia" w:eastAsiaTheme="minorEastAsia"/>
          <w:b/>
          <w:sz w:val="28"/>
          <w:szCs w:val="28"/>
          <w:u w:val="single"/>
          <w:lang w:val="en-US" w:eastAsia="zh-CN"/>
        </w:rPr>
        <w:t>10</w:t>
      </w:r>
      <w:r>
        <w:rPr>
          <w:rFonts w:eastAsiaTheme="minorEastAsia"/>
          <w:b/>
          <w:sz w:val="28"/>
          <w:szCs w:val="28"/>
          <w:u w:val="single"/>
        </w:rPr>
        <w:t>：00</w:t>
      </w:r>
      <w:r>
        <w:rPr>
          <w:rFonts w:eastAsiaTheme="minorEastAsia"/>
          <w:sz w:val="28"/>
          <w:szCs w:val="28"/>
        </w:rPr>
        <w:t>（</w:t>
      </w:r>
      <w:r>
        <w:rPr>
          <w:rFonts w:eastAsiaTheme="minorEastAsia"/>
          <w:color w:val="000000" w:themeColor="text1"/>
          <w:sz w:val="28"/>
          <w:szCs w:val="28"/>
        </w:rPr>
        <w:t>拍卖会时间可能因资格审查而延迟）。</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本次拍卖起叫价</w:t>
      </w:r>
      <w:r>
        <w:rPr>
          <w:rFonts w:hint="eastAsia" w:eastAsiaTheme="minorEastAsia"/>
          <w:color w:val="000000" w:themeColor="text1"/>
          <w:sz w:val="28"/>
          <w:szCs w:val="28"/>
          <w:lang w:val="en-US" w:eastAsia="zh-CN"/>
        </w:rPr>
        <w:t>411</w:t>
      </w:r>
      <w:r>
        <w:rPr>
          <w:rFonts w:eastAsiaTheme="minorEastAsia"/>
          <w:color w:val="000000" w:themeColor="text1"/>
          <w:sz w:val="28"/>
          <w:szCs w:val="28"/>
        </w:rPr>
        <w:t>万元/亩</w:t>
      </w:r>
      <w:r>
        <w:rPr>
          <w:rFonts w:hint="eastAsia" w:eastAsiaTheme="minorEastAsia"/>
          <w:color w:val="000000" w:themeColor="text1"/>
          <w:sz w:val="28"/>
          <w:szCs w:val="28"/>
          <w:lang w:eastAsia="zh-CN"/>
        </w:rPr>
        <w:t>，</w:t>
      </w:r>
      <w:r>
        <w:rPr>
          <w:rFonts w:eastAsiaTheme="minorEastAsia"/>
          <w:color w:val="000000" w:themeColor="text1"/>
          <w:sz w:val="28"/>
          <w:szCs w:val="28"/>
        </w:rPr>
        <w:t>增价幅度为</w:t>
      </w:r>
      <w:r>
        <w:rPr>
          <w:rFonts w:hint="eastAsia" w:eastAsiaTheme="minorEastAsia"/>
          <w:color w:val="000000" w:themeColor="text1"/>
          <w:sz w:val="28"/>
          <w:szCs w:val="28"/>
          <w:lang w:val="en-US" w:eastAsia="zh-CN"/>
        </w:rPr>
        <w:t>5</w:t>
      </w:r>
      <w:r>
        <w:rPr>
          <w:rFonts w:eastAsiaTheme="minorEastAsia"/>
          <w:color w:val="000000" w:themeColor="text1"/>
          <w:sz w:val="28"/>
          <w:szCs w:val="28"/>
        </w:rPr>
        <w:t>万元/亩或</w:t>
      </w:r>
      <w:r>
        <w:rPr>
          <w:rFonts w:hint="eastAsia" w:eastAsiaTheme="minorEastAsia"/>
          <w:color w:val="000000" w:themeColor="text1"/>
          <w:sz w:val="28"/>
          <w:szCs w:val="28"/>
          <w:lang w:val="en-US" w:eastAsia="zh-CN"/>
        </w:rPr>
        <w:t>5</w:t>
      </w:r>
      <w:r>
        <w:rPr>
          <w:rFonts w:eastAsiaTheme="minorEastAsia"/>
          <w:color w:val="000000" w:themeColor="text1"/>
          <w:sz w:val="28"/>
          <w:szCs w:val="28"/>
        </w:rPr>
        <w:t>万元/亩的整倍数。成交总地价=拍卖成交最高亩价×出让面积</w:t>
      </w:r>
      <w:r>
        <w:rPr>
          <w:rFonts w:hint="eastAsia" w:eastAsiaTheme="minorEastAsia"/>
          <w:color w:val="000000" w:themeColor="text1"/>
          <w:sz w:val="28"/>
          <w:szCs w:val="28"/>
          <w:lang w:val="en-US" w:eastAsia="zh-CN"/>
        </w:rPr>
        <w:t>24.25</w:t>
      </w:r>
      <w:r>
        <w:rPr>
          <w:rFonts w:eastAsiaTheme="minorEastAsia"/>
          <w:color w:val="000000" w:themeColor="text1"/>
          <w:sz w:val="28"/>
          <w:szCs w:val="28"/>
        </w:rPr>
        <w:t>亩。</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七、拍卖程序</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（一）拍卖会程序</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1.拍卖主持人亮证并宣布拍卖会开始；</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2.拍卖主持人邀请公证员及记录员就位，并介绍相关人员；</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3.拍卖主持人清点竞买人到场情况并按次序入座；</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4.公证员核实竞买人身份和举牌人身份；</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5.设有底价的，公证员检查并展示底价密封情况后，交予拍卖主持人；</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6.拍卖主持人介绍拍卖地块的位置、面积、用途、使用年限、规划指标要求、建设时间等；</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7.拍卖主持人宣布拍卖会相关要求：①拍卖宗地的起叫价、增价规则和增价幅度，并明确提示是否设有底价；②在拍卖过程中，拍卖主持人可根据政府批复、现场情况调整增价幅度；③竞价时由受托人举牌报价，拍卖过程中不得变更举牌人；</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8.拍卖主持人逐一询问竞买人是否听清、是否明白；</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9.拍卖主持人报出起叫价，宣布竞价开始；</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10.竞买人举牌应价或者报价；</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11.拍卖主持人确认该竞买人应价或者报价后继续竞价；</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12.拍卖主持人连续三次宣布同一应价或报价而没有人再应价或报价，拍卖主持人宣布竞价结束（每次的时间间隔不得短于规定时间）；</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13.拍卖主持人当众打开政府底价，最后报价的价格不低于政府底价的，拍卖主持人落槌表示拍卖成交，并宣布最高报价者为竞得人，成交结果对竞得人和出让人均具有法律效力。最高应价或报价低于政府底价的，拍卖主持人宣布本次拍卖会终止；</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14.公证员现场致公证词；</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15.拍卖主持人主持达州市公共资源交易服务</w:t>
      </w:r>
      <w:r>
        <w:rPr>
          <w:rFonts w:hint="eastAsia" w:eastAsiaTheme="minorEastAsia"/>
          <w:color w:val="000000" w:themeColor="text1"/>
          <w:sz w:val="28"/>
          <w:szCs w:val="28"/>
          <w:lang w:val="en-US" w:eastAsia="zh-CN"/>
        </w:rPr>
        <w:t>中心</w:t>
      </w:r>
      <w:r>
        <w:rPr>
          <w:rFonts w:eastAsiaTheme="minorEastAsia"/>
          <w:color w:val="000000" w:themeColor="text1"/>
          <w:sz w:val="28"/>
          <w:szCs w:val="28"/>
        </w:rPr>
        <w:t>与竞得人在现场签订《成交确认书》。</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（二）竞得人不按规定现场签订《成交确认书》的，须承担缔约过失的法律责任，保证金转作违约金不予退还。竞得人拒绝签订《成交确认书》不能对抗拍卖成交结果的法律效力。</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（三）出让人与竞得人依据《成交确认书》的约定签订《国有建设用地使用权出让合同》。</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（四）出让结果公布：</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达州市公共资源交易服务中心将在此次国有建设用地使用权拍卖会结束后10个工作日内，在中国土地市场网（http://www.landchina.com）、达州市</w:t>
      </w:r>
      <w:r>
        <w:rPr>
          <w:rFonts w:hint="eastAsia" w:eastAsiaTheme="minorEastAsia"/>
          <w:color w:val="000000" w:themeColor="text1"/>
          <w:sz w:val="28"/>
          <w:szCs w:val="28"/>
          <w:lang w:val="en-US" w:eastAsia="zh-CN"/>
        </w:rPr>
        <w:t>通川区人民政府</w:t>
      </w:r>
      <w:r>
        <w:rPr>
          <w:rFonts w:eastAsiaTheme="minorEastAsia"/>
          <w:color w:val="000000" w:themeColor="text1"/>
          <w:sz w:val="28"/>
          <w:szCs w:val="28"/>
        </w:rPr>
        <w:t>（</w:t>
      </w:r>
      <w:r>
        <w:rPr>
          <w:rFonts w:hint="eastAsia" w:eastAsiaTheme="minorEastAsia"/>
          <w:color w:val="000000" w:themeColor="text1"/>
          <w:sz w:val="28"/>
          <w:szCs w:val="28"/>
        </w:rPr>
        <w:t>http://www.tchuan.gov.cn/</w:t>
      </w:r>
      <w:r>
        <w:rPr>
          <w:rFonts w:eastAsiaTheme="minorEastAsia"/>
          <w:color w:val="000000" w:themeColor="text1"/>
          <w:sz w:val="28"/>
          <w:szCs w:val="28"/>
        </w:rPr>
        <w:t>）、达州市公共资源交易服务网（http://www.dzggzy.cn）公布此次国有建设用地使用权拍卖出让结果。</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八、竞价规则</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（一）本次拍卖采用增价拍卖方式，按价高者得的原则确定竞得人（高于或等于政府底价的基础上）。</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（二）凡参加拍卖的竞买人竞买申请一经受理确认后，即视为承认起叫价。</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（三）竞买人以举牌方式应价，也可以报价，但报价的加价幅度不得小于拍卖主持人宣布或调整的增价幅度。竞买人一经应价或报价，不可撤回。</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（四）若设有政府底价，最后应价未达到底价时，拍卖主持人终止本次拍卖活动，拍卖不成交。</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九、注意事项</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（一）特别提醒：资格审查当日，资格审查结束后即进行拍卖活动，通过资格审查的竞买申请人须做好相关准备。</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（二）竞买申请一经提交受理确认后，即视为竞买人对出让文件内容及宗地现状无异议并全面接受，愿意在遵照出让文件内容及认可宗地现状的基础上参与竞买并承担因竞买行为产生的任何法律经济后果。</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三）竞买申请人竞得土地后，拟成立新公司进行开发建设的，只能成立一家新公司并在申请书中明确新公司的出资构成和成立时间等内容，且竞得人在新公司的出资比例必须在51%（含）以上。出让人可以根据拍卖结果与竞得人签订《国有建设用地使用权出让合同》，在竞得人按约定办理完成新公司注册登记手续后，再与新公司签订《国有建设用地使用权出让合同变更协议》；也可直接与新公司签订《国有建设用地使用权出让合同》。</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（四）确定竞得人后，竞得人须在拍卖现场与达州市公共资源交易服务</w:t>
      </w:r>
      <w:r>
        <w:rPr>
          <w:rFonts w:hint="eastAsia" w:eastAsiaTheme="minorEastAsia"/>
          <w:color w:val="000000" w:themeColor="text1"/>
          <w:sz w:val="28"/>
          <w:szCs w:val="28"/>
          <w:lang w:val="en-US" w:eastAsia="zh-CN"/>
        </w:rPr>
        <w:t>中心</w:t>
      </w:r>
      <w:r>
        <w:rPr>
          <w:rFonts w:eastAsiaTheme="minorEastAsia"/>
          <w:color w:val="000000" w:themeColor="text1"/>
          <w:sz w:val="28"/>
          <w:szCs w:val="28"/>
        </w:rPr>
        <w:t>签订《成交确认书》。竞得人委托他人代签的，须在竞买申请时提交法定代表人亲笔签名并盖章的授权委托书。《成交确认书》对出让人和竞得人具有同等法律效力，出让人改变拍卖结果的，或者竞得人放弃竞得地块的，应当依法承担责任。</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（五）竞得人交纳的竞买保证金，在拍卖结束签订《成交确认书》后，自动转作受让地块的定金。未竞得人交纳的竞买保证金，将在拍卖活动结束后 5 个工作日内予以退还，且不计利息。</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（六）有下列情形之一的，达州市公共资源交易服务</w:t>
      </w:r>
      <w:r>
        <w:rPr>
          <w:rFonts w:hint="eastAsia" w:eastAsiaTheme="minorEastAsia"/>
          <w:color w:val="000000" w:themeColor="text1"/>
          <w:sz w:val="28"/>
          <w:szCs w:val="28"/>
          <w:lang w:val="en-US" w:eastAsia="zh-CN"/>
        </w:rPr>
        <w:t>中心</w:t>
      </w:r>
      <w:r>
        <w:rPr>
          <w:rFonts w:eastAsiaTheme="minorEastAsia"/>
          <w:color w:val="000000" w:themeColor="text1"/>
          <w:sz w:val="28"/>
          <w:szCs w:val="28"/>
        </w:rPr>
        <w:t>应当在拍卖会前终止拍卖活动，并通知竞买人：</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1.竞买人串通损害国家利益、社会利益或他人合法权益的；</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2.拍卖工作人员私下接触竞买人，足以影响拍卖公正性的；</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3.应当依法终止拍卖活动的其他情形。</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（七）竞得人有下列行为之一的，视为违约，出让人可取消其竞得人资格，竞买保证金、定金不予退还：</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1.竞得人逾期或拒绝在现场签订《成交确认书》的；</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2.竞得人逾期或拒绝签订《国有建设用地使用权出让合同》的；</w:t>
      </w:r>
    </w:p>
    <w:p>
      <w:pPr>
        <w:snapToGrid w:val="0"/>
        <w:spacing w:line="600" w:lineRule="exact"/>
        <w:ind w:firstLine="555"/>
        <w:rPr>
          <w:rFonts w:hint="eastAsia" w:eastAsiaTheme="minorEastAsia"/>
          <w:color w:val="000000" w:themeColor="text1"/>
          <w:sz w:val="28"/>
          <w:szCs w:val="28"/>
          <w:lang w:eastAsia="zh-CN"/>
        </w:rPr>
      </w:pPr>
      <w:r>
        <w:rPr>
          <w:rFonts w:eastAsiaTheme="minorEastAsia"/>
          <w:color w:val="000000" w:themeColor="text1"/>
          <w:sz w:val="28"/>
          <w:szCs w:val="28"/>
        </w:rPr>
        <w:t>3.竞得人逾期支付交易服务费的</w:t>
      </w:r>
      <w:r>
        <w:rPr>
          <w:rFonts w:hint="eastAsia" w:eastAsiaTheme="minorEastAsia"/>
          <w:color w:val="000000" w:themeColor="text1"/>
          <w:sz w:val="28"/>
          <w:szCs w:val="28"/>
          <w:lang w:eastAsia="zh-CN"/>
        </w:rPr>
        <w:t>。</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八）拍卖成交价即为该幅地块的总地价款，不含交易服务费以及按照法律法规规定应支付的相关税费。竞得人签订《成交确认书》之日起8个工作日内须按相关标准向达州市公共资源交易服务中心支付交易服务费。也可由竞得人与按出让文件约定成立的新公司协商支付。</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（九）出让合同签订时间及价款支付：土地拍卖出让成交后须当场签订《成交确认书》，自成交之日起10个工作日内须签订《国有建设用地使用权出让合同》，在出让合同签订之日起1个月内</w:t>
      </w:r>
      <w:r>
        <w:rPr>
          <w:rFonts w:hint="eastAsia" w:eastAsiaTheme="minorEastAsia"/>
          <w:color w:val="000000" w:themeColor="text1"/>
          <w:sz w:val="28"/>
          <w:szCs w:val="28"/>
          <w:lang w:val="en-US" w:eastAsia="zh-CN"/>
        </w:rPr>
        <w:t>登录四川省电子税务局，</w:t>
      </w:r>
      <w:r>
        <w:rPr>
          <w:rFonts w:eastAsiaTheme="minorEastAsia"/>
          <w:color w:val="000000" w:themeColor="text1"/>
          <w:sz w:val="28"/>
          <w:szCs w:val="28"/>
        </w:rPr>
        <w:t>缴纳成交价总额50%的首付款，余款在出让合同签订之日起12个月内缴清（不计息）。</w:t>
      </w:r>
    </w:p>
    <w:p>
      <w:pPr>
        <w:spacing w:line="600" w:lineRule="exact"/>
        <w:ind w:firstLine="560" w:firstLineChars="200"/>
        <w:rPr>
          <w:rFonts w:eastAsiaTheme="minorEastAsia"/>
          <w:color w:val="000000" w:themeColor="text1"/>
          <w:sz w:val="28"/>
          <w:szCs w:val="28"/>
        </w:rPr>
      </w:pPr>
      <w:r>
        <w:rPr>
          <w:rFonts w:hint="eastAsia" w:eastAsiaTheme="minorEastAsia"/>
          <w:color w:val="000000" w:themeColor="text1"/>
          <w:sz w:val="28"/>
          <w:szCs w:val="28"/>
          <w:lang w:eastAsia="zh-CN"/>
        </w:rPr>
        <w:t>（</w:t>
      </w:r>
      <w:r>
        <w:rPr>
          <w:rFonts w:hint="eastAsia" w:eastAsiaTheme="minorEastAsia"/>
          <w:color w:val="000000" w:themeColor="text1"/>
          <w:sz w:val="28"/>
          <w:szCs w:val="28"/>
          <w:lang w:val="en-US" w:eastAsia="zh-CN"/>
        </w:rPr>
        <w:t>十</w:t>
      </w:r>
      <w:r>
        <w:rPr>
          <w:rFonts w:hint="eastAsia" w:eastAsiaTheme="minorEastAsia"/>
          <w:color w:val="000000" w:themeColor="text1"/>
          <w:sz w:val="28"/>
          <w:szCs w:val="28"/>
          <w:lang w:eastAsia="zh-CN"/>
        </w:rPr>
        <w:t>）</w:t>
      </w:r>
      <w:r>
        <w:rPr>
          <w:rFonts w:eastAsiaTheme="minorEastAsia"/>
          <w:color w:val="000000" w:themeColor="text1"/>
          <w:sz w:val="28"/>
          <w:szCs w:val="28"/>
        </w:rPr>
        <w:t>土地交付条件及时间：在土地出让价款（含滞纳金）缴清之日起5个工作日内，按现状土地使用条件交付土地。宗地范围内的地下资源、埋藏物不属于国有建设用地使用权出让范围。</w:t>
      </w:r>
    </w:p>
    <w:p>
      <w:pPr>
        <w:spacing w:line="600" w:lineRule="exact"/>
        <w:ind w:firstLine="560" w:firstLineChars="200"/>
        <w:rPr>
          <w:rFonts w:eastAsiaTheme="minorEastAsia"/>
          <w:color w:val="FF0000"/>
          <w:sz w:val="28"/>
          <w:szCs w:val="28"/>
        </w:rPr>
      </w:pPr>
      <w:r>
        <w:rPr>
          <w:rFonts w:eastAsiaTheme="minorEastAsia"/>
          <w:color w:val="000000" w:themeColor="text1"/>
          <w:sz w:val="28"/>
          <w:szCs w:val="28"/>
        </w:rPr>
        <w:t>符合或达到交地条件的，竞得人应及时接收土地，未接地的，交地时间以出让人发出的交地通知时间为准，因竞得人原因导致交地延迟产生的相关经济和法律责任一律由竞得人承担。</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（十一）对出让地块如涉及电力、通讯、光缆、输气管道等设施的，竞得人应按其管理部门避让等规定和要求办理。</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（十二）拍卖不成交的或成交不签订《成交确认书》的，由</w:t>
      </w:r>
      <w:r>
        <w:rPr>
          <w:rFonts w:eastAsiaTheme="minorEastAsia"/>
          <w:color w:val="000000" w:themeColor="text1"/>
          <w:sz w:val="28"/>
          <w:szCs w:val="28"/>
          <w:u w:val="single"/>
        </w:rPr>
        <w:t>达州市公共资源交易服务中心</w:t>
      </w:r>
      <w:r>
        <w:rPr>
          <w:rFonts w:eastAsiaTheme="minorEastAsia"/>
          <w:color w:val="000000" w:themeColor="text1"/>
          <w:sz w:val="28"/>
          <w:szCs w:val="28"/>
        </w:rPr>
        <w:t>在2个工作日内书面函告出让人。</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（十三）参加拍卖活动的人员，应遵守现场的纪律，服从管理人员的管理。</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（十四）其他未尽事宜依照《招标拍卖挂牌出让国有土地使用权规范》办理。</w:t>
      </w:r>
    </w:p>
    <w:p>
      <w:pPr>
        <w:spacing w:line="600" w:lineRule="exact"/>
        <w:ind w:firstLine="560" w:firstLineChars="200"/>
        <w:rPr>
          <w:rFonts w:eastAsia="仿宋_GB2312"/>
          <w:color w:val="000000" w:themeColor="text1"/>
          <w:sz w:val="32"/>
          <w:szCs w:val="32"/>
        </w:rPr>
      </w:pPr>
      <w:r>
        <w:rPr>
          <w:rFonts w:eastAsiaTheme="minorEastAsia"/>
          <w:color w:val="000000" w:themeColor="text1"/>
          <w:sz w:val="28"/>
          <w:szCs w:val="28"/>
        </w:rPr>
        <w:t>（十五）</w:t>
      </w:r>
      <w:r>
        <w:rPr>
          <w:rFonts w:hint="eastAsia" w:eastAsiaTheme="minorEastAsia"/>
          <w:color w:val="000000" w:themeColor="text1"/>
          <w:sz w:val="28"/>
          <w:szCs w:val="28"/>
        </w:rPr>
        <w:t>达州市通川区自然资源局</w:t>
      </w:r>
      <w:r>
        <w:rPr>
          <w:rFonts w:eastAsiaTheme="minorEastAsia"/>
          <w:color w:val="000000" w:themeColor="text1"/>
          <w:sz w:val="28"/>
          <w:szCs w:val="28"/>
        </w:rPr>
        <w:t>、达州市公共资源交易服务中心对本《须知》有解释权。</w:t>
      </w:r>
    </w:p>
    <w:p>
      <w:pPr>
        <w:spacing w:line="600" w:lineRule="exact"/>
        <w:ind w:firstLine="640" w:firstLineChars="200"/>
        <w:rPr>
          <w:rFonts w:eastAsia="仿宋_GB2312"/>
          <w:color w:val="000000" w:themeColor="text1"/>
          <w:sz w:val="32"/>
          <w:szCs w:val="32"/>
        </w:rPr>
        <w:sectPr>
          <w:headerReference r:id="rId14" w:type="first"/>
          <w:footerReference r:id="rId17" w:type="first"/>
          <w:headerReference r:id="rId12" w:type="default"/>
          <w:footerReference r:id="rId15" w:type="default"/>
          <w:headerReference r:id="rId13" w:type="even"/>
          <w:footerReference r:id="rId16" w:type="even"/>
          <w:pgSz w:w="11906" w:h="16838"/>
          <w:pgMar w:top="1701" w:right="1474" w:bottom="1701" w:left="1588" w:header="851" w:footer="992" w:gutter="0"/>
          <w:pgNumType w:fmt="numberInDash"/>
          <w:cols w:space="425" w:num="1"/>
          <w:docGrid w:type="lines" w:linePitch="312" w:charSpace="0"/>
        </w:sectPr>
      </w:pPr>
    </w:p>
    <w:p>
      <w:pPr>
        <w:pStyle w:val="12"/>
        <w:rPr>
          <w:rFonts w:hint="eastAsia" w:eastAsia="宋体"/>
          <w:kern w:val="0"/>
          <w:sz w:val="24"/>
          <w:lang w:eastAsia="zh-CN"/>
        </w:rPr>
      </w:pPr>
      <w:bookmarkStart w:id="5" w:name="_Toc3391972"/>
      <w:bookmarkStart w:id="6" w:name="_Toc3391743"/>
      <w:r>
        <w:rPr>
          <w:rFonts w:ascii="Times New Roman" w:hAnsi="Times New Roman" w:eastAsia="黑体"/>
          <w:color w:val="000000" w:themeColor="text1"/>
          <w:sz w:val="44"/>
          <w:szCs w:val="44"/>
        </w:rPr>
        <w:t>地块规划条件相关资</w:t>
      </w:r>
      <w:bookmarkEnd w:id="5"/>
      <w:bookmarkEnd w:id="6"/>
      <w:r>
        <w:rPr>
          <w:rFonts w:ascii="Times New Roman" w:hAnsi="Times New Roman" w:eastAsia="黑体"/>
          <w:color w:val="000000" w:themeColor="text1"/>
          <w:sz w:val="44"/>
          <w:szCs w:val="44"/>
        </w:rPr>
        <w:t>料</w:t>
      </w:r>
      <w:r>
        <w:rPr>
          <w:rFonts w:hint="eastAsia" w:eastAsia="宋体"/>
          <w:kern w:val="0"/>
          <w:sz w:val="24"/>
          <w:lang w:eastAsia="zh-CN"/>
        </w:rPr>
        <w:drawing>
          <wp:inline distT="0" distB="0" distL="114300" distR="114300">
            <wp:extent cx="5271135" cy="7472680"/>
            <wp:effectExtent l="0" t="0" r="5715" b="13970"/>
            <wp:docPr id="5" name="图片 5" descr="达州市达钢（老区）片区C05-03地块规划条件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达州市达钢（老区）片区C05-03地块规划条件_页面_1"/>
                    <pic:cNvPicPr>
                      <a:picLocks noChangeAspect="1"/>
                    </pic:cNvPicPr>
                  </pic:nvPicPr>
                  <pic:blipFill>
                    <a:blip r:embed="rId25"/>
                    <a:stretch>
                      <a:fillRect/>
                    </a:stretch>
                  </pic:blipFill>
                  <pic:spPr>
                    <a:xfrm>
                      <a:off x="0" y="0"/>
                      <a:ext cx="5271135" cy="7472680"/>
                    </a:xfrm>
                    <a:prstGeom prst="rect">
                      <a:avLst/>
                    </a:prstGeom>
                  </pic:spPr>
                </pic:pic>
              </a:graphicData>
            </a:graphic>
          </wp:inline>
        </w:drawing>
      </w:r>
      <w:r>
        <w:rPr>
          <w:rFonts w:hint="eastAsia" w:eastAsia="宋体"/>
          <w:kern w:val="0"/>
          <w:sz w:val="24"/>
          <w:lang w:eastAsia="zh-CN"/>
        </w:rPr>
        <w:drawing>
          <wp:inline distT="0" distB="0" distL="114300" distR="114300">
            <wp:extent cx="5272405" cy="7509510"/>
            <wp:effectExtent l="0" t="0" r="4445" b="15240"/>
            <wp:docPr id="6" name="图片 6" descr="达州市达钢（老区）片区C05-03地块规划条件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达州市达钢（老区）片区C05-03地块规划条件_页面_2"/>
                    <pic:cNvPicPr>
                      <a:picLocks noChangeAspect="1"/>
                    </pic:cNvPicPr>
                  </pic:nvPicPr>
                  <pic:blipFill>
                    <a:blip r:embed="rId26"/>
                    <a:stretch>
                      <a:fillRect/>
                    </a:stretch>
                  </pic:blipFill>
                  <pic:spPr>
                    <a:xfrm>
                      <a:off x="0" y="0"/>
                      <a:ext cx="5272405" cy="7509510"/>
                    </a:xfrm>
                    <a:prstGeom prst="rect">
                      <a:avLst/>
                    </a:prstGeom>
                  </pic:spPr>
                </pic:pic>
              </a:graphicData>
            </a:graphic>
          </wp:inline>
        </w:drawing>
      </w:r>
    </w:p>
    <w:p>
      <w:pPr>
        <w:pStyle w:val="12"/>
        <w:jc w:val="both"/>
        <w:rPr>
          <w:rFonts w:ascii="Times New Roman" w:hAnsi="Times New Roman" w:eastAsia="黑体"/>
          <w:color w:val="000000" w:themeColor="text1"/>
          <w:sz w:val="44"/>
          <w:szCs w:val="44"/>
        </w:rPr>
      </w:pPr>
      <w:bookmarkStart w:id="7" w:name="_Toc3391973"/>
      <w:bookmarkStart w:id="8" w:name="_Toc3391744"/>
    </w:p>
    <w:p/>
    <w:p>
      <w:pPr>
        <w:pStyle w:val="12"/>
        <w:rPr>
          <w:rFonts w:hint="eastAsia" w:ascii="Times New Roman" w:hAnsi="Times New Roman" w:eastAsia="黑体"/>
          <w:color w:val="000000" w:themeColor="text1"/>
          <w:sz w:val="44"/>
          <w:szCs w:val="44"/>
          <w:lang w:eastAsia="zh-CN"/>
        </w:rPr>
      </w:pPr>
    </w:p>
    <w:p>
      <w:pPr>
        <w:pStyle w:val="12"/>
        <w:rPr>
          <w:rFonts w:ascii="Times New Roman" w:hAnsi="Times New Roman" w:eastAsia="黑体"/>
          <w:color w:val="000000" w:themeColor="text1"/>
          <w:sz w:val="44"/>
          <w:szCs w:val="44"/>
        </w:rPr>
      </w:pPr>
    </w:p>
    <w:p>
      <w:pPr>
        <w:pStyle w:val="12"/>
        <w:rPr>
          <w:rFonts w:ascii="Times New Roman" w:hAnsi="Times New Roman" w:eastAsia="黑体"/>
          <w:color w:val="000000" w:themeColor="text1"/>
          <w:sz w:val="44"/>
          <w:szCs w:val="44"/>
        </w:rPr>
      </w:pPr>
      <w:r>
        <w:rPr>
          <w:rFonts w:ascii="Times New Roman" w:hAnsi="Times New Roman" w:eastAsia="黑体"/>
          <w:color w:val="000000" w:themeColor="text1"/>
          <w:sz w:val="44"/>
          <w:szCs w:val="44"/>
        </w:rPr>
        <w:t>用地红线图</w:t>
      </w:r>
      <w:bookmarkEnd w:id="7"/>
      <w:bookmarkEnd w:id="8"/>
    </w:p>
    <w:p>
      <w:pPr>
        <w:jc w:val="center"/>
        <w:rPr>
          <w:rFonts w:hint="eastAsia" w:eastAsia="宋体"/>
          <w:lang w:eastAsia="zh-CN"/>
        </w:rPr>
      </w:pPr>
      <w:r>
        <w:rPr>
          <w:rFonts w:hint="eastAsia" w:eastAsia="宋体"/>
          <w:lang w:eastAsia="zh-CN"/>
        </w:rPr>
        <w:drawing>
          <wp:inline distT="0" distB="0" distL="114300" distR="114300">
            <wp:extent cx="5268595" cy="4274185"/>
            <wp:effectExtent l="0" t="0" r="8255" b="12065"/>
            <wp:docPr id="7" name="图片 7" descr="达州市达钢（老厂）片区C05-03地块规划条件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达州市达钢（老厂）片区C05-03地块规划条件_00"/>
                    <pic:cNvPicPr>
                      <a:picLocks noChangeAspect="1"/>
                    </pic:cNvPicPr>
                  </pic:nvPicPr>
                  <pic:blipFill>
                    <a:blip r:embed="rId27"/>
                    <a:stretch>
                      <a:fillRect/>
                    </a:stretch>
                  </pic:blipFill>
                  <pic:spPr>
                    <a:xfrm>
                      <a:off x="0" y="0"/>
                      <a:ext cx="5268595" cy="4274185"/>
                    </a:xfrm>
                    <a:prstGeom prst="rect">
                      <a:avLst/>
                    </a:prstGeom>
                  </pic:spPr>
                </pic:pic>
              </a:graphicData>
            </a:graphic>
          </wp:inline>
        </w:drawing>
      </w:r>
    </w:p>
    <w:p/>
    <w:p/>
    <w:p>
      <w:pPr>
        <w:widowControl/>
        <w:jc w:val="left"/>
        <w:rPr>
          <w:color w:val="000000" w:themeColor="text1"/>
          <w:sz w:val="28"/>
          <w:szCs w:val="28"/>
        </w:rPr>
        <w:sectPr>
          <w:pgSz w:w="11906" w:h="16838"/>
          <w:pgMar w:top="1440" w:right="1800" w:bottom="1440" w:left="1800" w:header="851" w:footer="992" w:gutter="0"/>
          <w:pgNumType w:fmt="numberInDash"/>
          <w:cols w:space="425" w:num="1"/>
          <w:docGrid w:type="lines" w:linePitch="312" w:charSpace="0"/>
        </w:sectPr>
      </w:pPr>
    </w:p>
    <w:p>
      <w:pPr>
        <w:pStyle w:val="12"/>
        <w:rPr>
          <w:rFonts w:ascii="Times New Roman" w:hAnsi="Times New Roman" w:eastAsia="黑体"/>
          <w:color w:val="000000" w:themeColor="text1"/>
          <w:sz w:val="44"/>
          <w:szCs w:val="44"/>
        </w:rPr>
      </w:pPr>
      <w:bookmarkStart w:id="9" w:name="_Toc3391974"/>
      <w:bookmarkStart w:id="10" w:name="_Toc3391745"/>
      <w:r>
        <w:rPr>
          <w:rFonts w:ascii="Times New Roman" w:hAnsi="Times New Roman" w:eastAsia="黑体"/>
          <w:color w:val="000000" w:themeColor="text1"/>
          <w:sz w:val="44"/>
          <w:szCs w:val="44"/>
        </w:rPr>
        <w:t>用地勘界图</w:t>
      </w:r>
      <w:bookmarkEnd w:id="9"/>
      <w:bookmarkEnd w:id="10"/>
    </w:p>
    <w:p>
      <w:pPr>
        <w:rPr>
          <w:rFonts w:hint="eastAsia" w:eastAsia="宋体"/>
          <w:lang w:eastAsia="zh-CN"/>
        </w:rPr>
      </w:pPr>
      <w:r>
        <w:rPr>
          <w:rFonts w:hint="eastAsia" w:eastAsia="宋体"/>
          <w:lang w:eastAsia="zh-CN"/>
        </w:rPr>
        <w:drawing>
          <wp:inline distT="0" distB="0" distL="114300" distR="114300">
            <wp:extent cx="5266690" cy="7451725"/>
            <wp:effectExtent l="0" t="0" r="10160" b="15875"/>
            <wp:docPr id="10" name="图片 10" descr="C05-03勘界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05-03勘界图"/>
                    <pic:cNvPicPr>
                      <a:picLocks noChangeAspect="1"/>
                    </pic:cNvPicPr>
                  </pic:nvPicPr>
                  <pic:blipFill>
                    <a:blip r:embed="rId28"/>
                    <a:stretch>
                      <a:fillRect/>
                    </a:stretch>
                  </pic:blipFill>
                  <pic:spPr>
                    <a:xfrm>
                      <a:off x="0" y="0"/>
                      <a:ext cx="5266690" cy="7451725"/>
                    </a:xfrm>
                    <a:prstGeom prst="rect">
                      <a:avLst/>
                    </a:prstGeom>
                  </pic:spPr>
                </pic:pic>
              </a:graphicData>
            </a:graphic>
          </wp:inline>
        </w:drawing>
      </w:r>
    </w:p>
    <w:p>
      <w:pPr>
        <w:widowControl/>
        <w:rPr>
          <w:color w:val="000000" w:themeColor="text1"/>
          <w:sz w:val="28"/>
          <w:szCs w:val="28"/>
        </w:rPr>
      </w:pPr>
    </w:p>
    <w:p>
      <w:pPr>
        <w:rPr>
          <w:rFonts w:hint="eastAsia" w:eastAsia="宋体"/>
          <w:lang w:eastAsia="zh-CN"/>
        </w:rPr>
        <w:sectPr>
          <w:pgSz w:w="11906" w:h="16838"/>
          <w:pgMar w:top="1440" w:right="1800" w:bottom="1440" w:left="1800" w:header="851" w:footer="992" w:gutter="0"/>
          <w:pgNumType w:fmt="numberInDash"/>
          <w:cols w:space="425" w:num="1"/>
          <w:docGrid w:type="lines" w:linePitch="312" w:charSpace="0"/>
        </w:sectPr>
      </w:pPr>
    </w:p>
    <w:p>
      <w:pPr>
        <w:pStyle w:val="12"/>
        <w:spacing w:before="0" w:after="0" w:line="500" w:lineRule="exact"/>
        <w:rPr>
          <w:rFonts w:ascii="Times New Roman" w:hAnsi="Times New Roman" w:eastAsia="黑体"/>
          <w:color w:val="000000" w:themeColor="text1"/>
          <w:sz w:val="44"/>
          <w:szCs w:val="44"/>
        </w:rPr>
      </w:pPr>
      <w:bookmarkStart w:id="11" w:name="_Toc3391975"/>
      <w:bookmarkStart w:id="12" w:name="_Toc3391746"/>
      <w:r>
        <w:rPr>
          <w:rFonts w:ascii="Times New Roman" w:hAnsi="Times New Roman" w:eastAsia="黑体"/>
          <w:color w:val="000000" w:themeColor="text1"/>
          <w:sz w:val="44"/>
          <w:szCs w:val="44"/>
        </w:rPr>
        <w:t>竞买申请书</w:t>
      </w:r>
      <w:bookmarkEnd w:id="11"/>
      <w:bookmarkEnd w:id="12"/>
    </w:p>
    <w:p>
      <w:pPr>
        <w:pStyle w:val="25"/>
        <w:spacing w:line="420" w:lineRule="exact"/>
        <w:rPr>
          <w:color w:val="000000" w:themeColor="text1"/>
          <w:sz w:val="24"/>
          <w:szCs w:val="24"/>
        </w:rPr>
      </w:pPr>
    </w:p>
    <w:p>
      <w:pPr>
        <w:pStyle w:val="25"/>
        <w:spacing w:line="420" w:lineRule="exact"/>
        <w:ind w:left="0"/>
        <w:rPr>
          <w:color w:val="000000" w:themeColor="text1"/>
          <w:sz w:val="24"/>
          <w:szCs w:val="24"/>
        </w:rPr>
      </w:pPr>
      <w:r>
        <w:rPr>
          <w:b/>
          <w:color w:val="000000" w:themeColor="text1"/>
          <w:sz w:val="24"/>
          <w:szCs w:val="24"/>
          <w:u w:val="single"/>
        </w:rPr>
        <w:t>XXXXXXXX</w:t>
      </w:r>
      <w:r>
        <w:rPr>
          <w:color w:val="000000" w:themeColor="text1"/>
          <w:sz w:val="24"/>
          <w:szCs w:val="24"/>
        </w:rPr>
        <w:t>：</w:t>
      </w:r>
    </w:p>
    <w:p>
      <w:pPr>
        <w:pStyle w:val="25"/>
        <w:spacing w:line="420" w:lineRule="exact"/>
        <w:ind w:left="0" w:firstLine="480" w:firstLineChars="200"/>
        <w:jc w:val="left"/>
        <w:rPr>
          <w:color w:val="000000" w:themeColor="text1"/>
          <w:sz w:val="28"/>
          <w:szCs w:val="28"/>
          <w:u w:val="single"/>
        </w:rPr>
      </w:pPr>
      <w:r>
        <w:rPr>
          <w:color w:val="000000" w:themeColor="text1"/>
          <w:sz w:val="24"/>
          <w:szCs w:val="24"/>
        </w:rPr>
        <w:t>经认真阅读</w:t>
      </w:r>
      <w:r>
        <w:rPr>
          <w:color w:val="000000" w:themeColor="text1"/>
          <w:sz w:val="24"/>
          <w:szCs w:val="24"/>
          <w:u w:val="single"/>
        </w:rPr>
        <w:t xml:space="preserve">       </w:t>
      </w:r>
      <w:r>
        <w:rPr>
          <w:color w:val="000000" w:themeColor="text1"/>
          <w:sz w:val="24"/>
          <w:szCs w:val="24"/>
        </w:rPr>
        <w:t>地块国有建设用地使用权拍卖出让文件，并实地踏看拍卖出让地块现状，我方完全接受并愿意遵守你中心国有建设用地使用权拍卖出让文件中的规定和要求，对所有文件及地块现状均无异议。</w:t>
      </w:r>
    </w:p>
    <w:p>
      <w:pPr>
        <w:pStyle w:val="25"/>
        <w:spacing w:line="420" w:lineRule="exact"/>
        <w:ind w:left="105" w:leftChars="50" w:firstLine="480" w:firstLineChars="200"/>
        <w:jc w:val="left"/>
        <w:rPr>
          <w:color w:val="000000" w:themeColor="text1"/>
          <w:sz w:val="24"/>
          <w:szCs w:val="24"/>
        </w:rPr>
      </w:pPr>
      <w:r>
        <w:rPr>
          <w:color w:val="000000" w:themeColor="text1"/>
          <w:sz w:val="24"/>
          <w:szCs w:val="24"/>
        </w:rPr>
        <w:t>我方正式申请参加你中心于</w:t>
      </w:r>
      <w:r>
        <w:rPr>
          <w:rFonts w:hint="eastAsia"/>
          <w:color w:val="000000" w:themeColor="text1"/>
          <w:sz w:val="24"/>
          <w:szCs w:val="24"/>
          <w:u w:val="single"/>
          <w:lang w:val="en-US" w:eastAsia="zh-CN"/>
        </w:rPr>
        <w:t xml:space="preserve">   </w:t>
      </w:r>
      <w:r>
        <w:rPr>
          <w:color w:val="000000" w:themeColor="text1"/>
          <w:sz w:val="24"/>
          <w:szCs w:val="24"/>
          <w:u w:val="single"/>
        </w:rPr>
        <w:t xml:space="preserve"> 年  月  日</w:t>
      </w:r>
      <w:r>
        <w:rPr>
          <w:color w:val="000000" w:themeColor="text1"/>
          <w:sz w:val="24"/>
          <w:szCs w:val="24"/>
        </w:rPr>
        <w:t>在</w:t>
      </w:r>
      <w:r>
        <w:rPr>
          <w:b/>
          <w:color w:val="000000" w:themeColor="text1"/>
          <w:sz w:val="24"/>
          <w:szCs w:val="24"/>
          <w:u w:val="single"/>
        </w:rPr>
        <w:t>XXXXXXXX</w:t>
      </w:r>
      <w:r>
        <w:rPr>
          <w:color w:val="000000" w:themeColor="text1"/>
          <w:sz w:val="24"/>
          <w:szCs w:val="24"/>
        </w:rPr>
        <w:t>举行的</w:t>
      </w:r>
      <w:r>
        <w:rPr>
          <w:color w:val="000000" w:themeColor="text1"/>
          <w:sz w:val="24"/>
          <w:szCs w:val="24"/>
          <w:u w:val="single"/>
        </w:rPr>
        <w:t xml:space="preserve">        </w:t>
      </w:r>
      <w:r>
        <w:rPr>
          <w:color w:val="000000" w:themeColor="text1"/>
          <w:sz w:val="24"/>
          <w:szCs w:val="24"/>
        </w:rPr>
        <w:t>地块国有建设用地使用权拍卖活动，愿意按拍卖出让文件规定缴纳竞买保证金人民币万元（大写</w:t>
      </w:r>
      <w:r>
        <w:rPr>
          <w:color w:val="000000" w:themeColor="text1"/>
          <w:sz w:val="24"/>
          <w:szCs w:val="24"/>
          <w:u w:val="single"/>
        </w:rPr>
        <w:t xml:space="preserve">             </w:t>
      </w:r>
      <w:r>
        <w:rPr>
          <w:color w:val="000000" w:themeColor="text1"/>
          <w:sz w:val="24"/>
          <w:szCs w:val="24"/>
        </w:rPr>
        <w:t>）（</w:t>
      </w:r>
      <w:r>
        <w:rPr>
          <w:rFonts w:eastAsia="仿宋_GB2312"/>
          <w:color w:val="000000" w:themeColor="text1"/>
          <w:w w:val="90"/>
          <w:sz w:val="24"/>
          <w:szCs w:val="24"/>
        </w:rPr>
        <w:t>￥</w:t>
      </w:r>
      <w:r>
        <w:rPr>
          <w:rFonts w:eastAsia="仿宋_GB2312"/>
          <w:color w:val="000000" w:themeColor="text1"/>
          <w:w w:val="90"/>
          <w:sz w:val="24"/>
          <w:szCs w:val="24"/>
          <w:u w:val="single"/>
        </w:rPr>
        <w:t xml:space="preserve">         </w:t>
      </w:r>
      <w:r>
        <w:rPr>
          <w:color w:val="000000" w:themeColor="text1"/>
          <w:sz w:val="24"/>
          <w:szCs w:val="24"/>
        </w:rPr>
        <w:t>万元）。</w:t>
      </w:r>
    </w:p>
    <w:p>
      <w:pPr>
        <w:pStyle w:val="25"/>
        <w:spacing w:line="420" w:lineRule="exact"/>
        <w:ind w:left="0" w:firstLine="480" w:firstLineChars="200"/>
        <w:jc w:val="left"/>
        <w:rPr>
          <w:color w:val="000000" w:themeColor="text1"/>
          <w:sz w:val="24"/>
          <w:szCs w:val="24"/>
        </w:rPr>
      </w:pPr>
      <w:r>
        <w:rPr>
          <w:color w:val="000000" w:themeColor="text1"/>
          <w:sz w:val="24"/>
          <w:szCs w:val="24"/>
        </w:rPr>
        <w:t>若能竞得该地块，我方承诺：</w:t>
      </w:r>
    </w:p>
    <w:p>
      <w:pPr>
        <w:pStyle w:val="25"/>
        <w:spacing w:line="420" w:lineRule="exact"/>
        <w:ind w:left="0" w:firstLine="482" w:firstLineChars="200"/>
        <w:jc w:val="left"/>
        <w:rPr>
          <w:b/>
          <w:color w:val="000000" w:themeColor="text1"/>
          <w:sz w:val="24"/>
          <w:szCs w:val="24"/>
          <w:u w:val="single"/>
        </w:rPr>
      </w:pPr>
      <w:r>
        <w:rPr>
          <w:b/>
          <w:color w:val="000000" w:themeColor="text1"/>
          <w:sz w:val="24"/>
          <w:szCs w:val="24"/>
        </w:rPr>
        <w:t>（一）竞得土地使用权后3个月内在</w:t>
      </w:r>
      <w:r>
        <w:rPr>
          <w:b/>
          <w:color w:val="000000" w:themeColor="text1"/>
          <w:sz w:val="24"/>
          <w:szCs w:val="24"/>
          <w:u w:val="single"/>
        </w:rPr>
        <w:t>XXXXXXXX</w:t>
      </w:r>
      <w:r>
        <w:rPr>
          <w:b/>
          <w:color w:val="000000" w:themeColor="text1"/>
          <w:sz w:val="24"/>
          <w:szCs w:val="24"/>
        </w:rPr>
        <w:t>注册成立一家新公司对竞得土地进行开发建设，新公司出资构成为</w:t>
      </w:r>
      <w:r>
        <w:rPr>
          <w:b/>
          <w:color w:val="000000" w:themeColor="text1"/>
          <w:sz w:val="24"/>
          <w:szCs w:val="24"/>
          <w:u w:val="single"/>
        </w:rPr>
        <w:t xml:space="preserve">              </w:t>
      </w:r>
      <w:r>
        <w:rPr>
          <w:b/>
          <w:color w:val="000000" w:themeColor="text1"/>
          <w:sz w:val="24"/>
          <w:szCs w:val="24"/>
        </w:rPr>
        <w:t>(竞得后拟成立新公司的填写，竞得人在新公司的出资比例必须在51%（含）以上。该条</w:t>
      </w:r>
      <w:r>
        <w:rPr>
          <w:b/>
          <w:color w:val="FF0000"/>
          <w:sz w:val="24"/>
          <w:szCs w:val="24"/>
        </w:rPr>
        <w:t>土地所在辖区外</w:t>
      </w:r>
      <w:r>
        <w:rPr>
          <w:b/>
          <w:color w:val="000000" w:themeColor="text1"/>
          <w:sz w:val="24"/>
          <w:szCs w:val="24"/>
        </w:rPr>
        <w:t>的竞买人必须承诺)。</w:t>
      </w:r>
    </w:p>
    <w:p>
      <w:pPr>
        <w:pStyle w:val="25"/>
        <w:spacing w:line="420" w:lineRule="exact"/>
        <w:ind w:left="0" w:firstLine="480" w:firstLineChars="200"/>
        <w:rPr>
          <w:color w:val="000000" w:themeColor="text1"/>
          <w:sz w:val="24"/>
          <w:szCs w:val="24"/>
        </w:rPr>
      </w:pPr>
      <w:r>
        <w:rPr>
          <w:color w:val="000000" w:themeColor="text1"/>
          <w:sz w:val="24"/>
          <w:szCs w:val="24"/>
        </w:rPr>
        <w:t>（二）保证按照拍卖出让文件的规定和要求履行全部义务，如有违约行为，我方愿意承担全部法律责任，并赔偿由此产生的损失。</w:t>
      </w:r>
    </w:p>
    <w:p>
      <w:pPr>
        <w:pStyle w:val="25"/>
        <w:spacing w:line="420" w:lineRule="exact"/>
        <w:ind w:left="0" w:firstLine="480" w:firstLineChars="200"/>
        <w:rPr>
          <w:color w:val="000000" w:themeColor="text1"/>
          <w:sz w:val="24"/>
          <w:szCs w:val="24"/>
        </w:rPr>
      </w:pPr>
      <w:r>
        <w:rPr>
          <w:color w:val="000000" w:themeColor="text1"/>
          <w:sz w:val="24"/>
          <w:szCs w:val="24"/>
        </w:rPr>
        <w:t>（三）若我方不按拍卖出让文件的要求签订《成交确认书》或《国有建设用地使用权出让合同》的，或不按《国有建设用地使用权出让合同》的要求缴纳土地价款并达到合同解除条件的，无论缴纳的竞买保证金</w:t>
      </w:r>
      <w:r>
        <w:rPr>
          <w:color w:val="000000" w:themeColor="text1"/>
          <w:sz w:val="24"/>
          <w:szCs w:val="24"/>
          <w:u w:val="single"/>
        </w:rPr>
        <w:t xml:space="preserve">      </w:t>
      </w:r>
      <w:r>
        <w:rPr>
          <w:color w:val="000000" w:themeColor="text1"/>
          <w:sz w:val="24"/>
          <w:szCs w:val="24"/>
        </w:rPr>
        <w:t>万元（人民币）已转为何种法律性质的价款，我方均无权要求予以退还。</w:t>
      </w:r>
    </w:p>
    <w:p>
      <w:pPr>
        <w:pStyle w:val="25"/>
        <w:spacing w:line="420" w:lineRule="exact"/>
        <w:ind w:left="0" w:firstLine="482" w:firstLineChars="200"/>
        <w:rPr>
          <w:color w:val="000000" w:themeColor="text1"/>
          <w:sz w:val="24"/>
          <w:szCs w:val="24"/>
        </w:rPr>
      </w:pPr>
      <w:r>
        <w:rPr>
          <w:b/>
          <w:color w:val="000000" w:themeColor="text1"/>
          <w:sz w:val="24"/>
          <w:szCs w:val="24"/>
        </w:rPr>
        <w:t>附：</w:t>
      </w:r>
      <w:r>
        <w:rPr>
          <w:color w:val="000000" w:themeColor="text1"/>
          <w:sz w:val="24"/>
          <w:szCs w:val="24"/>
        </w:rPr>
        <w:t>1.统一社会信用代码复印件；2.组织机构代码证复印件3.法定代表人身份证明；4.法定代表人身份证复印件；5.授权委托书；6.受托人身份证复印件；7.竞买保证金交纳凭证；8.其它应提供的依据等。</w:t>
      </w:r>
    </w:p>
    <w:p>
      <w:pPr>
        <w:pStyle w:val="25"/>
        <w:spacing w:line="420" w:lineRule="exact"/>
        <w:ind w:firstLine="470" w:firstLineChars="196"/>
        <w:rPr>
          <w:color w:val="000000" w:themeColor="text1"/>
          <w:sz w:val="24"/>
          <w:szCs w:val="24"/>
        </w:rPr>
      </w:pPr>
    </w:p>
    <w:p>
      <w:pPr>
        <w:pStyle w:val="25"/>
        <w:spacing w:line="420" w:lineRule="exact"/>
        <w:ind w:left="0"/>
        <w:rPr>
          <w:color w:val="000000" w:themeColor="text1"/>
          <w:sz w:val="24"/>
          <w:szCs w:val="24"/>
        </w:rPr>
      </w:pPr>
      <w:r>
        <w:rPr>
          <w:color w:val="000000" w:themeColor="text1"/>
          <w:sz w:val="24"/>
          <w:szCs w:val="24"/>
        </w:rPr>
        <w:t>竞买申请人（盖章）：</w:t>
      </w:r>
    </w:p>
    <w:p>
      <w:pPr>
        <w:pStyle w:val="25"/>
        <w:spacing w:line="420" w:lineRule="exact"/>
        <w:ind w:left="0"/>
        <w:rPr>
          <w:color w:val="000000" w:themeColor="text1"/>
          <w:sz w:val="24"/>
          <w:szCs w:val="24"/>
        </w:rPr>
      </w:pPr>
      <w:r>
        <w:rPr>
          <w:color w:val="000000" w:themeColor="text1"/>
          <w:sz w:val="24"/>
          <w:szCs w:val="24"/>
        </w:rPr>
        <w:t>法定代表人（本人签名）：</w:t>
      </w:r>
    </w:p>
    <w:p>
      <w:pPr>
        <w:pStyle w:val="25"/>
        <w:spacing w:line="420" w:lineRule="exact"/>
        <w:ind w:left="0"/>
        <w:rPr>
          <w:color w:val="000000" w:themeColor="text1"/>
          <w:sz w:val="24"/>
          <w:szCs w:val="24"/>
        </w:rPr>
      </w:pPr>
      <w:r>
        <w:rPr>
          <w:color w:val="000000" w:themeColor="text1"/>
          <w:sz w:val="24"/>
          <w:szCs w:val="24"/>
        </w:rPr>
        <w:t>联系人：</w:t>
      </w:r>
    </w:p>
    <w:p>
      <w:pPr>
        <w:pStyle w:val="25"/>
        <w:spacing w:line="420" w:lineRule="exact"/>
        <w:ind w:left="0"/>
        <w:rPr>
          <w:color w:val="000000" w:themeColor="text1"/>
          <w:sz w:val="24"/>
          <w:szCs w:val="24"/>
        </w:rPr>
      </w:pPr>
      <w:r>
        <w:rPr>
          <w:color w:val="000000" w:themeColor="text1"/>
          <w:sz w:val="24"/>
          <w:szCs w:val="24"/>
        </w:rPr>
        <w:t>地址：</w:t>
      </w:r>
    </w:p>
    <w:p>
      <w:pPr>
        <w:pStyle w:val="25"/>
        <w:spacing w:line="420" w:lineRule="exact"/>
        <w:ind w:left="0"/>
        <w:rPr>
          <w:color w:val="000000" w:themeColor="text1"/>
          <w:sz w:val="24"/>
          <w:szCs w:val="24"/>
        </w:rPr>
      </w:pPr>
      <w:r>
        <w:rPr>
          <w:color w:val="000000" w:themeColor="text1"/>
          <w:sz w:val="24"/>
          <w:szCs w:val="24"/>
        </w:rPr>
        <w:t>电话：</w:t>
      </w:r>
    </w:p>
    <w:p>
      <w:pPr>
        <w:pStyle w:val="25"/>
        <w:spacing w:line="420" w:lineRule="exact"/>
        <w:ind w:left="0"/>
        <w:rPr>
          <w:color w:val="000000" w:themeColor="text1"/>
          <w:sz w:val="24"/>
          <w:szCs w:val="24"/>
        </w:rPr>
      </w:pPr>
      <w:r>
        <w:rPr>
          <w:color w:val="000000" w:themeColor="text1"/>
          <w:sz w:val="24"/>
          <w:szCs w:val="24"/>
        </w:rPr>
        <w:t>申请日期：  年   月   日</w:t>
      </w:r>
    </w:p>
    <w:p>
      <w:pPr>
        <w:pStyle w:val="25"/>
        <w:spacing w:line="420" w:lineRule="exact"/>
        <w:ind w:left="0" w:firstLine="510"/>
        <w:rPr>
          <w:color w:val="000000" w:themeColor="text1"/>
          <w:sz w:val="24"/>
          <w:szCs w:val="24"/>
        </w:rPr>
      </w:pPr>
    </w:p>
    <w:p>
      <w:pPr>
        <w:pStyle w:val="25"/>
        <w:spacing w:line="420" w:lineRule="exact"/>
        <w:ind w:left="0" w:firstLine="510"/>
        <w:rPr>
          <w:b/>
          <w:color w:val="000000" w:themeColor="text1"/>
          <w:sz w:val="24"/>
          <w:szCs w:val="24"/>
        </w:rPr>
      </w:pPr>
      <w:r>
        <w:rPr>
          <w:b/>
          <w:color w:val="000000" w:themeColor="text1"/>
          <w:sz w:val="24"/>
          <w:szCs w:val="24"/>
        </w:rPr>
        <w:t>（法人或其他组织参与竞买的，竞买时须带上公章）</w:t>
      </w:r>
    </w:p>
    <w:p>
      <w:pPr>
        <w:pStyle w:val="12"/>
        <w:spacing w:before="0" w:after="0" w:line="600" w:lineRule="exact"/>
        <w:rPr>
          <w:rFonts w:ascii="Times New Roman" w:hAnsi="Times New Roman" w:eastAsia="黑体"/>
          <w:color w:val="000000" w:themeColor="text1"/>
          <w:sz w:val="44"/>
          <w:szCs w:val="44"/>
        </w:rPr>
      </w:pPr>
      <w:r>
        <w:rPr>
          <w:rFonts w:ascii="Times New Roman" w:hAnsi="Times New Roman" w:eastAsia="宋体"/>
          <w:color w:val="000000" w:themeColor="text1"/>
          <w:w w:val="90"/>
        </w:rPr>
        <w:br w:type="page"/>
      </w:r>
      <w:bookmarkStart w:id="13" w:name="_Toc3391747"/>
      <w:bookmarkStart w:id="14" w:name="_Toc3391976"/>
      <w:r>
        <w:rPr>
          <w:rFonts w:ascii="Times New Roman" w:hAnsi="Times New Roman" w:eastAsia="黑体"/>
          <w:color w:val="000000" w:themeColor="text1"/>
          <w:sz w:val="44"/>
          <w:szCs w:val="44"/>
        </w:rPr>
        <w:t>保证金承诺书</w:t>
      </w:r>
      <w:bookmarkEnd w:id="13"/>
      <w:bookmarkEnd w:id="14"/>
    </w:p>
    <w:p>
      <w:pPr>
        <w:rPr>
          <w:b/>
          <w:color w:val="000000" w:themeColor="text1"/>
          <w:sz w:val="44"/>
          <w:szCs w:val="44"/>
        </w:rPr>
      </w:pPr>
    </w:p>
    <w:p>
      <w:pPr>
        <w:rPr>
          <w:rFonts w:eastAsia="仿宋_GB2312"/>
          <w:color w:val="000000" w:themeColor="text1"/>
          <w:sz w:val="30"/>
          <w:szCs w:val="30"/>
        </w:rPr>
      </w:pPr>
      <w:r>
        <w:rPr>
          <w:rFonts w:eastAsia="仿宋_GB2312"/>
          <w:b/>
          <w:color w:val="000000" w:themeColor="text1"/>
          <w:sz w:val="30"/>
          <w:szCs w:val="30"/>
          <w:u w:val="single"/>
        </w:rPr>
        <w:t>XXXXXXXX</w:t>
      </w:r>
      <w:r>
        <w:rPr>
          <w:rFonts w:eastAsia="仿宋_GB2312"/>
          <w:color w:val="000000" w:themeColor="text1"/>
          <w:sz w:val="30"/>
          <w:szCs w:val="30"/>
        </w:rPr>
        <w:t>：</w:t>
      </w:r>
    </w:p>
    <w:p>
      <w:pPr>
        <w:ind w:firstLine="600" w:firstLineChars="200"/>
        <w:rPr>
          <w:rFonts w:eastAsia="仿宋_GB2312"/>
          <w:color w:val="000000" w:themeColor="text1"/>
          <w:sz w:val="30"/>
          <w:szCs w:val="30"/>
        </w:rPr>
      </w:pPr>
      <w:r>
        <w:rPr>
          <w:rFonts w:eastAsia="仿宋_GB2312"/>
          <w:color w:val="000000" w:themeColor="text1"/>
          <w:sz w:val="30"/>
          <w:szCs w:val="30"/>
        </w:rPr>
        <w:t>我方承诺参加</w:t>
      </w:r>
      <w:r>
        <w:rPr>
          <w:rFonts w:hint="eastAsia" w:eastAsia="仿宋_GB2312"/>
          <w:color w:val="000000" w:themeColor="text1"/>
          <w:sz w:val="30"/>
          <w:szCs w:val="30"/>
          <w:u w:val="single"/>
          <w:lang w:val="en-US" w:eastAsia="zh-CN"/>
        </w:rPr>
        <w:t xml:space="preserve">    </w:t>
      </w:r>
      <w:r>
        <w:rPr>
          <w:rFonts w:eastAsia="仿宋_GB2312"/>
          <w:color w:val="000000" w:themeColor="text1"/>
          <w:sz w:val="30"/>
          <w:szCs w:val="30"/>
          <w:u w:val="single"/>
        </w:rPr>
        <w:t>年  月  日</w:t>
      </w:r>
      <w:r>
        <w:rPr>
          <w:rFonts w:eastAsia="仿宋_GB2312"/>
          <w:color w:val="000000" w:themeColor="text1"/>
          <w:sz w:val="30"/>
          <w:szCs w:val="30"/>
        </w:rPr>
        <w:t>拍卖出让的</w:t>
      </w:r>
      <w:r>
        <w:rPr>
          <w:rFonts w:eastAsia="仿宋_GB2312"/>
          <w:color w:val="000000" w:themeColor="text1"/>
          <w:sz w:val="30"/>
          <w:szCs w:val="30"/>
          <w:u w:val="single"/>
        </w:rPr>
        <w:t xml:space="preserve">      </w:t>
      </w:r>
      <w:r>
        <w:rPr>
          <w:rFonts w:eastAsia="仿宋_GB2312"/>
          <w:color w:val="000000" w:themeColor="text1"/>
          <w:sz w:val="30"/>
          <w:szCs w:val="30"/>
        </w:rPr>
        <w:t>地块竞买，我方所交保证金不属于银行贷款、股东借款、转贷和募集资金。</w:t>
      </w:r>
    </w:p>
    <w:p>
      <w:pPr>
        <w:ind w:firstLine="600" w:firstLineChars="200"/>
        <w:rPr>
          <w:rFonts w:eastAsia="仿宋_GB2312"/>
          <w:color w:val="000000" w:themeColor="text1"/>
          <w:sz w:val="30"/>
          <w:szCs w:val="30"/>
        </w:rPr>
      </w:pPr>
      <w:r>
        <w:rPr>
          <w:rFonts w:eastAsia="仿宋_GB2312"/>
          <w:color w:val="000000" w:themeColor="text1"/>
          <w:sz w:val="30"/>
          <w:szCs w:val="30"/>
        </w:rPr>
        <w:t>特此承诺。</w:t>
      </w:r>
    </w:p>
    <w:p>
      <w:pPr>
        <w:rPr>
          <w:rFonts w:eastAsia="仿宋_GB2312"/>
          <w:color w:val="000000" w:themeColor="text1"/>
          <w:sz w:val="30"/>
          <w:szCs w:val="30"/>
        </w:rPr>
      </w:pPr>
    </w:p>
    <w:p>
      <w:pPr>
        <w:ind w:firstLine="750" w:firstLineChars="250"/>
        <w:rPr>
          <w:rFonts w:eastAsia="仿宋_GB2312"/>
          <w:color w:val="000000" w:themeColor="text1"/>
          <w:sz w:val="30"/>
          <w:szCs w:val="30"/>
        </w:rPr>
      </w:pPr>
      <w:r>
        <w:rPr>
          <w:rFonts w:eastAsia="仿宋_GB2312"/>
          <w:color w:val="000000" w:themeColor="text1"/>
          <w:sz w:val="30"/>
          <w:szCs w:val="30"/>
        </w:rPr>
        <w:t>承诺人（法定代表人）签字：</w:t>
      </w:r>
    </w:p>
    <w:p>
      <w:pPr>
        <w:ind w:firstLine="750" w:firstLineChars="250"/>
        <w:rPr>
          <w:rFonts w:eastAsia="仿宋_GB2312"/>
          <w:color w:val="000000" w:themeColor="text1"/>
          <w:sz w:val="30"/>
          <w:szCs w:val="30"/>
        </w:rPr>
      </w:pPr>
    </w:p>
    <w:p>
      <w:pPr>
        <w:ind w:firstLine="750" w:firstLineChars="250"/>
        <w:rPr>
          <w:rFonts w:eastAsia="仿宋_GB2312"/>
          <w:color w:val="000000" w:themeColor="text1"/>
          <w:sz w:val="30"/>
          <w:szCs w:val="30"/>
        </w:rPr>
      </w:pPr>
    </w:p>
    <w:p>
      <w:pPr>
        <w:ind w:right="900" w:firstLine="750" w:firstLineChars="250"/>
        <w:jc w:val="right"/>
        <w:rPr>
          <w:rFonts w:eastAsia="仿宋_GB2312"/>
          <w:color w:val="000000" w:themeColor="text1"/>
          <w:sz w:val="30"/>
          <w:szCs w:val="30"/>
        </w:rPr>
      </w:pPr>
      <w:r>
        <w:rPr>
          <w:rFonts w:eastAsia="仿宋_GB2312"/>
          <w:color w:val="000000" w:themeColor="text1"/>
          <w:sz w:val="30"/>
          <w:szCs w:val="30"/>
        </w:rPr>
        <w:t>年   月  日</w:t>
      </w:r>
    </w:p>
    <w:p>
      <w:pPr>
        <w:pStyle w:val="12"/>
        <w:rPr>
          <w:rFonts w:ascii="Times New Roman" w:hAnsi="Times New Roman" w:eastAsia="黑体"/>
          <w:color w:val="000000" w:themeColor="text1"/>
          <w:sz w:val="44"/>
          <w:szCs w:val="44"/>
        </w:rPr>
      </w:pPr>
      <w:r>
        <w:rPr>
          <w:rFonts w:ascii="Times New Roman" w:hAnsi="Times New Roman" w:eastAsia="仿宋_GB2312"/>
          <w:color w:val="000000" w:themeColor="text1"/>
          <w:sz w:val="30"/>
          <w:szCs w:val="30"/>
        </w:rPr>
        <w:br w:type="page"/>
      </w:r>
      <w:bookmarkStart w:id="15" w:name="_Toc3391977"/>
      <w:bookmarkStart w:id="16" w:name="_Toc3391748"/>
      <w:r>
        <w:rPr>
          <w:rFonts w:ascii="Times New Roman" w:hAnsi="Times New Roman" w:eastAsia="黑体"/>
          <w:color w:val="000000" w:themeColor="text1"/>
          <w:sz w:val="44"/>
          <w:szCs w:val="44"/>
        </w:rPr>
        <w:t>法定代表人身份证明书</w:t>
      </w:r>
      <w:bookmarkEnd w:id="15"/>
      <w:bookmarkEnd w:id="16"/>
    </w:p>
    <w:p>
      <w:pPr>
        <w:pStyle w:val="25"/>
        <w:spacing w:line="627" w:lineRule="atLeast"/>
        <w:ind w:left="0"/>
        <w:jc w:val="left"/>
        <w:rPr>
          <w:rFonts w:eastAsia="黑体"/>
          <w:color w:val="000000" w:themeColor="text1"/>
          <w:sz w:val="36"/>
          <w:szCs w:val="36"/>
        </w:rPr>
      </w:pPr>
    </w:p>
    <w:p>
      <w:pPr>
        <w:pStyle w:val="25"/>
        <w:spacing w:line="627" w:lineRule="atLeast"/>
        <w:ind w:left="0"/>
        <w:jc w:val="left"/>
        <w:rPr>
          <w:rFonts w:eastAsia="仿宋_GB2312"/>
          <w:color w:val="000000" w:themeColor="text1"/>
          <w:sz w:val="30"/>
          <w:szCs w:val="30"/>
        </w:rPr>
      </w:pPr>
      <w:r>
        <w:rPr>
          <w:rFonts w:eastAsia="仿宋_GB2312"/>
          <w:b/>
          <w:color w:val="000000" w:themeColor="text1"/>
          <w:sz w:val="30"/>
          <w:szCs w:val="30"/>
          <w:u w:val="single"/>
        </w:rPr>
        <w:t>XXXXXXXX</w:t>
      </w:r>
      <w:r>
        <w:rPr>
          <w:rFonts w:eastAsia="仿宋_GB2312"/>
          <w:color w:val="000000" w:themeColor="text1"/>
          <w:sz w:val="30"/>
          <w:szCs w:val="30"/>
        </w:rPr>
        <w:t>：</w:t>
      </w:r>
    </w:p>
    <w:p>
      <w:pPr>
        <w:pStyle w:val="25"/>
        <w:spacing w:line="627" w:lineRule="atLeast"/>
        <w:ind w:left="0" w:firstLine="750" w:firstLineChars="250"/>
        <w:jc w:val="left"/>
        <w:rPr>
          <w:rFonts w:eastAsia="仿宋_GB2312"/>
          <w:color w:val="000000" w:themeColor="text1"/>
          <w:sz w:val="30"/>
          <w:szCs w:val="30"/>
        </w:rPr>
      </w:pPr>
      <w:r>
        <w:rPr>
          <w:rFonts w:eastAsia="仿宋_GB2312"/>
          <w:color w:val="000000" w:themeColor="text1"/>
          <w:sz w:val="30"/>
          <w:szCs w:val="30"/>
        </w:rPr>
        <w:t>××同志在我单位任职务，系我单位法定代表人，特此证明。</w:t>
      </w:r>
    </w:p>
    <w:p>
      <w:pPr>
        <w:pStyle w:val="25"/>
        <w:spacing w:line="627" w:lineRule="atLeast"/>
        <w:ind w:firstLine="900" w:firstLineChars="300"/>
        <w:jc w:val="left"/>
        <w:rPr>
          <w:rFonts w:eastAsia="仿宋_GB2312"/>
          <w:color w:val="000000" w:themeColor="text1"/>
          <w:sz w:val="30"/>
          <w:szCs w:val="30"/>
        </w:rPr>
      </w:pPr>
    </w:p>
    <w:p>
      <w:pPr>
        <w:pStyle w:val="25"/>
        <w:spacing w:line="627" w:lineRule="atLeast"/>
        <w:ind w:right="900" w:firstLine="900" w:firstLineChars="300"/>
        <w:jc w:val="right"/>
        <w:rPr>
          <w:rFonts w:eastAsia="仿宋_GB2312"/>
          <w:color w:val="000000" w:themeColor="text1"/>
          <w:sz w:val="30"/>
          <w:szCs w:val="30"/>
        </w:rPr>
      </w:pPr>
      <w:r>
        <w:rPr>
          <w:rFonts w:eastAsia="仿宋_GB2312"/>
          <w:color w:val="000000" w:themeColor="text1"/>
          <w:sz w:val="30"/>
          <w:szCs w:val="30"/>
        </w:rPr>
        <w:t>年   月   日</w:t>
      </w:r>
    </w:p>
    <w:p>
      <w:pPr>
        <w:pStyle w:val="25"/>
        <w:spacing w:line="586" w:lineRule="atLeast"/>
        <w:jc w:val="center"/>
        <w:rPr>
          <w:color w:val="000000" w:themeColor="text1"/>
          <w:sz w:val="28"/>
          <w:szCs w:val="28"/>
        </w:rPr>
      </w:pPr>
    </w:p>
    <w:p>
      <w:pPr>
        <w:pStyle w:val="25"/>
        <w:spacing w:line="586" w:lineRule="atLeast"/>
        <w:jc w:val="center"/>
        <w:rPr>
          <w:color w:val="000000" w:themeColor="text1"/>
          <w:sz w:val="28"/>
          <w:szCs w:val="28"/>
        </w:rPr>
      </w:pPr>
    </w:p>
    <w:p>
      <w:pPr>
        <w:pStyle w:val="25"/>
        <w:spacing w:line="586" w:lineRule="atLeast"/>
        <w:jc w:val="center"/>
        <w:rPr>
          <w:color w:val="000000" w:themeColor="text1"/>
          <w:sz w:val="28"/>
          <w:szCs w:val="28"/>
        </w:rPr>
      </w:pPr>
    </w:p>
    <w:p>
      <w:pPr>
        <w:pStyle w:val="25"/>
        <w:spacing w:line="586" w:lineRule="atLeast"/>
        <w:jc w:val="center"/>
        <w:rPr>
          <w:color w:val="000000" w:themeColor="text1"/>
          <w:sz w:val="28"/>
          <w:szCs w:val="28"/>
        </w:rPr>
      </w:pPr>
    </w:p>
    <w:p>
      <w:pPr>
        <w:pStyle w:val="25"/>
        <w:spacing w:line="586" w:lineRule="atLeast"/>
        <w:jc w:val="center"/>
        <w:rPr>
          <w:color w:val="000000" w:themeColor="text1"/>
          <w:sz w:val="28"/>
          <w:szCs w:val="28"/>
        </w:rPr>
      </w:pPr>
    </w:p>
    <w:p>
      <w:pPr>
        <w:pStyle w:val="25"/>
        <w:spacing w:line="586" w:lineRule="atLeast"/>
        <w:rPr>
          <w:color w:val="000000" w:themeColor="text1"/>
          <w:sz w:val="28"/>
          <w:szCs w:val="28"/>
        </w:rPr>
      </w:pPr>
    </w:p>
    <w:p>
      <w:pPr>
        <w:pStyle w:val="25"/>
        <w:spacing w:line="586" w:lineRule="atLeast"/>
        <w:jc w:val="center"/>
        <w:rPr>
          <w:color w:val="000000" w:themeColor="text1"/>
          <w:sz w:val="28"/>
          <w:szCs w:val="28"/>
        </w:rPr>
      </w:pPr>
    </w:p>
    <w:p>
      <w:pPr>
        <w:pStyle w:val="25"/>
        <w:spacing w:line="586" w:lineRule="atLeast"/>
        <w:jc w:val="left"/>
        <w:rPr>
          <w:color w:val="000000" w:themeColor="text1"/>
          <w:sz w:val="28"/>
          <w:szCs w:val="28"/>
        </w:rPr>
      </w:pPr>
    </w:p>
    <w:p>
      <w:pPr>
        <w:pStyle w:val="25"/>
        <w:spacing w:line="586" w:lineRule="atLeast"/>
        <w:jc w:val="left"/>
        <w:rPr>
          <w:color w:val="000000" w:themeColor="text1"/>
          <w:sz w:val="28"/>
          <w:szCs w:val="28"/>
        </w:rPr>
      </w:pPr>
      <w:r>
        <w:rPr>
          <w:color w:val="000000" w:themeColor="text1"/>
          <w:sz w:val="28"/>
          <w:szCs w:val="28"/>
        </w:rPr>
        <w:t>附注：</w:t>
      </w:r>
    </w:p>
    <w:p>
      <w:pPr>
        <w:pStyle w:val="25"/>
        <w:spacing w:line="586" w:lineRule="atLeast"/>
        <w:ind w:firstLine="560" w:firstLineChars="200"/>
        <w:jc w:val="left"/>
        <w:rPr>
          <w:color w:val="000000" w:themeColor="text1"/>
          <w:sz w:val="28"/>
          <w:szCs w:val="28"/>
        </w:rPr>
      </w:pPr>
      <w:r>
        <w:rPr>
          <w:color w:val="000000" w:themeColor="text1"/>
          <w:sz w:val="28"/>
          <w:szCs w:val="28"/>
        </w:rPr>
        <w:t>①企事业单位、机关、团体的主要负责人为本单位的法定代表人；</w:t>
      </w:r>
    </w:p>
    <w:p>
      <w:pPr>
        <w:pStyle w:val="25"/>
        <w:spacing w:line="586" w:lineRule="atLeast"/>
        <w:ind w:firstLine="570"/>
        <w:jc w:val="left"/>
        <w:rPr>
          <w:color w:val="000000" w:themeColor="text1"/>
          <w:sz w:val="28"/>
          <w:szCs w:val="28"/>
        </w:rPr>
      </w:pPr>
      <w:r>
        <w:rPr>
          <w:color w:val="000000" w:themeColor="text1"/>
          <w:sz w:val="28"/>
          <w:szCs w:val="28"/>
        </w:rPr>
        <w:t>②法定代表人办公地点：；</w:t>
      </w:r>
    </w:p>
    <w:p>
      <w:pPr>
        <w:pStyle w:val="25"/>
        <w:spacing w:line="586" w:lineRule="atLeast"/>
        <w:ind w:firstLine="570"/>
        <w:jc w:val="left"/>
        <w:rPr>
          <w:color w:val="000000" w:themeColor="text1"/>
          <w:sz w:val="28"/>
          <w:szCs w:val="28"/>
        </w:rPr>
      </w:pPr>
      <w:r>
        <w:rPr>
          <w:color w:val="000000" w:themeColor="text1"/>
          <w:sz w:val="28"/>
          <w:szCs w:val="28"/>
        </w:rPr>
        <w:t>③法定代表人身份证号码：；</w:t>
      </w:r>
    </w:p>
    <w:p>
      <w:pPr>
        <w:pStyle w:val="25"/>
        <w:spacing w:line="586" w:lineRule="atLeast"/>
        <w:ind w:left="0" w:firstLine="560" w:firstLineChars="200"/>
        <w:jc w:val="left"/>
        <w:rPr>
          <w:color w:val="000000" w:themeColor="text1"/>
          <w:sz w:val="28"/>
          <w:szCs w:val="28"/>
        </w:rPr>
      </w:pPr>
      <w:r>
        <w:rPr>
          <w:color w:val="000000" w:themeColor="text1"/>
          <w:sz w:val="28"/>
          <w:szCs w:val="28"/>
        </w:rPr>
        <w:t>④法定代表人联系电话：。</w:t>
      </w:r>
    </w:p>
    <w:p>
      <w:pPr>
        <w:pStyle w:val="12"/>
        <w:rPr>
          <w:rFonts w:ascii="Times New Roman" w:hAnsi="Times New Roman" w:eastAsia="黑体"/>
          <w:color w:val="000000" w:themeColor="text1"/>
          <w:sz w:val="44"/>
          <w:szCs w:val="44"/>
        </w:rPr>
      </w:pPr>
      <w:r>
        <w:rPr>
          <w:rFonts w:ascii="Times New Roman" w:hAnsi="Times New Roman" w:eastAsia="Dotum"/>
          <w:color w:val="000000" w:themeColor="text1"/>
          <w:sz w:val="44"/>
          <w:szCs w:val="44"/>
        </w:rPr>
        <w:br w:type="page"/>
      </w:r>
      <w:bookmarkStart w:id="17" w:name="_Toc3391978"/>
      <w:bookmarkStart w:id="18" w:name="_Toc3391749"/>
      <w:r>
        <w:rPr>
          <w:rFonts w:ascii="Times New Roman" w:hAnsi="Times New Roman" w:eastAsia="黑体"/>
          <w:color w:val="000000" w:themeColor="text1"/>
          <w:sz w:val="44"/>
          <w:szCs w:val="44"/>
        </w:rPr>
        <w:t>授权委托书</w:t>
      </w:r>
      <w:bookmarkEnd w:id="17"/>
      <w:bookmarkEnd w:id="18"/>
    </w:p>
    <w:tbl>
      <w:tblPr>
        <w:tblStyle w:val="13"/>
        <w:tblW w:w="9080" w:type="dxa"/>
        <w:tblInd w:w="108" w:type="dxa"/>
        <w:tblLayout w:type="fixed"/>
        <w:tblCellMar>
          <w:top w:w="0" w:type="dxa"/>
          <w:left w:w="0" w:type="dxa"/>
          <w:bottom w:w="0" w:type="dxa"/>
          <w:right w:w="0" w:type="dxa"/>
        </w:tblCellMar>
      </w:tblPr>
      <w:tblGrid>
        <w:gridCol w:w="1573"/>
        <w:gridCol w:w="2973"/>
        <w:gridCol w:w="1566"/>
        <w:gridCol w:w="2968"/>
      </w:tblGrid>
      <w:tr>
        <w:tblPrEx>
          <w:tblCellMar>
            <w:top w:w="0" w:type="dxa"/>
            <w:left w:w="0" w:type="dxa"/>
            <w:bottom w:w="0" w:type="dxa"/>
            <w:right w:w="0" w:type="dxa"/>
          </w:tblCellMar>
        </w:tblPrEx>
        <w:trPr>
          <w:trHeight w:val="334" w:hRule="atLeast"/>
        </w:trPr>
        <w:tc>
          <w:tcPr>
            <w:tcW w:w="4546" w:type="dxa"/>
            <w:gridSpan w:val="2"/>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委托人</w:t>
            </w:r>
          </w:p>
        </w:tc>
        <w:tc>
          <w:tcPr>
            <w:tcW w:w="4534" w:type="dxa"/>
            <w:gridSpan w:val="2"/>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受托人</w:t>
            </w:r>
          </w:p>
        </w:tc>
      </w:tr>
      <w:tr>
        <w:tblPrEx>
          <w:tblCellMar>
            <w:top w:w="0" w:type="dxa"/>
            <w:left w:w="0" w:type="dxa"/>
            <w:bottom w:w="0" w:type="dxa"/>
            <w:right w:w="0" w:type="dxa"/>
          </w:tblCellMar>
        </w:tblPrEx>
        <w:trPr>
          <w:trHeight w:val="555"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姓名</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姓名</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r>
      <w:tr>
        <w:tblPrEx>
          <w:tblCellMar>
            <w:top w:w="0" w:type="dxa"/>
            <w:left w:w="0" w:type="dxa"/>
            <w:bottom w:w="0" w:type="dxa"/>
            <w:right w:w="0" w:type="dxa"/>
          </w:tblCellMar>
        </w:tblPrEx>
        <w:trPr>
          <w:trHeight w:val="537"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性别</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性别</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r>
      <w:tr>
        <w:tblPrEx>
          <w:tblCellMar>
            <w:top w:w="0" w:type="dxa"/>
            <w:left w:w="0" w:type="dxa"/>
            <w:bottom w:w="0" w:type="dxa"/>
            <w:right w:w="0" w:type="dxa"/>
          </w:tblCellMar>
        </w:tblPrEx>
        <w:trPr>
          <w:trHeight w:val="542"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出生日期</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出生日期</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r>
      <w:tr>
        <w:tblPrEx>
          <w:tblCellMar>
            <w:top w:w="0" w:type="dxa"/>
            <w:left w:w="0" w:type="dxa"/>
            <w:bottom w:w="0" w:type="dxa"/>
            <w:right w:w="0" w:type="dxa"/>
          </w:tblCellMar>
        </w:tblPrEx>
        <w:trPr>
          <w:trHeight w:val="527"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工作单位</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工作单位</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r>
      <w:tr>
        <w:tblPrEx>
          <w:tblCellMar>
            <w:top w:w="0" w:type="dxa"/>
            <w:left w:w="0" w:type="dxa"/>
            <w:bottom w:w="0" w:type="dxa"/>
            <w:right w:w="0" w:type="dxa"/>
          </w:tblCellMar>
        </w:tblPrEx>
        <w:trPr>
          <w:trHeight w:val="538"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职务</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职务</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r>
      <w:tr>
        <w:tblPrEx>
          <w:tblCellMar>
            <w:top w:w="0" w:type="dxa"/>
            <w:left w:w="0" w:type="dxa"/>
            <w:bottom w:w="0" w:type="dxa"/>
            <w:right w:w="0" w:type="dxa"/>
          </w:tblCellMar>
        </w:tblPrEx>
        <w:trPr>
          <w:trHeight w:val="520" w:hRule="atLeast"/>
        </w:trPr>
        <w:tc>
          <w:tcPr>
            <w:tcW w:w="1573" w:type="dxa"/>
            <w:vMerge w:val="restart"/>
            <w:tcBorders>
              <w:top w:val="nil"/>
              <w:left w:val="single" w:color="000000" w:sz="12" w:space="0"/>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证件号码</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身份证（）护照（）</w:t>
            </w:r>
          </w:p>
        </w:tc>
        <w:tc>
          <w:tcPr>
            <w:tcW w:w="1566" w:type="dxa"/>
            <w:vMerge w:val="restart"/>
            <w:tcBorders>
              <w:top w:val="nil"/>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证件号码</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身份证（）护照（）</w:t>
            </w:r>
          </w:p>
        </w:tc>
      </w:tr>
      <w:tr>
        <w:tblPrEx>
          <w:tblCellMar>
            <w:top w:w="0" w:type="dxa"/>
            <w:left w:w="0" w:type="dxa"/>
            <w:bottom w:w="0" w:type="dxa"/>
            <w:right w:w="0" w:type="dxa"/>
          </w:tblCellMar>
        </w:tblPrEx>
        <w:trPr>
          <w:trHeight w:val="44" w:hRule="atLeast"/>
        </w:trPr>
        <w:tc>
          <w:tcPr>
            <w:tcW w:w="1573" w:type="dxa"/>
            <w:vMerge w:val="continue"/>
            <w:tcBorders>
              <w:top w:val="nil"/>
              <w:left w:val="single" w:color="000000" w:sz="12" w:space="0"/>
              <w:bottom w:val="single" w:color="000000" w:sz="12" w:space="0"/>
              <w:right w:val="single" w:color="000000" w:sz="12" w:space="0"/>
            </w:tcBorders>
            <w:vAlign w:val="center"/>
          </w:tcPr>
          <w:p>
            <w:pPr>
              <w:widowControl/>
              <w:spacing w:line="400" w:lineRule="exact"/>
              <w:jc w:val="left"/>
              <w:rPr>
                <w:rFonts w:eastAsia="仿宋_GB2312"/>
                <w:color w:val="000000" w:themeColor="text1"/>
                <w:kern w:val="0"/>
                <w:sz w:val="24"/>
              </w:rPr>
            </w:pP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c>
          <w:tcPr>
            <w:tcW w:w="1566" w:type="dxa"/>
            <w:vMerge w:val="continue"/>
            <w:tcBorders>
              <w:top w:val="nil"/>
              <w:left w:val="nil"/>
              <w:bottom w:val="single" w:color="000000" w:sz="12" w:space="0"/>
              <w:right w:val="single" w:color="000000" w:sz="12" w:space="0"/>
            </w:tcBorders>
            <w:vAlign w:val="center"/>
          </w:tcPr>
          <w:p>
            <w:pPr>
              <w:widowControl/>
              <w:spacing w:line="400" w:lineRule="exact"/>
              <w:jc w:val="left"/>
              <w:rPr>
                <w:rFonts w:eastAsia="仿宋_GB2312"/>
                <w:color w:val="000000" w:themeColor="text1"/>
                <w:kern w:val="0"/>
                <w:sz w:val="24"/>
              </w:rPr>
            </w:pP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r>
      <w:tr>
        <w:tblPrEx>
          <w:tblCellMar>
            <w:top w:w="0" w:type="dxa"/>
            <w:left w:w="0" w:type="dxa"/>
            <w:bottom w:w="0" w:type="dxa"/>
            <w:right w:w="0" w:type="dxa"/>
          </w:tblCellMar>
        </w:tblPrEx>
        <w:trPr>
          <w:trHeight w:val="4801" w:hRule="atLeast"/>
        </w:trPr>
        <w:tc>
          <w:tcPr>
            <w:tcW w:w="9080" w:type="dxa"/>
            <w:gridSpan w:val="4"/>
            <w:tcBorders>
              <w:top w:val="single" w:color="000000" w:sz="12" w:space="0"/>
              <w:left w:val="single" w:color="000000" w:sz="12" w:space="0"/>
              <w:bottom w:val="single" w:color="000000" w:sz="12" w:space="0"/>
              <w:right w:val="single" w:color="000000" w:sz="12" w:space="0"/>
            </w:tcBorders>
            <w:vAlign w:val="center"/>
          </w:tcPr>
          <w:p>
            <w:pPr>
              <w:widowControl/>
              <w:spacing w:line="500" w:lineRule="exact"/>
              <w:ind w:firstLine="480" w:firstLineChars="200"/>
              <w:jc w:val="left"/>
              <w:rPr>
                <w:rFonts w:eastAsia="仿宋_GB2312"/>
                <w:color w:val="000000" w:themeColor="text1"/>
                <w:kern w:val="0"/>
                <w:sz w:val="24"/>
              </w:rPr>
            </w:pPr>
            <w:r>
              <w:rPr>
                <w:rFonts w:eastAsia="仿宋_GB2312"/>
                <w:color w:val="000000" w:themeColor="text1"/>
                <w:kern w:val="0"/>
                <w:sz w:val="24"/>
              </w:rPr>
              <w:t>本人授权（受托人）代表本人参加  年  月   日在马踏洞新区龙马大道与鱼泉路交叉口处新政务服务大楼</w:t>
            </w:r>
            <w:r>
              <w:rPr>
                <w:rFonts w:eastAsia="仿宋_GB2312"/>
                <w:b/>
                <w:color w:val="000000" w:themeColor="text1"/>
                <w:kern w:val="0"/>
                <w:sz w:val="24"/>
                <w:u w:val="single"/>
              </w:rPr>
              <w:t>XXXXXXXX</w:t>
            </w:r>
            <w:r>
              <w:rPr>
                <w:rFonts w:eastAsia="仿宋_GB2312"/>
                <w:color w:val="000000" w:themeColor="text1"/>
                <w:kern w:val="0"/>
                <w:sz w:val="24"/>
              </w:rPr>
              <w:t>举行的</w:t>
            </w:r>
            <w:r>
              <w:rPr>
                <w:rFonts w:eastAsia="仿宋_GB2312"/>
                <w:color w:val="000000" w:themeColor="text1"/>
                <w:kern w:val="0"/>
                <w:sz w:val="24"/>
                <w:u w:val="single"/>
              </w:rPr>
              <w:t xml:space="preserve">         </w:t>
            </w:r>
            <w:r>
              <w:rPr>
                <w:rFonts w:eastAsia="仿宋_GB2312"/>
                <w:color w:val="000000" w:themeColor="text1"/>
                <w:kern w:val="0"/>
                <w:sz w:val="24"/>
              </w:rPr>
              <w:t>地块国有建设用地使用权拍卖出让活动，代表本人签订《成交确认书》、《国有建设用地使用权出让合同》等具有法律意义的文件、凭据等。</w:t>
            </w:r>
          </w:p>
          <w:p>
            <w:pPr>
              <w:widowControl/>
              <w:spacing w:line="500" w:lineRule="exact"/>
              <w:ind w:firstLine="480" w:firstLineChars="200"/>
              <w:jc w:val="left"/>
              <w:rPr>
                <w:rFonts w:eastAsia="仿宋_GB2312"/>
                <w:color w:val="000000" w:themeColor="text1"/>
                <w:kern w:val="0"/>
                <w:sz w:val="24"/>
              </w:rPr>
            </w:pPr>
            <w:r>
              <w:rPr>
                <w:rFonts w:eastAsia="仿宋_GB2312"/>
                <w:color w:val="000000" w:themeColor="text1"/>
                <w:kern w:val="0"/>
                <w:sz w:val="24"/>
              </w:rPr>
              <w:t>受托人在该地块拍卖出让活动中所做出的承诺、签订的合同或文件，本人均予以承认，并承担由此产生的法律后果。</w:t>
            </w:r>
          </w:p>
          <w:p>
            <w:pPr>
              <w:widowControl/>
              <w:spacing w:line="500" w:lineRule="exact"/>
              <w:ind w:firstLine="480" w:firstLineChars="200"/>
              <w:jc w:val="left"/>
              <w:rPr>
                <w:rFonts w:eastAsia="仿宋_GB2312"/>
                <w:color w:val="000000" w:themeColor="text1"/>
                <w:kern w:val="0"/>
                <w:sz w:val="24"/>
              </w:rPr>
            </w:pPr>
            <w:r>
              <w:rPr>
                <w:rFonts w:eastAsia="仿宋_GB2312"/>
                <w:color w:val="000000" w:themeColor="text1"/>
                <w:kern w:val="0"/>
                <w:sz w:val="24"/>
              </w:rPr>
              <w:t>委托人（签名）：</w:t>
            </w:r>
          </w:p>
          <w:p>
            <w:pPr>
              <w:widowControl/>
              <w:spacing w:line="500" w:lineRule="exact"/>
              <w:ind w:firstLine="3360" w:firstLineChars="1400"/>
              <w:jc w:val="left"/>
              <w:rPr>
                <w:rFonts w:eastAsia="仿宋_GB2312"/>
                <w:color w:val="000000" w:themeColor="text1"/>
                <w:kern w:val="0"/>
                <w:sz w:val="24"/>
              </w:rPr>
            </w:pPr>
            <w:r>
              <w:rPr>
                <w:rFonts w:eastAsia="仿宋_GB2312"/>
                <w:color w:val="000000" w:themeColor="text1"/>
                <w:kern w:val="0"/>
                <w:sz w:val="24"/>
              </w:rPr>
              <w:t>年月日</w:t>
            </w:r>
          </w:p>
        </w:tc>
      </w:tr>
      <w:tr>
        <w:tblPrEx>
          <w:tblCellMar>
            <w:top w:w="0" w:type="dxa"/>
            <w:left w:w="0" w:type="dxa"/>
            <w:bottom w:w="0" w:type="dxa"/>
            <w:right w:w="0" w:type="dxa"/>
          </w:tblCellMar>
        </w:tblPrEx>
        <w:trPr>
          <w:trHeight w:val="2664"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ind w:left="1"/>
              <w:jc w:val="center"/>
              <w:rPr>
                <w:rFonts w:eastAsia="仿宋_GB2312"/>
                <w:color w:val="000000" w:themeColor="text1"/>
                <w:kern w:val="0"/>
                <w:sz w:val="24"/>
              </w:rPr>
            </w:pPr>
            <w:r>
              <w:rPr>
                <w:rFonts w:eastAsia="仿宋_GB2312"/>
                <w:color w:val="000000" w:themeColor="text1"/>
                <w:kern w:val="0"/>
                <w:sz w:val="24"/>
              </w:rPr>
              <w:t>备</w:t>
            </w:r>
          </w:p>
          <w:p>
            <w:pPr>
              <w:widowControl/>
              <w:spacing w:line="400" w:lineRule="exact"/>
              <w:ind w:left="1" w:firstLine="238"/>
              <w:rPr>
                <w:rFonts w:eastAsia="仿宋_GB2312"/>
                <w:color w:val="000000" w:themeColor="text1"/>
                <w:kern w:val="0"/>
                <w:sz w:val="24"/>
              </w:rPr>
            </w:pPr>
          </w:p>
          <w:p>
            <w:pPr>
              <w:widowControl/>
              <w:spacing w:line="400" w:lineRule="exact"/>
              <w:ind w:left="1"/>
              <w:jc w:val="center"/>
              <w:rPr>
                <w:rFonts w:eastAsia="仿宋_GB2312"/>
                <w:color w:val="000000" w:themeColor="text1"/>
                <w:kern w:val="0"/>
                <w:sz w:val="24"/>
              </w:rPr>
            </w:pPr>
            <w:r>
              <w:rPr>
                <w:rFonts w:eastAsia="仿宋_GB2312"/>
                <w:color w:val="000000" w:themeColor="text1"/>
                <w:kern w:val="0"/>
                <w:sz w:val="24"/>
              </w:rPr>
              <w:t>注</w:t>
            </w:r>
          </w:p>
        </w:tc>
        <w:tc>
          <w:tcPr>
            <w:tcW w:w="7507" w:type="dxa"/>
            <w:gridSpan w:val="3"/>
            <w:tcBorders>
              <w:top w:val="single" w:color="000000" w:sz="12" w:space="0"/>
              <w:left w:val="nil"/>
              <w:bottom w:val="single" w:color="000000" w:sz="12" w:space="0"/>
              <w:right w:val="single" w:color="000000" w:sz="12" w:space="0"/>
            </w:tcBorders>
          </w:tcPr>
          <w:p>
            <w:pPr>
              <w:widowControl/>
              <w:spacing w:line="400" w:lineRule="exact"/>
              <w:ind w:left="1"/>
              <w:rPr>
                <w:rFonts w:eastAsia="仿宋_GB2312"/>
                <w:color w:val="000000" w:themeColor="text1"/>
                <w:kern w:val="0"/>
                <w:sz w:val="24"/>
              </w:rPr>
            </w:pPr>
          </w:p>
          <w:p>
            <w:pPr>
              <w:widowControl/>
              <w:spacing w:line="400" w:lineRule="exact"/>
              <w:ind w:left="1"/>
              <w:rPr>
                <w:rFonts w:eastAsia="仿宋_GB2312"/>
                <w:color w:val="000000" w:themeColor="text1"/>
                <w:kern w:val="0"/>
                <w:sz w:val="24"/>
              </w:rPr>
            </w:pPr>
            <w:r>
              <w:rPr>
                <w:rFonts w:eastAsia="仿宋_GB2312"/>
                <w:color w:val="000000" w:themeColor="text1"/>
                <w:kern w:val="0"/>
                <w:sz w:val="24"/>
              </w:rPr>
              <w:t>兹证明本委托书确系本单位法定代表人亲自签定</w:t>
            </w:r>
          </w:p>
          <w:p>
            <w:pPr>
              <w:widowControl/>
              <w:spacing w:line="400" w:lineRule="exact"/>
              <w:ind w:left="1"/>
              <w:jc w:val="center"/>
              <w:rPr>
                <w:rFonts w:eastAsia="仿宋_GB2312"/>
                <w:color w:val="000000" w:themeColor="text1"/>
                <w:kern w:val="0"/>
                <w:sz w:val="24"/>
              </w:rPr>
            </w:pPr>
          </w:p>
          <w:p>
            <w:pPr>
              <w:widowControl/>
              <w:spacing w:line="400" w:lineRule="exact"/>
              <w:ind w:left="1"/>
              <w:jc w:val="center"/>
              <w:rPr>
                <w:rFonts w:eastAsia="仿宋_GB2312"/>
                <w:color w:val="000000" w:themeColor="text1"/>
                <w:kern w:val="0"/>
                <w:sz w:val="24"/>
              </w:rPr>
            </w:pPr>
          </w:p>
          <w:p>
            <w:pPr>
              <w:widowControl/>
              <w:spacing w:line="400" w:lineRule="exact"/>
              <w:ind w:left="1"/>
              <w:jc w:val="center"/>
              <w:rPr>
                <w:rFonts w:eastAsia="仿宋_GB2312"/>
                <w:color w:val="000000" w:themeColor="text1"/>
                <w:kern w:val="0"/>
                <w:sz w:val="24"/>
              </w:rPr>
            </w:pPr>
            <w:r>
              <w:rPr>
                <w:rFonts w:eastAsia="仿宋_GB2312"/>
                <w:color w:val="000000" w:themeColor="text1"/>
                <w:kern w:val="0"/>
                <w:sz w:val="24"/>
              </w:rPr>
              <w:t> 单位公章：</w:t>
            </w:r>
          </w:p>
          <w:p>
            <w:pPr>
              <w:widowControl/>
              <w:spacing w:line="400" w:lineRule="exact"/>
              <w:ind w:left="1"/>
              <w:rPr>
                <w:rFonts w:eastAsia="仿宋_GB2312"/>
                <w:color w:val="000000" w:themeColor="text1"/>
                <w:kern w:val="0"/>
                <w:sz w:val="24"/>
              </w:rPr>
            </w:pPr>
          </w:p>
          <w:p>
            <w:pPr>
              <w:widowControl/>
              <w:spacing w:line="400" w:lineRule="exact"/>
              <w:ind w:left="1" w:right="480" w:firstLine="4680" w:firstLineChars="1950"/>
              <w:rPr>
                <w:rFonts w:eastAsia="仿宋_GB2312"/>
                <w:color w:val="000000" w:themeColor="text1"/>
                <w:kern w:val="0"/>
                <w:sz w:val="24"/>
              </w:rPr>
            </w:pPr>
            <w:r>
              <w:rPr>
                <w:rFonts w:eastAsia="仿宋_GB2312"/>
                <w:color w:val="000000" w:themeColor="text1"/>
                <w:kern w:val="0"/>
                <w:sz w:val="24"/>
              </w:rPr>
              <w:t>年月日</w:t>
            </w:r>
          </w:p>
        </w:tc>
      </w:tr>
    </w:tbl>
    <w:p>
      <w:pPr>
        <w:pStyle w:val="25"/>
        <w:spacing w:line="760" w:lineRule="exact"/>
        <w:ind w:left="0"/>
        <w:jc w:val="center"/>
        <w:rPr>
          <w:rFonts w:eastAsia="方正小标宋简体"/>
          <w:color w:val="000000" w:themeColor="text1"/>
          <w:spacing w:val="-5"/>
          <w:kern w:val="2"/>
          <w:sz w:val="44"/>
          <w:szCs w:val="44"/>
        </w:rPr>
      </w:pPr>
    </w:p>
    <w:p>
      <w:pPr>
        <w:jc w:val="center"/>
        <w:rPr>
          <w:rFonts w:eastAsia="黑体"/>
          <w:b/>
          <w:bCs/>
          <w:color w:val="000000" w:themeColor="text1"/>
          <w:sz w:val="44"/>
          <w:szCs w:val="44"/>
        </w:rPr>
      </w:pPr>
      <w:r>
        <w:rPr>
          <w:rFonts w:eastAsia="方正小标宋简体"/>
          <w:color w:val="000000" w:themeColor="text1"/>
          <w:spacing w:val="-5"/>
          <w:sz w:val="44"/>
          <w:szCs w:val="44"/>
        </w:rPr>
        <w:br w:type="page"/>
      </w:r>
      <w:r>
        <w:rPr>
          <w:rFonts w:eastAsia="黑体"/>
          <w:b/>
          <w:bCs/>
          <w:color w:val="000000" w:themeColor="text1"/>
          <w:sz w:val="44"/>
          <w:szCs w:val="44"/>
        </w:rPr>
        <w:t>国有建设用地使用权出让成交确认书</w:t>
      </w:r>
    </w:p>
    <w:p>
      <w:pPr>
        <w:spacing w:line="560" w:lineRule="exact"/>
        <w:jc w:val="center"/>
        <w:rPr>
          <w:rFonts w:eastAsia="仿宋_GB2312"/>
          <w:color w:val="000000" w:themeColor="text1"/>
          <w:sz w:val="30"/>
          <w:szCs w:val="30"/>
        </w:rPr>
      </w:pPr>
      <w:r>
        <w:rPr>
          <w:rFonts w:eastAsia="仿宋_GB2312"/>
          <w:color w:val="000000" w:themeColor="text1"/>
          <w:sz w:val="30"/>
          <w:szCs w:val="30"/>
        </w:rPr>
        <w:t>(    )</w:t>
      </w:r>
    </w:p>
    <w:p>
      <w:pPr>
        <w:spacing w:line="560" w:lineRule="exact"/>
        <w:ind w:firstLine="600" w:firstLineChars="200"/>
        <w:rPr>
          <w:rFonts w:eastAsia="仿宋_GB2312"/>
          <w:color w:val="000000" w:themeColor="text1"/>
          <w:sz w:val="30"/>
          <w:szCs w:val="30"/>
        </w:rPr>
      </w:pPr>
      <w:r>
        <w:rPr>
          <w:rFonts w:eastAsia="仿宋_GB2312"/>
          <w:color w:val="000000" w:themeColor="text1"/>
          <w:sz w:val="30"/>
          <w:szCs w:val="30"/>
        </w:rPr>
        <w:t>受</w:t>
      </w:r>
      <w:r>
        <w:rPr>
          <w:rFonts w:eastAsia="仿宋_GB2312"/>
          <w:color w:val="000000" w:themeColor="text1"/>
          <w:sz w:val="30"/>
          <w:szCs w:val="30"/>
          <w:u w:val="single"/>
        </w:rPr>
        <w:t xml:space="preserve">  （出让人） </w:t>
      </w:r>
      <w:r>
        <w:rPr>
          <w:rFonts w:eastAsia="仿宋_GB2312"/>
          <w:color w:val="000000" w:themeColor="text1"/>
          <w:sz w:val="30"/>
          <w:szCs w:val="30"/>
        </w:rPr>
        <w:t>委托， 年  月  日，</w:t>
      </w:r>
      <w:r>
        <w:rPr>
          <w:rFonts w:eastAsia="仿宋_GB2312"/>
          <w:b/>
          <w:color w:val="000000" w:themeColor="text1"/>
          <w:sz w:val="30"/>
          <w:szCs w:val="30"/>
          <w:u w:val="single"/>
        </w:rPr>
        <w:t>XXXXXXXX</w:t>
      </w:r>
      <w:r>
        <w:rPr>
          <w:rFonts w:eastAsia="仿宋_GB2312"/>
          <w:color w:val="000000" w:themeColor="text1"/>
          <w:sz w:val="30"/>
          <w:szCs w:val="30"/>
        </w:rPr>
        <w:t>对</w:t>
      </w:r>
      <w:r>
        <w:rPr>
          <w:rFonts w:eastAsia="仿宋_GB2312"/>
          <w:color w:val="000000" w:themeColor="text1"/>
          <w:sz w:val="30"/>
          <w:szCs w:val="30"/>
          <w:u w:val="single"/>
        </w:rPr>
        <w:t xml:space="preserve">          号</w:t>
      </w:r>
      <w:r>
        <w:rPr>
          <w:rFonts w:eastAsia="仿宋_GB2312"/>
          <w:color w:val="000000" w:themeColor="text1"/>
          <w:sz w:val="30"/>
          <w:szCs w:val="30"/>
        </w:rPr>
        <w:t xml:space="preserve">国有建设用地使用权进行了公开 </w:t>
      </w:r>
      <w:r>
        <w:rPr>
          <w:rFonts w:eastAsia="仿宋_GB2312"/>
          <w:color w:val="000000" w:themeColor="text1"/>
          <w:sz w:val="30"/>
          <w:szCs w:val="30"/>
          <w:u w:val="single"/>
        </w:rPr>
        <w:t xml:space="preserve"> （招标、拍卖、挂牌）</w:t>
      </w:r>
      <w:r>
        <w:rPr>
          <w:rFonts w:eastAsia="仿宋_GB2312"/>
          <w:color w:val="000000" w:themeColor="text1"/>
          <w:sz w:val="30"/>
          <w:szCs w:val="30"/>
        </w:rPr>
        <w:t>出让，由</w:t>
      </w:r>
      <w:r>
        <w:rPr>
          <w:rFonts w:eastAsia="仿宋_GB2312"/>
          <w:color w:val="000000" w:themeColor="text1"/>
          <w:sz w:val="30"/>
          <w:szCs w:val="30"/>
          <w:u w:val="single"/>
        </w:rPr>
        <w:t xml:space="preserve">   （竞得人）   </w:t>
      </w:r>
      <w:r>
        <w:rPr>
          <w:rFonts w:eastAsia="仿宋_GB2312"/>
          <w:color w:val="000000" w:themeColor="text1"/>
          <w:sz w:val="30"/>
          <w:szCs w:val="30"/>
        </w:rPr>
        <w:t>竞得该宗地的国有建设用地使用权。现将有关事项确认如下：</w:t>
      </w:r>
    </w:p>
    <w:p>
      <w:pPr>
        <w:numPr>
          <w:ilvl w:val="0"/>
          <w:numId w:val="2"/>
        </w:numPr>
        <w:spacing w:line="560" w:lineRule="exact"/>
        <w:ind w:firstLine="600" w:firstLineChars="200"/>
        <w:rPr>
          <w:rFonts w:eastAsia="仿宋_GB2312"/>
          <w:color w:val="000000" w:themeColor="text1"/>
          <w:sz w:val="30"/>
          <w:szCs w:val="30"/>
        </w:rPr>
      </w:pPr>
      <w:r>
        <w:rPr>
          <w:rFonts w:eastAsia="仿宋_GB2312"/>
          <w:color w:val="000000" w:themeColor="text1"/>
          <w:sz w:val="30"/>
          <w:szCs w:val="30"/>
        </w:rPr>
        <w:t>该地块面积为，成交单价为(人民币   )：，大写（人民币     ），成交总价为（人民币  ），大写（人民币    ）。</w:t>
      </w:r>
    </w:p>
    <w:p>
      <w:pPr>
        <w:spacing w:line="560" w:lineRule="exact"/>
        <w:ind w:firstLine="600" w:firstLineChars="200"/>
        <w:rPr>
          <w:rFonts w:eastAsia="仿宋_GB2312"/>
          <w:color w:val="000000" w:themeColor="text1"/>
          <w:sz w:val="30"/>
          <w:szCs w:val="30"/>
        </w:rPr>
      </w:pPr>
      <w:r>
        <w:rPr>
          <w:rFonts w:eastAsia="仿宋_GB2312"/>
          <w:color w:val="000000" w:themeColor="text1"/>
          <w:sz w:val="30"/>
          <w:szCs w:val="30"/>
        </w:rPr>
        <w:t>二、竞得人缴纳的竞买保证金自成交之日起自动转作受让地块的定金。</w:t>
      </w:r>
    </w:p>
    <w:p>
      <w:pPr>
        <w:spacing w:line="560" w:lineRule="exact"/>
        <w:ind w:firstLine="600" w:firstLineChars="200"/>
        <w:rPr>
          <w:rFonts w:eastAsia="仿宋_GB2312"/>
          <w:color w:val="000000" w:themeColor="text1"/>
          <w:sz w:val="30"/>
          <w:szCs w:val="30"/>
        </w:rPr>
      </w:pPr>
      <w:r>
        <w:rPr>
          <w:rFonts w:eastAsia="仿宋_GB2312"/>
          <w:color w:val="000000" w:themeColor="text1"/>
          <w:sz w:val="30"/>
          <w:szCs w:val="30"/>
        </w:rPr>
        <w:t>三、竞得人签订《成交确认书》后，按出让文件约定在8个工作日以内向XXXX支付交易服务费，也可由竞得人与按出让文件约定成立的新公司协商缴纳。</w:t>
      </w:r>
    </w:p>
    <w:p>
      <w:pPr>
        <w:spacing w:line="560" w:lineRule="exact"/>
        <w:ind w:firstLine="600" w:firstLineChars="200"/>
        <w:rPr>
          <w:rFonts w:eastAsia="仿宋_GB2312"/>
          <w:color w:val="000000" w:themeColor="text1"/>
          <w:sz w:val="30"/>
          <w:szCs w:val="30"/>
        </w:rPr>
      </w:pPr>
      <w:r>
        <w:rPr>
          <w:rFonts w:eastAsia="仿宋_GB2312"/>
          <w:color w:val="000000" w:themeColor="text1"/>
          <w:sz w:val="30"/>
          <w:szCs w:val="30"/>
        </w:rPr>
        <w:t>四、竞得人应在本《成交确认书》签订后10个工作日内，持本《成交确认书》与</w:t>
      </w:r>
      <w:r>
        <w:rPr>
          <w:rFonts w:eastAsia="仿宋_GB2312"/>
          <w:color w:val="000000" w:themeColor="text1"/>
          <w:sz w:val="30"/>
          <w:szCs w:val="30"/>
          <w:u w:val="single"/>
        </w:rPr>
        <w:t xml:space="preserve"> （出让人） </w:t>
      </w:r>
      <w:r>
        <w:rPr>
          <w:rFonts w:eastAsia="仿宋_GB2312"/>
          <w:color w:val="000000" w:themeColor="text1"/>
          <w:sz w:val="30"/>
          <w:szCs w:val="30"/>
        </w:rPr>
        <w:t>签订《国有建设用地使用权出让合同》；不按期签订《国有建设用地使用权出让合同》的，视为竞得人自动放弃竞得资格，</w:t>
      </w:r>
      <w:r>
        <w:rPr>
          <w:rFonts w:eastAsia="仿宋_GB2312"/>
          <w:color w:val="000000" w:themeColor="text1"/>
          <w:sz w:val="30"/>
          <w:szCs w:val="30"/>
          <w:u w:val="single"/>
        </w:rPr>
        <w:t>（出让人）</w:t>
      </w:r>
      <w:r>
        <w:rPr>
          <w:rFonts w:eastAsia="仿宋_GB2312"/>
          <w:color w:val="000000" w:themeColor="text1"/>
          <w:sz w:val="30"/>
          <w:szCs w:val="30"/>
        </w:rPr>
        <w:t>终止供地，不退还定金，并承担相应的法律责任。</w:t>
      </w:r>
    </w:p>
    <w:p>
      <w:pPr>
        <w:spacing w:line="560" w:lineRule="exact"/>
        <w:ind w:firstLine="600" w:firstLineChars="200"/>
        <w:rPr>
          <w:rFonts w:eastAsia="仿宋_GB2312"/>
          <w:color w:val="000000" w:themeColor="text1"/>
          <w:sz w:val="30"/>
          <w:szCs w:val="30"/>
        </w:rPr>
      </w:pPr>
      <w:r>
        <w:rPr>
          <w:rFonts w:eastAsia="仿宋_GB2312"/>
          <w:color w:val="000000" w:themeColor="text1"/>
          <w:sz w:val="30"/>
          <w:szCs w:val="30"/>
        </w:rPr>
        <w:t>五、本《成交确认书》一式陆份，达州市公共资源交易服务</w:t>
      </w:r>
      <w:r>
        <w:rPr>
          <w:rFonts w:hint="eastAsia" w:eastAsia="仿宋_GB2312"/>
          <w:color w:val="000000" w:themeColor="text1"/>
          <w:sz w:val="30"/>
          <w:szCs w:val="30"/>
          <w:lang w:val="en-US" w:eastAsia="zh-CN"/>
        </w:rPr>
        <w:t>中心</w:t>
      </w:r>
      <w:r>
        <w:rPr>
          <w:rFonts w:eastAsia="仿宋_GB2312"/>
          <w:color w:val="000000" w:themeColor="text1"/>
          <w:sz w:val="30"/>
          <w:szCs w:val="30"/>
        </w:rPr>
        <w:t>、出让人、竞得人各执 2 份。</w:t>
      </w:r>
    </w:p>
    <w:p>
      <w:pPr>
        <w:spacing w:line="560" w:lineRule="exact"/>
        <w:rPr>
          <w:rFonts w:eastAsia="仿宋_GB2312"/>
          <w:color w:val="000000" w:themeColor="text1"/>
          <w:sz w:val="30"/>
          <w:szCs w:val="30"/>
        </w:rPr>
      </w:pPr>
      <w:r>
        <w:rPr>
          <w:rFonts w:eastAsia="仿宋_GB2312"/>
          <w:b/>
          <w:color w:val="000000" w:themeColor="text1"/>
          <w:sz w:val="30"/>
          <w:szCs w:val="30"/>
        </w:rPr>
        <w:t>出让人</w:t>
      </w:r>
      <w:r>
        <w:rPr>
          <w:rFonts w:eastAsia="仿宋_GB2312"/>
          <w:color w:val="000000" w:themeColor="text1"/>
          <w:sz w:val="30"/>
          <w:szCs w:val="30"/>
        </w:rPr>
        <w:t>：法定代表人：                委托代理人</w:t>
      </w:r>
    </w:p>
    <w:p>
      <w:pPr>
        <w:spacing w:line="560" w:lineRule="exact"/>
        <w:rPr>
          <w:rFonts w:eastAsia="仿宋_GB2312"/>
          <w:color w:val="000000" w:themeColor="text1"/>
          <w:sz w:val="30"/>
          <w:szCs w:val="30"/>
          <w:u w:val="single"/>
        </w:rPr>
      </w:pPr>
      <w:r>
        <w:rPr>
          <w:rFonts w:eastAsia="仿宋_GB2312"/>
          <w:b/>
          <w:color w:val="000000" w:themeColor="text1"/>
          <w:sz w:val="30"/>
          <w:szCs w:val="30"/>
        </w:rPr>
        <w:t>竞得人：</w:t>
      </w:r>
      <w:r>
        <w:rPr>
          <w:rFonts w:eastAsia="仿宋_GB2312"/>
          <w:color w:val="000000" w:themeColor="text1"/>
          <w:sz w:val="30"/>
          <w:szCs w:val="30"/>
        </w:rPr>
        <w:t>联系电话：</w:t>
      </w:r>
    </w:p>
    <w:p>
      <w:pPr>
        <w:spacing w:line="560" w:lineRule="exact"/>
        <w:rPr>
          <w:rFonts w:eastAsia="仿宋_GB2312"/>
          <w:b/>
          <w:color w:val="000000" w:themeColor="text1"/>
          <w:sz w:val="30"/>
          <w:szCs w:val="30"/>
        </w:rPr>
      </w:pPr>
      <w:r>
        <w:rPr>
          <w:rFonts w:eastAsia="仿宋_GB2312"/>
          <w:b/>
          <w:color w:val="000000" w:themeColor="text1"/>
          <w:sz w:val="30"/>
          <w:szCs w:val="30"/>
        </w:rPr>
        <w:t>达州市公共资源交易服务</w:t>
      </w:r>
      <w:r>
        <w:rPr>
          <w:rFonts w:hint="eastAsia" w:eastAsia="仿宋_GB2312"/>
          <w:b/>
          <w:color w:val="000000" w:themeColor="text1"/>
          <w:sz w:val="30"/>
          <w:szCs w:val="30"/>
          <w:lang w:val="en-US" w:eastAsia="zh-CN"/>
        </w:rPr>
        <w:t>中心</w:t>
      </w:r>
      <w:r>
        <w:rPr>
          <w:rFonts w:eastAsia="仿宋_GB2312"/>
          <w:color w:val="000000" w:themeColor="text1"/>
          <w:sz w:val="30"/>
          <w:szCs w:val="30"/>
        </w:rPr>
        <w:t>：法定代表人：     委托代理人</w:t>
      </w:r>
    </w:p>
    <w:p>
      <w:pPr>
        <w:spacing w:line="560" w:lineRule="exact"/>
        <w:rPr>
          <w:rFonts w:eastAsia="仿宋_GB2312"/>
          <w:b/>
          <w:color w:val="000000" w:themeColor="text1"/>
          <w:sz w:val="30"/>
          <w:szCs w:val="30"/>
        </w:rPr>
      </w:pPr>
      <w:r>
        <w:rPr>
          <w:rFonts w:eastAsia="仿宋_GB2312"/>
          <w:b/>
          <w:color w:val="000000" w:themeColor="text1"/>
          <w:sz w:val="30"/>
          <w:szCs w:val="30"/>
        </w:rPr>
        <w:t xml:space="preserve">公证员：                    </w:t>
      </w:r>
      <w:r>
        <w:rPr>
          <w:rFonts w:eastAsia="仿宋_GB2312"/>
          <w:color w:val="000000" w:themeColor="text1"/>
          <w:sz w:val="30"/>
          <w:szCs w:val="30"/>
        </w:rPr>
        <w:t>签定时间：年   月   日</w:t>
      </w:r>
    </w:p>
    <w:p>
      <w:pPr>
        <w:pStyle w:val="25"/>
        <w:spacing w:line="560" w:lineRule="exact"/>
        <w:ind w:left="0"/>
        <w:jc w:val="left"/>
        <w:rPr>
          <w:rFonts w:eastAsia="仿宋_GB2312"/>
          <w:color w:val="000000" w:themeColor="text1"/>
          <w:sz w:val="32"/>
          <w:szCs w:val="32"/>
        </w:rPr>
        <w:sectPr>
          <w:pgSz w:w="11906" w:h="16838"/>
          <w:pgMar w:top="1418" w:right="1418" w:bottom="1418" w:left="1701" w:header="851" w:footer="992" w:gutter="0"/>
          <w:pgNumType w:fmt="numberInDash"/>
          <w:cols w:space="425" w:num="1"/>
          <w:docGrid w:type="lines" w:linePitch="312" w:charSpace="0"/>
        </w:sectPr>
      </w:pPr>
    </w:p>
    <w:p>
      <w:pPr>
        <w:pStyle w:val="25"/>
        <w:spacing w:line="600" w:lineRule="exact"/>
        <w:ind w:left="0"/>
        <w:rPr>
          <w:color w:val="000000" w:themeColor="text1"/>
        </w:rPr>
      </w:pPr>
    </w:p>
    <w:p>
      <w:pPr>
        <w:pStyle w:val="25"/>
        <w:spacing w:line="600" w:lineRule="exact"/>
        <w:rPr>
          <w:color w:val="000000" w:themeColor="text1"/>
          <w:w w:val="90"/>
          <w:sz w:val="32"/>
          <w:szCs w:val="32"/>
        </w:rPr>
      </w:pPr>
      <w:r>
        <w:rPr>
          <w:color w:val="000000" w:themeColor="text1"/>
        </w:rPr>
        <w:pict>
          <v:shape id="AutoShape 6" o:spid="_x0000_s1028" o:spt="100" style="position:absolute;left:0pt;margin-left:0pt;margin-top:0pt;height:50pt;width:50pt;visibility:hidden;z-index:251662336;mso-width-relative:page;mso-height-relative:page;" coordsize="20000,20000" o:gfxdata="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9+BpCNEAAAAF&#10;AQAADwAAAAAAAAABACAAAAAiAAAAZHJzL2Rvd25yZXYueG1sUEsBAhQAFAAAAAgAh07iQMES+lWV&#10;AgAAAwcAAA4AAAAAAAAAAQAgAAAAIAEAAGRycy9lMm9Eb2MueG1sUEsFBgAAAAAGAAYAWQEAACcG&#10;AAAAAA==&#10;" path="m10800,10800l0,0,0,0,10800,10800,10800,10800,0,0,0,0,0,0,0,0,0,0,0,0xe">
            <v:path textboxrect="0,0,20000,20000" o:connecttype="segments"/>
            <v:fill focussize="0,0"/>
            <v:stroke joinstyle="round"/>
            <v:imagedata o:title=""/>
            <o:lock v:ext="edit" selection="t"/>
            <v:textbox>
              <w:txbxContent>
                <w:p/>
              </w:txbxContent>
            </v:textbox>
          </v:shape>
        </w:pict>
      </w:r>
      <w:r>
        <w:rPr>
          <w:rFonts w:eastAsia="黑体"/>
          <w:color w:val="000000" w:themeColor="text1"/>
          <w:sz w:val="36"/>
          <w:szCs w:val="36"/>
        </w:rPr>
        <w:drawing>
          <wp:inline distT="0" distB="0" distL="0" distR="0">
            <wp:extent cx="1590675" cy="381000"/>
            <wp:effectExtent l="0" t="0" r="0" b="0"/>
            <wp:docPr id="9" name="图片 2" descr="0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0300000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590675" cy="381000"/>
                    </a:xfrm>
                    <a:prstGeom prst="rect">
                      <a:avLst/>
                    </a:prstGeom>
                    <a:solidFill>
                      <a:srgbClr val="FFFFFF"/>
                    </a:solidFill>
                    <a:ln>
                      <a:noFill/>
                    </a:ln>
                  </pic:spPr>
                </pic:pic>
              </a:graphicData>
            </a:graphic>
          </wp:inline>
        </w:drawing>
      </w:r>
    </w:p>
    <w:p>
      <w:pPr>
        <w:pStyle w:val="4"/>
        <w:wordWrap w:val="0"/>
        <w:jc w:val="right"/>
        <w:rPr>
          <w:rFonts w:ascii="Times New Roman" w:hAnsi="Times New Roman"/>
          <w:color w:val="000000" w:themeColor="text1"/>
        </w:rPr>
      </w:pPr>
      <w:r>
        <w:rPr>
          <w:rFonts w:ascii="Times New Roman" w:hAnsi="Times New Roman"/>
          <w:color w:val="000000" w:themeColor="text1"/>
        </w:rPr>
        <w:t>电子监管号：</w:t>
      </w:r>
    </w:p>
    <w:p>
      <w:pPr>
        <w:pStyle w:val="4"/>
        <w:rPr>
          <w:rFonts w:ascii="Times New Roman" w:hAnsi="Times New Roman"/>
          <w:color w:val="000000" w:themeColor="text1"/>
        </w:rPr>
      </w:pPr>
    </w:p>
    <w:p>
      <w:pPr>
        <w:pStyle w:val="4"/>
        <w:rPr>
          <w:rFonts w:ascii="Times New Roman" w:hAnsi="Times New Roman" w:eastAsia="黑体"/>
          <w:color w:val="000000" w:themeColor="text1"/>
        </w:rPr>
      </w:pPr>
      <w:r>
        <w:rPr>
          <w:rFonts w:ascii="Times New Roman" w:hAnsi="Times New Roman" w:eastAsia="黑体"/>
          <w:color w:val="000000" w:themeColor="text1"/>
        </w:rPr>
        <w:t>（样本）</w:t>
      </w:r>
    </w:p>
    <w:p>
      <w:pPr>
        <w:pStyle w:val="4"/>
        <w:rPr>
          <w:rStyle w:val="19"/>
          <w:rFonts w:ascii="Times New Roman" w:hAnsi="Times New Roman"/>
          <w:color w:val="000000" w:themeColor="text1"/>
        </w:rPr>
      </w:pPr>
    </w:p>
    <w:p>
      <w:pPr>
        <w:pStyle w:val="4"/>
        <w:rPr>
          <w:rStyle w:val="19"/>
          <w:rFonts w:ascii="Times New Roman" w:hAnsi="Times New Roman"/>
          <w:color w:val="000000" w:themeColor="text1"/>
        </w:rPr>
      </w:pPr>
    </w:p>
    <w:p>
      <w:pPr>
        <w:pStyle w:val="2"/>
        <w:jc w:val="center"/>
        <w:rPr>
          <w:rFonts w:eastAsia="宋体"/>
          <w:color w:val="000000" w:themeColor="text1"/>
          <w:sz w:val="18"/>
          <w:szCs w:val="18"/>
        </w:rPr>
      </w:pPr>
      <w:bookmarkStart w:id="19" w:name="_Toc3391980"/>
      <w:bookmarkStart w:id="20" w:name="_Toc3391751"/>
      <w:r>
        <w:rPr>
          <w:rFonts w:eastAsia="宋体"/>
          <w:color w:val="000000" w:themeColor="text1"/>
        </w:rPr>
        <w:t>国有建设用地使用权出让合同</w:t>
      </w:r>
      <w:bookmarkEnd w:id="19"/>
      <w:bookmarkEnd w:id="20"/>
    </w:p>
    <w:p>
      <w:pPr>
        <w:pStyle w:val="4"/>
        <w:rPr>
          <w:rFonts w:ascii="Times New Roman" w:hAnsi="Times New Roman"/>
          <w:b/>
          <w:bCs/>
          <w:color w:val="000000" w:themeColor="text1"/>
          <w:sz w:val="18"/>
          <w:szCs w:val="18"/>
        </w:rPr>
      </w:pPr>
    </w:p>
    <w:p>
      <w:pPr>
        <w:pStyle w:val="4"/>
        <w:rPr>
          <w:rFonts w:ascii="Times New Roman" w:hAnsi="Times New Roman"/>
          <w:color w:val="000000" w:themeColor="text1"/>
          <w:sz w:val="48"/>
          <w:szCs w:val="48"/>
        </w:rPr>
      </w:pPr>
    </w:p>
    <w:p>
      <w:pPr>
        <w:pStyle w:val="4"/>
        <w:rPr>
          <w:rFonts w:ascii="Times New Roman" w:hAnsi="Times New Roman"/>
          <w:color w:val="000000" w:themeColor="text1"/>
          <w:sz w:val="48"/>
          <w:szCs w:val="48"/>
        </w:rPr>
      </w:pPr>
    </w:p>
    <w:p>
      <w:pPr>
        <w:pStyle w:val="4"/>
        <w:rPr>
          <w:rFonts w:ascii="Times New Roman" w:hAnsi="Times New Roman"/>
          <w:color w:val="000000" w:themeColor="text1"/>
          <w:sz w:val="48"/>
          <w:szCs w:val="48"/>
        </w:rPr>
      </w:pPr>
    </w:p>
    <w:p>
      <w:pPr>
        <w:pStyle w:val="4"/>
        <w:rPr>
          <w:rFonts w:ascii="Times New Roman" w:hAnsi="Times New Roman"/>
          <w:color w:val="000000" w:themeColor="text1"/>
          <w:sz w:val="48"/>
          <w:szCs w:val="48"/>
        </w:rPr>
      </w:pPr>
    </w:p>
    <w:p>
      <w:pPr>
        <w:pStyle w:val="4"/>
        <w:rPr>
          <w:rFonts w:ascii="Times New Roman" w:hAnsi="Times New Roman"/>
          <w:color w:val="000000" w:themeColor="text1"/>
          <w:sz w:val="48"/>
          <w:szCs w:val="48"/>
        </w:rPr>
      </w:pPr>
    </w:p>
    <w:p>
      <w:pPr>
        <w:pStyle w:val="4"/>
        <w:rPr>
          <w:rFonts w:ascii="Times New Roman" w:hAnsi="Times New Roman"/>
          <w:color w:val="000000" w:themeColor="text1"/>
          <w:sz w:val="48"/>
          <w:szCs w:val="48"/>
        </w:rPr>
      </w:pPr>
    </w:p>
    <w:p>
      <w:pPr>
        <w:pStyle w:val="4"/>
        <w:rPr>
          <w:rFonts w:ascii="Times New Roman" w:hAnsi="Times New Roman"/>
          <w:color w:val="000000" w:themeColor="text1"/>
          <w:sz w:val="48"/>
          <w:szCs w:val="48"/>
        </w:rPr>
      </w:pPr>
    </w:p>
    <w:p>
      <w:pPr>
        <w:pStyle w:val="4"/>
        <w:rPr>
          <w:rFonts w:ascii="Times New Roman" w:hAnsi="Times New Roman"/>
          <w:color w:val="000000" w:themeColor="text1"/>
          <w:sz w:val="48"/>
          <w:szCs w:val="48"/>
        </w:rPr>
      </w:pPr>
    </w:p>
    <w:p>
      <w:pPr>
        <w:pStyle w:val="4"/>
        <w:rPr>
          <w:rFonts w:ascii="Times New Roman" w:hAnsi="Times New Roman"/>
          <w:color w:val="000000" w:themeColor="text1"/>
          <w:sz w:val="48"/>
          <w:szCs w:val="48"/>
        </w:rPr>
      </w:pPr>
    </w:p>
    <w:p>
      <w:pPr>
        <w:pStyle w:val="4"/>
        <w:rPr>
          <w:rFonts w:ascii="Times New Roman" w:hAnsi="Times New Roman"/>
          <w:color w:val="000000" w:themeColor="text1"/>
          <w:sz w:val="48"/>
          <w:szCs w:val="48"/>
        </w:rPr>
      </w:pPr>
    </w:p>
    <w:p>
      <w:pPr>
        <w:pStyle w:val="4"/>
        <w:spacing w:line="500" w:lineRule="exact"/>
        <w:jc w:val="left"/>
        <w:rPr>
          <w:rFonts w:ascii="Times New Roman" w:hAnsi="Times New Roman"/>
          <w:bCs/>
          <w:color w:val="000000" w:themeColor="text1"/>
        </w:rPr>
      </w:pPr>
      <w:r>
        <w:rPr>
          <w:rFonts w:ascii="Times New Roman" w:hAnsi="Times New Roman"/>
          <w:color w:val="000000" w:themeColor="text1"/>
        </w:rPr>
        <w:pict>
          <v:rect id="Rectangle 7" o:spid="_x0000_s1029" o:spt="1" style="position:absolute;left:0pt;margin-left:319.5pt;margin-top:11.85pt;height:35.1pt;width:48.75pt;z-index:251663360;mso-width-relative:page;mso-height-relative:page;" stroked="t" coordsize="21600,21600" o:gfxdata="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wcFubYAAAACQEAAA8AAAAAAAAAAQAgAAAAIgAAAGRycy9kb3ducmV2LnhtbFBLAQIU&#10;ABQAAAAIAIdO4kDeLVxmLAIAAIsEAAAOAAAAAAAAAAEAIAAAACcBAABkcnMvZTJvRG9jLnhtbFBL&#10;BQYAAAAABgAGAFkBAADFBQAAAAA=&#10;">
            <v:path/>
            <v:fill focussize="0,0"/>
            <v:stroke color="#FFFFFF"/>
            <v:imagedata o:title=""/>
            <o:lock v:ext="edit"/>
            <v:textbox>
              <w:txbxContent>
                <w:p>
                  <w:pPr>
                    <w:rPr>
                      <w:rFonts w:ascii="方正黑体_GBK" w:eastAsia="方正黑体_GBK"/>
                    </w:rPr>
                  </w:pPr>
                  <w:r>
                    <w:rPr>
                      <w:rFonts w:hint="eastAsia" w:ascii="方正黑体_GBK" w:eastAsia="方正黑体_GBK"/>
                    </w:rPr>
                    <w:t>制定</w:t>
                  </w:r>
                </w:p>
              </w:txbxContent>
            </v:textbox>
          </v:rect>
        </w:pict>
      </w:r>
      <w:r>
        <w:rPr>
          <w:rFonts w:ascii="Times New Roman" w:hAnsi="Times New Roman"/>
          <w:color w:val="000000" w:themeColor="text1"/>
        </w:rPr>
        <w:pict>
          <v:rect id="Rectangle 8" o:spid="_x0000_s1030" o:spt="1" style="position:absolute;left:0pt;margin-left:36pt;margin-top:0pt;height:62.4pt;width:288pt;z-index:251664384;mso-width-relative:page;mso-height-relative:page;" stroked="t" coordsize="21600,21600" o:gfxdata="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g94yk1QAAAAcBAAAPAAAAAAAAAAEAIAAAACIAAABkcnMvZG93bnJldi54bWxQ&#10;SwECFAAUAAAACACHTuJA85BgqDMCAACMBAAADgAAAAAAAAABACAAAAAkAQAAZHJzL2Uyb0RvYy54&#10;bWxQSwUGAAAAAAYABgBZAQAAyQUAAAAA&#10;">
            <v:path/>
            <v:fill focussize="0,0"/>
            <v:stroke color="#FFFFFF"/>
            <v:imagedata o:title=""/>
            <o:lock v:ext="edit"/>
            <v:textbox>
              <w:txbxContent>
                <w:p>
                  <w:pPr>
                    <w:spacing w:line="500" w:lineRule="exact"/>
                    <w:rPr>
                      <w:rFonts w:ascii="方正黑体_GBK" w:hAnsi="宋体" w:eastAsia="方正黑体_GBK"/>
                      <w:bCs/>
                    </w:rPr>
                  </w:pPr>
                  <w:r>
                    <w:rPr>
                      <w:rFonts w:hint="eastAsia" w:ascii="方正黑体_GBK" w:hAnsi="宋体" w:eastAsia="方正黑体_GBK"/>
                      <w:bCs/>
                      <w:spacing w:val="72"/>
                    </w:rPr>
                    <w:t>中华人民共和国国土资源</w:t>
                  </w:r>
                  <w:r>
                    <w:rPr>
                      <w:rFonts w:hint="eastAsia" w:ascii="方正黑体_GBK" w:hAnsi="宋体" w:eastAsia="方正黑体_GBK"/>
                      <w:bCs/>
                    </w:rPr>
                    <w:t>部</w:t>
                  </w:r>
                </w:p>
                <w:p>
                  <w:pPr>
                    <w:spacing w:line="500" w:lineRule="exact"/>
                    <w:rPr>
                      <w:rFonts w:ascii="方正黑体_GBK" w:eastAsia="方正黑体_GBK"/>
                    </w:rPr>
                  </w:pPr>
                  <w:r>
                    <w:rPr>
                      <w:rFonts w:hint="eastAsia" w:ascii="方正黑体_GBK" w:hAnsi="宋体" w:eastAsia="方正黑体_GBK"/>
                      <w:bCs/>
                    </w:rPr>
                    <w:t>中华人民共和国国家工商行政管理总局</w:t>
                  </w:r>
                </w:p>
              </w:txbxContent>
            </v:textbox>
          </v:rect>
        </w:pict>
      </w:r>
    </w:p>
    <w:p>
      <w:pPr>
        <w:pStyle w:val="4"/>
        <w:spacing w:line="500" w:lineRule="exact"/>
        <w:jc w:val="left"/>
        <w:rPr>
          <w:rFonts w:ascii="Times New Roman" w:hAnsi="Times New Roman"/>
          <w:b/>
          <w:bCs/>
          <w:color w:val="000000" w:themeColor="text1"/>
          <w:sz w:val="36"/>
          <w:szCs w:val="36"/>
        </w:rPr>
      </w:pPr>
    </w:p>
    <w:p>
      <w:pPr>
        <w:pStyle w:val="4"/>
        <w:spacing w:line="578" w:lineRule="exact"/>
        <w:ind w:right="640"/>
        <w:jc w:val="right"/>
        <w:rPr>
          <w:rFonts w:ascii="Times New Roman" w:hAnsi="Times New Roman"/>
          <w:color w:val="000000" w:themeColor="text1"/>
          <w:sz w:val="28"/>
          <w:szCs w:val="28"/>
        </w:rPr>
      </w:pPr>
    </w:p>
    <w:p>
      <w:pPr>
        <w:pStyle w:val="4"/>
        <w:spacing w:line="578" w:lineRule="exact"/>
        <w:ind w:right="640"/>
        <w:jc w:val="right"/>
        <w:rPr>
          <w:rFonts w:ascii="Times New Roman" w:hAnsi="Times New Roman"/>
          <w:color w:val="000000" w:themeColor="text1"/>
          <w:sz w:val="28"/>
          <w:szCs w:val="28"/>
          <w:u w:val="single"/>
        </w:rPr>
      </w:pPr>
      <w:r>
        <w:rPr>
          <w:rFonts w:ascii="Times New Roman" w:hAnsi="Times New Roman"/>
          <w:color w:val="000000" w:themeColor="text1"/>
          <w:sz w:val="28"/>
          <w:szCs w:val="28"/>
        </w:rPr>
        <w:t>合同编号：</w:t>
      </w:r>
    </w:p>
    <w:p>
      <w:pPr>
        <w:pStyle w:val="4"/>
        <w:spacing w:line="578" w:lineRule="exact"/>
        <w:jc w:val="center"/>
        <w:rPr>
          <w:rFonts w:ascii="Times New Roman" w:hAnsi="Times New Roman" w:eastAsia="方正小标宋简体"/>
          <w:color w:val="000000" w:themeColor="text1"/>
          <w:sz w:val="44"/>
          <w:szCs w:val="44"/>
        </w:rPr>
      </w:pPr>
    </w:p>
    <w:p>
      <w:pPr>
        <w:pStyle w:val="4"/>
        <w:spacing w:line="578" w:lineRule="exact"/>
        <w:jc w:val="center"/>
        <w:rPr>
          <w:rFonts w:ascii="Times New Roman" w:hAnsi="Times New Roman" w:eastAsia="方正小标宋简体"/>
          <w:color w:val="000000" w:themeColor="text1"/>
          <w:sz w:val="44"/>
          <w:szCs w:val="44"/>
        </w:rPr>
      </w:pPr>
      <w:r>
        <w:rPr>
          <w:rFonts w:ascii="Times New Roman" w:hAnsi="Times New Roman" w:eastAsia="方正小标宋简体"/>
          <w:color w:val="000000" w:themeColor="text1"/>
          <w:sz w:val="44"/>
          <w:szCs w:val="44"/>
        </w:rPr>
        <w:t>国有建设用地使用权出让合同</w:t>
      </w:r>
    </w:p>
    <w:p>
      <w:pPr>
        <w:pStyle w:val="4"/>
        <w:spacing w:line="578" w:lineRule="exact"/>
        <w:jc w:val="center"/>
        <w:rPr>
          <w:rFonts w:ascii="Times New Roman" w:hAnsi="Times New Roman"/>
          <w:color w:val="000000" w:themeColor="text1"/>
          <w:sz w:val="28"/>
          <w:szCs w:val="28"/>
        </w:rPr>
      </w:pPr>
    </w:p>
    <w:p>
      <w:pPr>
        <w:pStyle w:val="4"/>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本合同双方当事人：</w:t>
      </w:r>
    </w:p>
    <w:p>
      <w:pPr>
        <w:pStyle w:val="4"/>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出让人：；</w:t>
      </w:r>
    </w:p>
    <w:p>
      <w:pPr>
        <w:pStyle w:val="4"/>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通讯地址：；</w:t>
      </w:r>
    </w:p>
    <w:p>
      <w:pPr>
        <w:pStyle w:val="4"/>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邮政编码：；</w:t>
      </w:r>
    </w:p>
    <w:p>
      <w:pPr>
        <w:pStyle w:val="4"/>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电话：；</w:t>
      </w:r>
    </w:p>
    <w:p>
      <w:pPr>
        <w:pStyle w:val="4"/>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传真：；</w:t>
      </w:r>
    </w:p>
    <w:p>
      <w:pPr>
        <w:pStyle w:val="4"/>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开户银行：；</w:t>
      </w:r>
    </w:p>
    <w:p>
      <w:pPr>
        <w:pStyle w:val="4"/>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账号：。</w:t>
      </w:r>
    </w:p>
    <w:p>
      <w:pPr>
        <w:pStyle w:val="4"/>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受让人：；</w:t>
      </w:r>
    </w:p>
    <w:p>
      <w:pPr>
        <w:pStyle w:val="4"/>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通讯地址：；</w:t>
      </w:r>
    </w:p>
    <w:p>
      <w:pPr>
        <w:pStyle w:val="4"/>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邮政编码：；</w:t>
      </w:r>
    </w:p>
    <w:p>
      <w:pPr>
        <w:pStyle w:val="4"/>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电话：；</w:t>
      </w:r>
    </w:p>
    <w:p>
      <w:pPr>
        <w:pStyle w:val="4"/>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传真：；</w:t>
      </w:r>
    </w:p>
    <w:p>
      <w:pPr>
        <w:pStyle w:val="4"/>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开户银行：；</w:t>
      </w:r>
    </w:p>
    <w:p>
      <w:pPr>
        <w:pStyle w:val="4"/>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账号：。</w:t>
      </w:r>
    </w:p>
    <w:p>
      <w:pPr>
        <w:pStyle w:val="4"/>
        <w:spacing w:line="578" w:lineRule="exact"/>
        <w:rPr>
          <w:rFonts w:ascii="Times New Roman" w:hAnsi="Times New Roman"/>
          <w:color w:val="000000" w:themeColor="text1"/>
          <w:sz w:val="28"/>
          <w:szCs w:val="28"/>
        </w:rPr>
      </w:pPr>
    </w:p>
    <w:p>
      <w:pPr>
        <w:pStyle w:val="4"/>
        <w:spacing w:line="578" w:lineRule="exact"/>
        <w:rPr>
          <w:rFonts w:ascii="Times New Roman" w:hAnsi="Times New Roman"/>
          <w:color w:val="000000" w:themeColor="text1"/>
          <w:sz w:val="28"/>
          <w:szCs w:val="28"/>
        </w:rPr>
      </w:pPr>
    </w:p>
    <w:p>
      <w:pPr>
        <w:pStyle w:val="4"/>
        <w:spacing w:line="578" w:lineRule="exact"/>
        <w:rPr>
          <w:rFonts w:ascii="Times New Roman" w:hAnsi="Times New Roman"/>
          <w:color w:val="000000" w:themeColor="text1"/>
          <w:sz w:val="28"/>
          <w:szCs w:val="28"/>
        </w:rPr>
      </w:pPr>
    </w:p>
    <w:p>
      <w:pPr>
        <w:pStyle w:val="4"/>
        <w:spacing w:line="578" w:lineRule="exact"/>
        <w:jc w:val="center"/>
        <w:rPr>
          <w:rFonts w:ascii="Times New Roman" w:hAnsi="Times New Roman"/>
          <w:color w:val="000000" w:themeColor="text1"/>
          <w:sz w:val="28"/>
          <w:szCs w:val="28"/>
        </w:rPr>
      </w:pPr>
    </w:p>
    <w:p>
      <w:pPr>
        <w:pStyle w:val="4"/>
        <w:spacing w:line="578" w:lineRule="exact"/>
        <w:jc w:val="center"/>
        <w:rPr>
          <w:rFonts w:ascii="Times New Roman" w:hAnsi="Times New Roman"/>
          <w:color w:val="000000" w:themeColor="text1"/>
          <w:sz w:val="28"/>
          <w:szCs w:val="28"/>
        </w:rPr>
      </w:pPr>
    </w:p>
    <w:p>
      <w:pPr>
        <w:pStyle w:val="4"/>
        <w:spacing w:line="578" w:lineRule="exact"/>
        <w:jc w:val="center"/>
        <w:rPr>
          <w:rFonts w:ascii="Times New Roman" w:hAnsi="Times New Roman"/>
          <w:color w:val="000000" w:themeColor="text1"/>
          <w:sz w:val="28"/>
          <w:szCs w:val="28"/>
        </w:rPr>
      </w:pPr>
    </w:p>
    <w:p>
      <w:pPr>
        <w:pStyle w:val="4"/>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第一章总则</w:t>
      </w:r>
    </w:p>
    <w:p>
      <w:pPr>
        <w:pStyle w:val="4"/>
        <w:spacing w:line="578" w:lineRule="exact"/>
        <w:jc w:val="center"/>
        <w:rPr>
          <w:rFonts w:ascii="Times New Roman" w:hAnsi="Times New Roman"/>
          <w:color w:val="000000" w:themeColor="text1"/>
          <w:sz w:val="28"/>
          <w:szCs w:val="28"/>
        </w:rPr>
      </w:pPr>
    </w:p>
    <w:p>
      <w:pPr>
        <w:pStyle w:val="4"/>
        <w:spacing w:line="578" w:lineRule="exact"/>
        <w:ind w:firstLine="551" w:firstLineChars="196"/>
        <w:rPr>
          <w:rFonts w:ascii="Times New Roman" w:hAnsi="Times New Roman"/>
          <w:color w:val="000000" w:themeColor="text1"/>
          <w:sz w:val="28"/>
          <w:szCs w:val="28"/>
        </w:rPr>
      </w:pPr>
      <w:r>
        <w:rPr>
          <w:rFonts w:ascii="Times New Roman" w:hAnsi="Times New Roman"/>
          <w:b/>
          <w:bCs/>
          <w:color w:val="000000" w:themeColor="text1"/>
          <w:sz w:val="28"/>
          <w:szCs w:val="28"/>
        </w:rPr>
        <w:t>第一条</w:t>
      </w:r>
      <w:r>
        <w:rPr>
          <w:rFonts w:ascii="Times New Roman" w:hAnsi="Times New Roman"/>
          <w:color w:val="000000" w:themeColor="text1"/>
          <w:sz w:val="28"/>
          <w:szCs w:val="28"/>
        </w:rPr>
        <w:t>根据《中华人民共和国物权法》、《中华人民共和国合同法》、《中华人民共和国土地管理法》、《中华人民共和国城市房地产管理法》等法律、有关行政法规及土地供应政策规定，双方本着平等、自愿、有偿、诚实信用的原则，订立本合同。</w:t>
      </w:r>
    </w:p>
    <w:p>
      <w:pPr>
        <w:pStyle w:val="4"/>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第二条</w:t>
      </w:r>
      <w:r>
        <w:rPr>
          <w:rFonts w:ascii="Times New Roman" w:hAnsi="Times New Roman"/>
          <w:color w:val="000000" w:themeColor="text1"/>
          <w:sz w:val="28"/>
          <w:szCs w:val="28"/>
        </w:rPr>
        <w:t>出让土地的所有权属中华人民共和国，出让人根据法律的授权出让国有建设用地使用权，地下资源、埋藏物不属于国有建设用地使用权出让范围。</w:t>
      </w:r>
    </w:p>
    <w:p>
      <w:pPr>
        <w:pStyle w:val="4"/>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第三条</w:t>
      </w:r>
      <w:r>
        <w:rPr>
          <w:rFonts w:ascii="Times New Roman" w:hAnsi="Times New Roman"/>
          <w:color w:val="000000" w:themeColor="text1"/>
          <w:sz w:val="28"/>
          <w:szCs w:val="28"/>
        </w:rPr>
        <w:t>受让人对依法取得的国有建设用地，在出让期限内享有占有、使用、收益和依法处置的权利，有权利用该土地依法建造建筑物、构筑物及其附属设施。</w:t>
      </w:r>
    </w:p>
    <w:p>
      <w:pPr>
        <w:pStyle w:val="4"/>
        <w:spacing w:line="578" w:lineRule="exact"/>
        <w:ind w:firstLine="560" w:firstLineChars="200"/>
        <w:rPr>
          <w:rFonts w:ascii="Times New Roman" w:hAnsi="Times New Roman"/>
          <w:color w:val="000000" w:themeColor="text1"/>
          <w:sz w:val="28"/>
          <w:szCs w:val="28"/>
        </w:rPr>
      </w:pPr>
    </w:p>
    <w:p>
      <w:pPr>
        <w:pStyle w:val="4"/>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第二章出让土地的交付与出让价款的缴纳</w:t>
      </w:r>
    </w:p>
    <w:p>
      <w:pPr>
        <w:pStyle w:val="4"/>
        <w:spacing w:line="578" w:lineRule="exact"/>
        <w:jc w:val="center"/>
        <w:rPr>
          <w:rFonts w:ascii="Times New Roman" w:hAnsi="Times New Roman"/>
          <w:color w:val="000000" w:themeColor="text1"/>
          <w:sz w:val="28"/>
          <w:szCs w:val="28"/>
        </w:rPr>
      </w:pPr>
    </w:p>
    <w:p>
      <w:pPr>
        <w:pStyle w:val="4"/>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第四条</w:t>
      </w:r>
      <w:r>
        <w:rPr>
          <w:rFonts w:ascii="Times New Roman" w:hAnsi="Times New Roman"/>
          <w:color w:val="000000" w:themeColor="text1"/>
          <w:sz w:val="28"/>
          <w:szCs w:val="28"/>
        </w:rPr>
        <w:t>本合同项下出让宗地编号为，宗地总面积大写平方米（小写平方米），其中出让宗地面积为大写平方米（小写平方米）。</w:t>
      </w:r>
    </w:p>
    <w:p>
      <w:pPr>
        <w:pStyle w:val="4"/>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本合同项下的出让宗地坐落于。</w:t>
      </w:r>
    </w:p>
    <w:p>
      <w:pPr>
        <w:pStyle w:val="4"/>
        <w:spacing w:line="578" w:lineRule="exact"/>
        <w:ind w:firstLine="560" w:firstLineChars="200"/>
        <w:rPr>
          <w:rFonts w:ascii="Times New Roman" w:hAnsi="Times New Roman"/>
          <w:color w:val="000000" w:themeColor="text1"/>
          <w:sz w:val="28"/>
          <w:szCs w:val="28"/>
          <w:u w:val="single"/>
        </w:rPr>
      </w:pPr>
      <w:r>
        <w:rPr>
          <w:rFonts w:ascii="Times New Roman" w:hAnsi="Times New Roman"/>
          <w:color w:val="000000" w:themeColor="text1"/>
          <w:sz w:val="28"/>
          <w:szCs w:val="28"/>
        </w:rPr>
        <w:t>本合同项下出让宗地的平面界址为；出让宗地的平面界址图见附件1。</w:t>
      </w:r>
    </w:p>
    <w:p>
      <w:pPr>
        <w:pStyle w:val="4"/>
        <w:spacing w:line="578" w:lineRule="exact"/>
        <w:ind w:firstLine="560" w:firstLineChars="200"/>
        <w:rPr>
          <w:rFonts w:ascii="Times New Roman" w:hAnsi="Times New Roman"/>
          <w:color w:val="000000" w:themeColor="text1"/>
          <w:sz w:val="28"/>
          <w:szCs w:val="28"/>
          <w:u w:val="single"/>
        </w:rPr>
      </w:pPr>
      <w:r>
        <w:rPr>
          <w:rFonts w:ascii="Times New Roman" w:hAnsi="Times New Roman"/>
          <w:color w:val="000000" w:themeColor="text1"/>
          <w:sz w:val="28"/>
          <w:szCs w:val="28"/>
        </w:rPr>
        <w:t>本合同项下出让宗地的竖向界限以为上界限，以为下界限，高差为米。出让宗地竖向界限见附件2。</w:t>
      </w:r>
    </w:p>
    <w:p>
      <w:pPr>
        <w:pStyle w:val="4"/>
        <w:spacing w:line="578" w:lineRule="exact"/>
        <w:ind w:firstLine="560" w:firstLineChars="200"/>
        <w:rPr>
          <w:rFonts w:ascii="Times New Roman" w:hAnsi="Times New Roman"/>
          <w:color w:val="000000" w:themeColor="text1"/>
          <w:sz w:val="28"/>
          <w:szCs w:val="28"/>
          <w:u w:val="single"/>
        </w:rPr>
      </w:pPr>
      <w:r>
        <w:rPr>
          <w:rFonts w:ascii="Times New Roman" w:hAnsi="Times New Roman"/>
          <w:color w:val="000000" w:themeColor="text1"/>
          <w:sz w:val="28"/>
          <w:szCs w:val="28"/>
        </w:rPr>
        <w:t>出让宗地空间范围是以上述界址点所构成的垂直面和上、下界限高程平面封闭形成的空间范围。</w:t>
      </w:r>
    </w:p>
    <w:p>
      <w:pPr>
        <w:pStyle w:val="4"/>
        <w:tabs>
          <w:tab w:val="left" w:pos="1260"/>
        </w:tabs>
        <w:spacing w:line="578" w:lineRule="exact"/>
        <w:ind w:firstLine="562" w:firstLineChars="200"/>
        <w:rPr>
          <w:rFonts w:ascii="Times New Roman" w:hAnsi="Times New Roman"/>
          <w:color w:val="000000" w:themeColor="text1"/>
          <w:sz w:val="28"/>
          <w:szCs w:val="28"/>
          <w:u w:val="single"/>
        </w:rPr>
      </w:pPr>
      <w:r>
        <w:rPr>
          <w:rFonts w:ascii="Times New Roman" w:hAnsi="Times New Roman"/>
          <w:b/>
          <w:bCs/>
          <w:color w:val="000000" w:themeColor="text1"/>
          <w:sz w:val="28"/>
          <w:szCs w:val="28"/>
        </w:rPr>
        <w:t>第五条</w:t>
      </w:r>
      <w:r>
        <w:rPr>
          <w:rFonts w:ascii="Times New Roman" w:hAnsi="Times New Roman"/>
          <w:color w:val="000000" w:themeColor="text1"/>
          <w:sz w:val="28"/>
          <w:szCs w:val="28"/>
        </w:rPr>
        <w:t>本合同项下出让宗地的用途为</w:t>
      </w:r>
      <w:r>
        <w:rPr>
          <w:rFonts w:ascii="Times New Roman" w:hAnsi="Times New Roman"/>
          <w:color w:val="000000" w:themeColor="text1"/>
          <w:sz w:val="28"/>
          <w:szCs w:val="28"/>
          <w:u w:val="single"/>
        </w:rPr>
        <w:t>：</w:t>
      </w:r>
      <w:r>
        <w:rPr>
          <w:rFonts w:ascii="Times New Roman" w:hAnsi="Times New Roman"/>
          <w:color w:val="000000" w:themeColor="text1"/>
          <w:sz w:val="28"/>
          <w:szCs w:val="28"/>
        </w:rPr>
        <w:t>。</w:t>
      </w:r>
    </w:p>
    <w:p>
      <w:pPr>
        <w:pStyle w:val="4"/>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第六条</w:t>
      </w:r>
      <w:r>
        <w:rPr>
          <w:rFonts w:ascii="Times New Roman" w:hAnsi="Times New Roman"/>
          <w:color w:val="000000" w:themeColor="text1"/>
          <w:sz w:val="28"/>
          <w:szCs w:val="28"/>
        </w:rPr>
        <w:t>出让人同意在年月日前将出让宗地交付给受让人，出让人同意在交付土地时该宗地应达到本条第</w:t>
      </w:r>
      <w:r>
        <w:rPr>
          <w:rFonts w:ascii="Times New Roman" w:hAnsi="Times New Roman"/>
          <w:color w:val="000000" w:themeColor="text1"/>
          <w:sz w:val="28"/>
          <w:szCs w:val="28"/>
          <w:u w:val="single"/>
        </w:rPr>
        <w:t xml:space="preserve"> (二) </w:t>
      </w:r>
      <w:r>
        <w:rPr>
          <w:rFonts w:ascii="Times New Roman" w:hAnsi="Times New Roman"/>
          <w:color w:val="000000" w:themeColor="text1"/>
          <w:sz w:val="28"/>
          <w:szCs w:val="28"/>
        </w:rPr>
        <w:t>项规定的土地条件：</w:t>
      </w:r>
    </w:p>
    <w:p>
      <w:pPr>
        <w:pStyle w:val="4"/>
        <w:spacing w:line="578" w:lineRule="exact"/>
        <w:ind w:firstLine="560" w:firstLineChars="200"/>
        <w:rPr>
          <w:rFonts w:ascii="Times New Roman" w:hAnsi="Times New Roman"/>
          <w:color w:val="000000" w:themeColor="text1"/>
          <w:sz w:val="28"/>
          <w:szCs w:val="28"/>
          <w:u w:val="single"/>
        </w:rPr>
      </w:pPr>
      <w:r>
        <w:rPr>
          <w:rFonts w:ascii="Times New Roman" w:hAnsi="Times New Roman"/>
          <w:color w:val="000000" w:themeColor="text1"/>
          <w:sz w:val="28"/>
          <w:szCs w:val="28"/>
        </w:rPr>
        <w:t>（一）场地平整达到；</w:t>
      </w:r>
    </w:p>
    <w:p>
      <w:pPr>
        <w:pStyle w:val="4"/>
        <w:spacing w:line="578" w:lineRule="exact"/>
        <w:ind w:firstLine="560" w:firstLineChars="200"/>
        <w:rPr>
          <w:rFonts w:ascii="Times New Roman" w:hAnsi="Times New Roman"/>
          <w:color w:val="000000" w:themeColor="text1"/>
          <w:sz w:val="28"/>
          <w:szCs w:val="28"/>
          <w:u w:val="single"/>
        </w:rPr>
      </w:pPr>
      <w:r>
        <w:rPr>
          <w:rFonts w:ascii="Times New Roman" w:hAnsi="Times New Roman"/>
          <w:color w:val="000000" w:themeColor="text1"/>
          <w:sz w:val="28"/>
          <w:szCs w:val="28"/>
        </w:rPr>
        <w:t>周围基础设施达到；</w:t>
      </w:r>
    </w:p>
    <w:p>
      <w:pPr>
        <w:pStyle w:val="4"/>
        <w:spacing w:line="578" w:lineRule="exact"/>
        <w:ind w:firstLine="560" w:firstLineChars="200"/>
        <w:rPr>
          <w:rFonts w:ascii="Times New Roman" w:hAnsi="Times New Roman"/>
          <w:color w:val="000000" w:themeColor="text1"/>
          <w:sz w:val="28"/>
          <w:szCs w:val="28"/>
          <w:u w:val="single"/>
        </w:rPr>
      </w:pPr>
      <w:r>
        <w:rPr>
          <w:rFonts w:ascii="Times New Roman" w:hAnsi="Times New Roman"/>
          <w:color w:val="000000" w:themeColor="text1"/>
          <w:sz w:val="28"/>
          <w:szCs w:val="28"/>
        </w:rPr>
        <w:t>（二）现状土地条件。</w:t>
      </w:r>
    </w:p>
    <w:p>
      <w:pPr>
        <w:pStyle w:val="4"/>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第七条</w:t>
      </w:r>
      <w:r>
        <w:rPr>
          <w:rFonts w:ascii="Times New Roman" w:hAnsi="Times New Roman"/>
          <w:color w:val="000000" w:themeColor="text1"/>
          <w:sz w:val="28"/>
          <w:szCs w:val="28"/>
        </w:rPr>
        <w:t>本合同项下的国有建设用地使用权出让年期为</w:t>
      </w:r>
    </w:p>
    <w:p>
      <w:pPr>
        <w:pStyle w:val="4"/>
        <w:spacing w:line="578" w:lineRule="exact"/>
        <w:rPr>
          <w:rFonts w:ascii="Times New Roman" w:hAnsi="Times New Roman"/>
          <w:color w:val="000000" w:themeColor="text1"/>
          <w:sz w:val="28"/>
          <w:szCs w:val="28"/>
        </w:rPr>
      </w:pPr>
      <w:r>
        <w:rPr>
          <w:rFonts w:ascii="Times New Roman" w:hAnsi="Times New Roman"/>
          <w:color w:val="000000" w:themeColor="text1"/>
          <w:sz w:val="28"/>
          <w:szCs w:val="28"/>
        </w:rPr>
        <w:t>年，按本合同第六条约定的交付土地之日起算；原划拨（承租）国有建设用地使用权补办出让手续的，出让年期自合同签订之日起算。</w:t>
      </w:r>
    </w:p>
    <w:p>
      <w:pPr>
        <w:pStyle w:val="4"/>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第八条</w:t>
      </w:r>
      <w:r>
        <w:rPr>
          <w:rFonts w:ascii="Times New Roman" w:hAnsi="Times New Roman"/>
          <w:color w:val="000000" w:themeColor="text1"/>
          <w:sz w:val="28"/>
          <w:szCs w:val="28"/>
        </w:rPr>
        <w:t>本合同项下宗地的国有建设用地使用权出让价款为人民币大写元（小写元），每平方米人民币大写元（小写元）。</w:t>
      </w:r>
    </w:p>
    <w:p>
      <w:pPr>
        <w:pStyle w:val="4"/>
        <w:spacing w:line="578" w:lineRule="exact"/>
        <w:ind w:firstLine="562" w:firstLineChars="200"/>
        <w:jc w:val="left"/>
        <w:rPr>
          <w:rFonts w:ascii="Times New Roman" w:hAnsi="Times New Roman"/>
          <w:color w:val="000000" w:themeColor="text1"/>
          <w:sz w:val="28"/>
          <w:szCs w:val="28"/>
          <w:u w:val="single"/>
        </w:rPr>
      </w:pPr>
      <w:r>
        <w:rPr>
          <w:rFonts w:ascii="Times New Roman" w:hAnsi="Times New Roman"/>
          <w:b/>
          <w:bCs/>
          <w:color w:val="000000" w:themeColor="text1"/>
          <w:sz w:val="28"/>
          <w:szCs w:val="28"/>
        </w:rPr>
        <w:t>第九条</w:t>
      </w:r>
      <w:r>
        <w:rPr>
          <w:rFonts w:ascii="Times New Roman" w:hAnsi="Times New Roman"/>
          <w:color w:val="000000" w:themeColor="text1"/>
          <w:sz w:val="28"/>
          <w:szCs w:val="28"/>
        </w:rPr>
        <w:t>本合同项下宗地的定金为人民币大写元（小写元），定金抵作土地出让价款。</w:t>
      </w:r>
    </w:p>
    <w:p>
      <w:pPr>
        <w:pStyle w:val="4"/>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第十条</w:t>
      </w:r>
      <w:r>
        <w:rPr>
          <w:rFonts w:ascii="Times New Roman" w:hAnsi="Times New Roman"/>
          <w:color w:val="000000" w:themeColor="text1"/>
          <w:sz w:val="28"/>
          <w:szCs w:val="28"/>
        </w:rPr>
        <w:t>受让人同意按照本条第一款第项的规定向出让人支付国有建设用地使用权出让价款：</w:t>
      </w:r>
    </w:p>
    <w:p>
      <w:pPr>
        <w:pStyle w:val="4"/>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（一）本合同签订之日起日内，一次性付清国有建设用地使用权出让价款；</w:t>
      </w:r>
    </w:p>
    <w:p>
      <w:pPr>
        <w:pStyle w:val="4"/>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（二）按以下时间和金额分期向出让人支付国有建设用地使用权出让价款。</w:t>
      </w:r>
    </w:p>
    <w:p>
      <w:pPr>
        <w:pStyle w:val="4"/>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该宗地分期支付国有建设用地使用权出让价款不计利息。</w:t>
      </w:r>
    </w:p>
    <w:p>
      <w:pPr>
        <w:pStyle w:val="4"/>
        <w:spacing w:line="578" w:lineRule="exact"/>
        <w:ind w:firstLine="562" w:firstLineChars="200"/>
        <w:rPr>
          <w:rFonts w:ascii="Times New Roman" w:hAnsi="Times New Roman"/>
          <w:color w:val="000000" w:themeColor="text1"/>
          <w:kern w:val="0"/>
          <w:sz w:val="28"/>
          <w:szCs w:val="28"/>
        </w:rPr>
      </w:pPr>
      <w:r>
        <w:rPr>
          <w:rFonts w:ascii="Times New Roman" w:hAnsi="Times New Roman"/>
          <w:b/>
          <w:bCs/>
          <w:color w:val="000000" w:themeColor="text1"/>
          <w:sz w:val="28"/>
          <w:szCs w:val="28"/>
        </w:rPr>
        <w:t>第十一条</w:t>
      </w:r>
      <w:r>
        <w:rPr>
          <w:rFonts w:ascii="Times New Roman" w:hAnsi="Times New Roman"/>
          <w:color w:val="000000" w:themeColor="text1"/>
          <w:sz w:val="28"/>
          <w:szCs w:val="28"/>
        </w:rPr>
        <w:t>受让人应在按本合同约定付清本宗地全部出让价款后，持本合同和出让价款缴纳凭证等相关证明材料，申请出让国有建设用地使用权登记。</w:t>
      </w:r>
    </w:p>
    <w:p>
      <w:pPr>
        <w:pStyle w:val="4"/>
        <w:spacing w:line="578" w:lineRule="exact"/>
        <w:ind w:firstLine="560" w:firstLineChars="200"/>
        <w:rPr>
          <w:rFonts w:ascii="Times New Roman" w:hAnsi="Times New Roman"/>
          <w:color w:val="000000" w:themeColor="text1"/>
          <w:kern w:val="0"/>
          <w:sz w:val="28"/>
          <w:szCs w:val="28"/>
        </w:rPr>
      </w:pPr>
    </w:p>
    <w:p>
      <w:pPr>
        <w:pStyle w:val="4"/>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第三章土地开发建设与利用</w:t>
      </w:r>
    </w:p>
    <w:p>
      <w:pPr>
        <w:pStyle w:val="4"/>
        <w:spacing w:line="578" w:lineRule="exact"/>
        <w:jc w:val="center"/>
        <w:rPr>
          <w:rFonts w:ascii="Times New Roman" w:hAnsi="Times New Roman"/>
          <w:color w:val="000000" w:themeColor="text1"/>
          <w:sz w:val="28"/>
          <w:szCs w:val="28"/>
        </w:rPr>
      </w:pPr>
    </w:p>
    <w:p>
      <w:pPr>
        <w:pStyle w:val="4"/>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第十二条</w:t>
      </w:r>
      <w:r>
        <w:rPr>
          <w:rFonts w:ascii="Times New Roman" w:hAnsi="Times New Roman"/>
          <w:color w:val="000000" w:themeColor="text1"/>
          <w:sz w:val="28"/>
          <w:szCs w:val="28"/>
        </w:rPr>
        <w:t>受让人同意本合同项下宗地开发投资强度按本条项规定执行：</w:t>
      </w:r>
    </w:p>
    <w:p>
      <w:pPr>
        <w:pStyle w:val="4"/>
        <w:spacing w:line="578" w:lineRule="exact"/>
        <w:ind w:firstLine="560" w:firstLineChars="200"/>
        <w:rPr>
          <w:rFonts w:ascii="Times New Roman" w:hAnsi="Times New Roman"/>
          <w:color w:val="000000" w:themeColor="text1"/>
          <w:sz w:val="28"/>
          <w:szCs w:val="28"/>
          <w:u w:val="single"/>
        </w:rPr>
      </w:pPr>
      <w:r>
        <w:rPr>
          <w:rFonts w:ascii="Times New Roman" w:hAnsi="Times New Roman"/>
          <w:color w:val="000000" w:themeColor="text1"/>
          <w:sz w:val="28"/>
          <w:szCs w:val="28"/>
        </w:rPr>
        <w:t>（一）本合同项下宗地用于工业项目建设，受让人同意本合同项下宗地的项目固定资产总投资不低于经批准或登记备案的金额人民币大写万元（小写万元），投资强度不低于每平方米人民币大写元（小写元）。本合同项下宗地建设项目的固定资产总投资包括建筑物、构筑物及其附属设施、设备投资和出让价款等。</w:t>
      </w:r>
    </w:p>
    <w:p>
      <w:pPr>
        <w:pStyle w:val="4"/>
        <w:spacing w:line="578" w:lineRule="exact"/>
        <w:ind w:firstLine="560" w:firstLineChars="200"/>
        <w:rPr>
          <w:rFonts w:ascii="Times New Roman" w:hAnsi="Times New Roman"/>
          <w:color w:val="000000" w:themeColor="text1"/>
          <w:sz w:val="28"/>
          <w:szCs w:val="28"/>
          <w:u w:val="single"/>
        </w:rPr>
      </w:pPr>
      <w:r>
        <w:rPr>
          <w:rFonts w:ascii="Times New Roman" w:hAnsi="Times New Roman"/>
          <w:color w:val="000000" w:themeColor="text1"/>
          <w:sz w:val="28"/>
          <w:szCs w:val="28"/>
        </w:rPr>
        <w:t>（二）本合同项下宗地用于非工业项目建设，受让人承诺本合同项下宗地的开发投资总额不低于人民币大写万元（小写万元）。</w:t>
      </w:r>
    </w:p>
    <w:p>
      <w:pPr>
        <w:pStyle w:val="4"/>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第十三条</w:t>
      </w:r>
      <w:r>
        <w:rPr>
          <w:rFonts w:ascii="Times New Roman" w:hAnsi="Times New Roman"/>
          <w:color w:val="000000" w:themeColor="text1"/>
          <w:sz w:val="28"/>
          <w:szCs w:val="28"/>
        </w:rPr>
        <w:t>受让人在本合同项下宗地范围内新建建筑物、构筑物及其附属设施的，应符合市（县）政府规划管理部门确定的出让宗地规划条件（见附件3）。其中：</w:t>
      </w:r>
    </w:p>
    <w:p>
      <w:pPr>
        <w:pStyle w:val="4"/>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主体建筑物性质；</w:t>
      </w:r>
    </w:p>
    <w:p>
      <w:pPr>
        <w:pStyle w:val="4"/>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附属建筑物性质；</w:t>
      </w:r>
    </w:p>
    <w:p>
      <w:pPr>
        <w:pStyle w:val="4"/>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建筑总面积平方米；</w:t>
      </w:r>
    </w:p>
    <w:p>
      <w:pPr>
        <w:pStyle w:val="4"/>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建筑容积率不高于不低于</w:t>
      </w:r>
      <w:r>
        <w:rPr>
          <w:rFonts w:ascii="Times New Roman" w:hAnsi="Times New Roman"/>
          <w:b/>
          <w:bCs/>
          <w:color w:val="000000" w:themeColor="text1"/>
          <w:sz w:val="28"/>
          <w:szCs w:val="28"/>
        </w:rPr>
        <w:t>；</w:t>
      </w:r>
    </w:p>
    <w:p>
      <w:pPr>
        <w:pStyle w:val="4"/>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建筑限高不高于不低于；</w:t>
      </w:r>
    </w:p>
    <w:p>
      <w:pPr>
        <w:pStyle w:val="4"/>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建筑密度不高于不低于；</w:t>
      </w:r>
    </w:p>
    <w:p>
      <w:pPr>
        <w:pStyle w:val="4"/>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绿地率不高于不低于；</w:t>
      </w:r>
    </w:p>
    <w:p>
      <w:pPr>
        <w:pStyle w:val="4"/>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其他土地利用要求。</w:t>
      </w:r>
    </w:p>
    <w:p>
      <w:pPr>
        <w:pStyle w:val="4"/>
        <w:spacing w:line="578" w:lineRule="exact"/>
        <w:ind w:firstLine="645"/>
        <w:jc w:val="left"/>
        <w:rPr>
          <w:rFonts w:ascii="Times New Roman" w:hAnsi="Times New Roman"/>
          <w:color w:val="000000" w:themeColor="text1"/>
          <w:sz w:val="28"/>
          <w:szCs w:val="28"/>
        </w:rPr>
      </w:pPr>
      <w:r>
        <w:rPr>
          <w:rFonts w:ascii="Times New Roman" w:hAnsi="Times New Roman"/>
          <w:b/>
          <w:bCs/>
          <w:color w:val="000000" w:themeColor="text1"/>
          <w:sz w:val="28"/>
          <w:szCs w:val="28"/>
        </w:rPr>
        <w:t>第十四条</w:t>
      </w:r>
      <w:r>
        <w:rPr>
          <w:rFonts w:ascii="Times New Roman" w:hAnsi="Times New Roman"/>
          <w:color w:val="000000" w:themeColor="text1"/>
          <w:sz w:val="28"/>
          <w:szCs w:val="28"/>
        </w:rPr>
        <w:t>受让人同意本合同项下宗地建设配套按本条第项规定执行：</w:t>
      </w:r>
    </w:p>
    <w:p>
      <w:pPr>
        <w:pStyle w:val="4"/>
        <w:spacing w:line="578" w:lineRule="exact"/>
        <w:ind w:firstLine="645"/>
        <w:jc w:val="left"/>
        <w:rPr>
          <w:rFonts w:ascii="Times New Roman" w:hAnsi="Times New Roman"/>
          <w:color w:val="000000" w:themeColor="text1"/>
          <w:sz w:val="28"/>
          <w:szCs w:val="28"/>
        </w:rPr>
      </w:pPr>
      <w:r>
        <w:rPr>
          <w:rFonts w:ascii="Times New Roman" w:hAnsi="Times New Roman"/>
          <w:color w:val="000000" w:themeColor="text1"/>
          <w:sz w:val="28"/>
          <w:szCs w:val="28"/>
        </w:rPr>
        <w:t>（一）本合同项下宗地用于工业项目建设，根据规划部门确定的规划设计条件，</w:t>
      </w:r>
      <w:r>
        <w:rPr>
          <w:rFonts w:ascii="Times New Roman" w:hAnsi="Times New Roman"/>
          <w:color w:val="000000" w:themeColor="text1"/>
          <w:spacing w:val="2"/>
          <w:sz w:val="28"/>
          <w:szCs w:val="28"/>
        </w:rPr>
        <w:t>本合同受让宗地范围内用于企业内部行政办公及生活服务设施的占地面积不超过受让宗地面积</w:t>
      </w:r>
      <w:r>
        <w:rPr>
          <w:rFonts w:ascii="Times New Roman" w:hAnsi="Times New Roman"/>
          <w:color w:val="000000" w:themeColor="text1"/>
          <w:sz w:val="28"/>
          <w:szCs w:val="28"/>
        </w:rPr>
        <w:t>的</w:t>
      </w:r>
    </w:p>
    <w:p>
      <w:pPr>
        <w:pStyle w:val="4"/>
        <w:spacing w:line="578" w:lineRule="exact"/>
        <w:ind w:left="6" w:leftChars="3"/>
        <w:jc w:val="left"/>
        <w:rPr>
          <w:rFonts w:ascii="Times New Roman" w:hAnsi="Times New Roman"/>
          <w:color w:val="000000" w:themeColor="text1"/>
          <w:sz w:val="28"/>
          <w:szCs w:val="28"/>
        </w:rPr>
      </w:pPr>
      <w:r>
        <w:rPr>
          <w:rFonts w:ascii="Times New Roman" w:hAnsi="Times New Roman"/>
          <w:color w:val="000000" w:themeColor="text1"/>
          <w:sz w:val="28"/>
          <w:szCs w:val="28"/>
          <w:u w:val="single"/>
        </w:rPr>
        <w:t xml:space="preserve">  /  </w:t>
      </w:r>
      <w:r>
        <w:rPr>
          <w:rFonts w:ascii="Times New Roman" w:hAnsi="Times New Roman"/>
          <w:color w:val="000000" w:themeColor="text1"/>
          <w:sz w:val="28"/>
          <w:szCs w:val="28"/>
        </w:rPr>
        <w:t>％，即不超过</w:t>
      </w:r>
      <w:r>
        <w:rPr>
          <w:rFonts w:ascii="Times New Roman" w:hAnsi="Times New Roman"/>
          <w:color w:val="000000" w:themeColor="text1"/>
          <w:sz w:val="28"/>
          <w:szCs w:val="28"/>
          <w:u w:val="single"/>
        </w:rPr>
        <w:t xml:space="preserve">   /  </w:t>
      </w:r>
      <w:r>
        <w:rPr>
          <w:rFonts w:ascii="Times New Roman" w:hAnsi="Times New Roman"/>
          <w:color w:val="000000" w:themeColor="text1"/>
          <w:sz w:val="28"/>
          <w:szCs w:val="28"/>
        </w:rPr>
        <w:t>平方米, 建筑面积不超过</w:t>
      </w:r>
      <w:r>
        <w:rPr>
          <w:rFonts w:ascii="Times New Roman" w:hAnsi="Times New Roman"/>
          <w:color w:val="000000" w:themeColor="text1"/>
          <w:sz w:val="28"/>
          <w:szCs w:val="28"/>
          <w:u w:val="single"/>
        </w:rPr>
        <w:t xml:space="preserve">  /         </w:t>
      </w:r>
      <w:r>
        <w:rPr>
          <w:rFonts w:ascii="Times New Roman" w:hAnsi="Times New Roman"/>
          <w:color w:val="000000" w:themeColor="text1"/>
          <w:sz w:val="28"/>
          <w:szCs w:val="28"/>
        </w:rPr>
        <w:t>平方米。受让人同意不在受让宗地范围内建造成套住宅、专家楼、宾馆、招待所和培训中心等非生产性设施；</w:t>
      </w:r>
    </w:p>
    <w:p>
      <w:pPr>
        <w:pStyle w:val="4"/>
        <w:spacing w:line="578" w:lineRule="exact"/>
        <w:ind w:firstLine="645"/>
        <w:rPr>
          <w:rFonts w:ascii="Times New Roman" w:hAnsi="Times New Roman"/>
          <w:b/>
          <w:bCs/>
          <w:color w:val="000000" w:themeColor="text1"/>
          <w:sz w:val="28"/>
          <w:szCs w:val="28"/>
        </w:rPr>
      </w:pPr>
      <w:r>
        <w:rPr>
          <w:rFonts w:ascii="Times New Roman" w:hAnsi="Times New Roman"/>
          <w:color w:val="000000" w:themeColor="text1"/>
          <w:sz w:val="28"/>
          <w:szCs w:val="28"/>
        </w:rPr>
        <w:t>（二）本合同项下宗地用于住宅项目建设，根据规划建设管理部门确定的规划建设条件，本合同受让宗地范围内住宅建设总套数不少于套。其中，套型建筑面积90平方米以下住房套数不少于</w:t>
      </w:r>
      <w:r>
        <w:rPr>
          <w:rFonts w:ascii="Times New Roman" w:hAnsi="Times New Roman"/>
          <w:color w:val="000000" w:themeColor="text1"/>
          <w:sz w:val="28"/>
          <w:szCs w:val="28"/>
          <w:u w:val="single"/>
        </w:rPr>
        <w:t xml:space="preserve"> / </w:t>
      </w:r>
      <w:r>
        <w:rPr>
          <w:rFonts w:ascii="Times New Roman" w:hAnsi="Times New Roman"/>
          <w:color w:val="000000" w:themeColor="text1"/>
          <w:sz w:val="28"/>
          <w:szCs w:val="28"/>
        </w:rPr>
        <w:t>套，住宅建设套型要求为。本合同项下宗地范围内套型建筑面积90平方米以下住房面积占宗地开发建设总面积的比例不低于％。本合同项下宗地范围内配套建设的经济适用住房、廉租住房等政府保障性住房，受让人同意建成后按本项下第种方式履行：</w:t>
      </w:r>
    </w:p>
    <w:p>
      <w:pPr>
        <w:pStyle w:val="4"/>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1．移交给政府；</w:t>
      </w:r>
    </w:p>
    <w:p>
      <w:pPr>
        <w:pStyle w:val="4"/>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2．由政府回购；</w:t>
      </w:r>
    </w:p>
    <w:p>
      <w:pPr>
        <w:pStyle w:val="4"/>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3．按政府经济适用住房建设和销售管理的有关规定执行；</w:t>
      </w:r>
    </w:p>
    <w:p>
      <w:pPr>
        <w:pStyle w:val="4"/>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4．。</w:t>
      </w:r>
    </w:p>
    <w:p>
      <w:pPr>
        <w:pStyle w:val="4"/>
        <w:spacing w:line="578" w:lineRule="exact"/>
        <w:ind w:firstLine="562" w:firstLineChars="200"/>
        <w:rPr>
          <w:rFonts w:ascii="Times New Roman" w:hAnsi="Times New Roman"/>
          <w:b/>
          <w:bCs/>
          <w:color w:val="000000" w:themeColor="text1"/>
          <w:sz w:val="28"/>
          <w:szCs w:val="28"/>
        </w:rPr>
      </w:pPr>
      <w:r>
        <w:rPr>
          <w:rFonts w:ascii="Times New Roman" w:hAnsi="Times New Roman"/>
          <w:b/>
          <w:bCs/>
          <w:color w:val="000000" w:themeColor="text1"/>
          <w:sz w:val="28"/>
          <w:szCs w:val="28"/>
        </w:rPr>
        <w:t>第十五条</w:t>
      </w:r>
      <w:r>
        <w:rPr>
          <w:rFonts w:ascii="Times New Roman" w:hAnsi="Times New Roman"/>
          <w:color w:val="000000" w:themeColor="text1"/>
          <w:sz w:val="28"/>
          <w:szCs w:val="28"/>
        </w:rPr>
        <w:t>受让人同意在本合同项下宗地范围内同步修建下列工程配套项目，并在建成后无偿移交给政府：</w:t>
      </w:r>
    </w:p>
    <w:p>
      <w:pPr>
        <w:pStyle w:val="4"/>
        <w:spacing w:line="578" w:lineRule="exact"/>
        <w:ind w:firstLine="645"/>
        <w:rPr>
          <w:rFonts w:ascii="Times New Roman" w:hAnsi="Times New Roman"/>
          <w:color w:val="000000" w:themeColor="text1"/>
          <w:sz w:val="28"/>
          <w:szCs w:val="28"/>
          <w:u w:val="single"/>
        </w:rPr>
      </w:pPr>
      <w:r>
        <w:rPr>
          <w:rFonts w:ascii="Times New Roman" w:hAnsi="Times New Roman"/>
          <w:b/>
          <w:bCs/>
          <w:color w:val="000000" w:themeColor="text1"/>
          <w:sz w:val="28"/>
          <w:szCs w:val="28"/>
        </w:rPr>
        <w:t>第十六条</w:t>
      </w:r>
      <w:r>
        <w:rPr>
          <w:rFonts w:ascii="Times New Roman" w:hAnsi="Times New Roman"/>
          <w:color w:val="000000" w:themeColor="text1"/>
          <w:sz w:val="28"/>
          <w:szCs w:val="28"/>
        </w:rPr>
        <w:t>受让人同意本合同项下宗地建设项目在</w:t>
      </w:r>
    </w:p>
    <w:p>
      <w:pPr>
        <w:pStyle w:val="4"/>
        <w:spacing w:line="578" w:lineRule="exact"/>
        <w:rPr>
          <w:rFonts w:ascii="Times New Roman" w:hAnsi="Times New Roman"/>
          <w:color w:val="000000" w:themeColor="text1"/>
          <w:sz w:val="28"/>
          <w:szCs w:val="28"/>
          <w:u w:val="single"/>
        </w:rPr>
      </w:pPr>
      <w:r>
        <w:rPr>
          <w:rFonts w:ascii="Times New Roman" w:hAnsi="Times New Roman"/>
          <w:color w:val="000000" w:themeColor="text1"/>
          <w:sz w:val="28"/>
          <w:szCs w:val="28"/>
        </w:rPr>
        <w:t>年月日之前开工，在年月日之前竣工。</w:t>
      </w:r>
    </w:p>
    <w:p>
      <w:pPr>
        <w:pStyle w:val="4"/>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受让人不能按期开工，应提前30日向出让人提出延建申请，经出让人同意延建的，其项目竣工时间相应顺延，但延建期限不得超过一年。</w:t>
      </w:r>
    </w:p>
    <w:p>
      <w:pPr>
        <w:pStyle w:val="4"/>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第十七条</w:t>
      </w:r>
      <w:r>
        <w:rPr>
          <w:rFonts w:ascii="Times New Roman" w:hAnsi="Times New Roman"/>
          <w:color w:val="000000" w:themeColor="text1"/>
          <w:sz w:val="28"/>
          <w:szCs w:val="28"/>
        </w:rPr>
        <w:t>受让人在本合同项下宗地内进行建设时，有关用水、用气、污水及其他设施与宗地外主管线、用电变电站接口和引入工程，应按有关规定办理。</w:t>
      </w:r>
    </w:p>
    <w:p>
      <w:pPr>
        <w:pStyle w:val="4"/>
        <w:spacing w:line="578" w:lineRule="exact"/>
        <w:ind w:firstLine="560" w:firstLineChars="200"/>
        <w:rPr>
          <w:rFonts w:ascii="Times New Roman" w:hAnsi="Times New Roman"/>
          <w:b/>
          <w:color w:val="000000" w:themeColor="text1"/>
          <w:sz w:val="28"/>
          <w:szCs w:val="28"/>
        </w:rPr>
      </w:pPr>
      <w:r>
        <w:rPr>
          <w:rFonts w:ascii="Times New Roman" w:hAnsi="Times New Roman"/>
          <w:color w:val="000000" w:themeColor="text1"/>
          <w:sz w:val="28"/>
          <w:szCs w:val="28"/>
        </w:rPr>
        <w:t>受让人同意政府为公用事业需要而敷设的各种管道与管线进出、通过、穿越受让宗地，但由此影响受让宗地使用功能的，政府或公用事业营建主体应当给予合理补偿。</w:t>
      </w:r>
    </w:p>
    <w:p>
      <w:pPr>
        <w:pStyle w:val="4"/>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第十八条</w:t>
      </w:r>
      <w:r>
        <w:rPr>
          <w:rFonts w:ascii="Times New Roman" w:hAnsi="Times New Roman"/>
          <w:color w:val="000000" w:themeColor="text1"/>
          <w:sz w:val="28"/>
          <w:szCs w:val="28"/>
        </w:rPr>
        <w:t>受让人应当按照本合同约定的土地用途、容积率利用土地，不得擅自改变。在出让期限内，需要改变本合同约定的土地用途的，双方同意按照本条第项规定办理：</w:t>
      </w:r>
    </w:p>
    <w:p>
      <w:pPr>
        <w:pStyle w:val="4"/>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（一）由出让人有偿收回建设用地使用权；</w:t>
      </w:r>
    </w:p>
    <w:p>
      <w:pPr>
        <w:pStyle w:val="4"/>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pPr>
        <w:pStyle w:val="4"/>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第十九条</w:t>
      </w:r>
      <w:r>
        <w:rPr>
          <w:rFonts w:ascii="Times New Roman" w:hAnsi="Times New Roman"/>
          <w:color w:val="000000" w:themeColor="text1"/>
          <w:sz w:val="28"/>
          <w:szCs w:val="28"/>
        </w:rPr>
        <w:t>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pPr>
        <w:pStyle w:val="4"/>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第二十条</w:t>
      </w:r>
      <w:r>
        <w:rPr>
          <w:rFonts w:ascii="Times New Roman" w:hAnsi="Times New Roman"/>
          <w:color w:val="000000" w:themeColor="text1"/>
          <w:sz w:val="28"/>
          <w:szCs w:val="28"/>
        </w:rPr>
        <w:t>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pPr>
        <w:pStyle w:val="4"/>
        <w:spacing w:line="578" w:lineRule="exact"/>
        <w:ind w:firstLine="645"/>
        <w:rPr>
          <w:rFonts w:ascii="Times New Roman" w:hAnsi="Times New Roman"/>
          <w:color w:val="000000" w:themeColor="text1"/>
          <w:sz w:val="28"/>
          <w:szCs w:val="28"/>
        </w:rPr>
      </w:pPr>
    </w:p>
    <w:p>
      <w:pPr>
        <w:pStyle w:val="4"/>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第四章国有建设用地使用权转让、出租、抵押</w:t>
      </w:r>
    </w:p>
    <w:p>
      <w:pPr>
        <w:pStyle w:val="4"/>
        <w:spacing w:line="578" w:lineRule="exact"/>
        <w:jc w:val="center"/>
        <w:rPr>
          <w:rFonts w:ascii="Times New Roman" w:hAnsi="Times New Roman"/>
          <w:color w:val="000000" w:themeColor="text1"/>
          <w:sz w:val="28"/>
          <w:szCs w:val="28"/>
        </w:rPr>
      </w:pPr>
    </w:p>
    <w:p>
      <w:pPr>
        <w:pStyle w:val="4"/>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第二十一条</w:t>
      </w:r>
      <w:r>
        <w:rPr>
          <w:rFonts w:ascii="Times New Roman" w:hAnsi="Times New Roman"/>
          <w:color w:val="000000" w:themeColor="text1"/>
          <w:sz w:val="28"/>
          <w:szCs w:val="28"/>
        </w:rPr>
        <w:t>受让人按照本合同约定支付全部国有建设用地使用权出让价款，领取国有土地使用证后，有权将本合同项下的全部或部分国有建设用地使用权转让、出租、抵押。首次转让的，应当符合本条第项规定的条件：</w:t>
      </w:r>
    </w:p>
    <w:p>
      <w:pPr>
        <w:pStyle w:val="4"/>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（一）按照本合同约定进行投资开发，完成开发投资总额的百分之二十五以上；</w:t>
      </w:r>
    </w:p>
    <w:p>
      <w:pPr>
        <w:pStyle w:val="4"/>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（二）按照本合同约定进行投资开发，已形成工业用地或其他建设用地条件。</w:t>
      </w:r>
    </w:p>
    <w:p>
      <w:pPr>
        <w:pStyle w:val="4"/>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第二十二条</w:t>
      </w:r>
      <w:r>
        <w:rPr>
          <w:rFonts w:ascii="Times New Roman" w:hAnsi="Times New Roman"/>
          <w:color w:val="000000" w:themeColor="text1"/>
          <w:sz w:val="28"/>
          <w:szCs w:val="28"/>
        </w:rPr>
        <w:t>国有建设用地使用权的转让、出租及抵押合同，不得违背国家法律、法规规定和本合同约定。</w:t>
      </w:r>
    </w:p>
    <w:p>
      <w:pPr>
        <w:pStyle w:val="4"/>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第二十三条</w:t>
      </w:r>
      <w:r>
        <w:rPr>
          <w:rFonts w:ascii="Times New Roman" w:hAnsi="Times New Roman"/>
          <w:color w:val="000000" w:themeColor="text1"/>
          <w:sz w:val="28"/>
          <w:szCs w:val="28"/>
        </w:rPr>
        <w:t>国有建设用地使用权全部或部分转让后，本合同和土地登记文件中载明的权利、义务随之转移，国有建设用地使用权的使用年限为本合同约定的使用年限减去已经使用年限后的剩余年限。</w:t>
      </w:r>
    </w:p>
    <w:p>
      <w:pPr>
        <w:pStyle w:val="4"/>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本合同项下的全部或部分国有建设用地使用权出租后，本合同和土地登记文件中载明的权利、义务仍由受让人承担。</w:t>
      </w:r>
    </w:p>
    <w:p>
      <w:pPr>
        <w:pStyle w:val="4"/>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第二十四条</w:t>
      </w:r>
      <w:r>
        <w:rPr>
          <w:rFonts w:ascii="Times New Roman" w:hAnsi="Times New Roman"/>
          <w:color w:val="000000" w:themeColor="text1"/>
          <w:sz w:val="28"/>
          <w:szCs w:val="28"/>
        </w:rPr>
        <w:t>国有建设用地使用权转让、抵押的，转让、抵押双方应持本合同和相应的转让、抵押合同及国有土地使用证，到国土资源管理部门申请办理土地变更登记。</w:t>
      </w:r>
    </w:p>
    <w:p>
      <w:pPr>
        <w:pStyle w:val="4"/>
        <w:spacing w:line="578" w:lineRule="exact"/>
        <w:ind w:firstLine="560" w:firstLineChars="200"/>
        <w:rPr>
          <w:rFonts w:ascii="Times New Roman" w:hAnsi="Times New Roman"/>
          <w:color w:val="000000" w:themeColor="text1"/>
          <w:sz w:val="28"/>
          <w:szCs w:val="28"/>
        </w:rPr>
      </w:pPr>
    </w:p>
    <w:p>
      <w:pPr>
        <w:pStyle w:val="4"/>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第五章期限届满</w:t>
      </w:r>
    </w:p>
    <w:p>
      <w:pPr>
        <w:pStyle w:val="4"/>
        <w:spacing w:line="578" w:lineRule="exact"/>
        <w:jc w:val="center"/>
        <w:rPr>
          <w:rFonts w:ascii="Times New Roman" w:hAnsi="Times New Roman"/>
          <w:color w:val="000000" w:themeColor="text1"/>
          <w:sz w:val="28"/>
          <w:szCs w:val="28"/>
        </w:rPr>
      </w:pPr>
    </w:p>
    <w:p>
      <w:pPr>
        <w:pStyle w:val="4"/>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第二十五条</w:t>
      </w:r>
      <w:r>
        <w:rPr>
          <w:rFonts w:ascii="Times New Roman" w:hAnsi="Times New Roman"/>
          <w:color w:val="000000" w:themeColor="text1"/>
          <w:sz w:val="28"/>
          <w:szCs w:val="28"/>
        </w:rPr>
        <w:t>本合同约定的使用年限届满，土地使用者需要继续使用本合同项下宗地的，应当至迟于届满前一年向出让人提交续期申请书，除根据社会公共利益需要收回本合同项下宗地的，出让人应当予以批准。</w:t>
      </w:r>
    </w:p>
    <w:p>
      <w:pPr>
        <w:pStyle w:val="4"/>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住宅建设用地使用权期限届满的，自动续期。</w:t>
      </w:r>
    </w:p>
    <w:p>
      <w:pPr>
        <w:pStyle w:val="4"/>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出让人同意续期的，土地使用者应当依法办理出让、租赁等有偿用地手续，重新签订出让、租赁等土地有偿使用合同，支付土地出让价款、租金等土地有偿使用费。</w:t>
      </w:r>
    </w:p>
    <w:p>
      <w:pPr>
        <w:pStyle w:val="4"/>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第二十六条</w:t>
      </w:r>
      <w:r>
        <w:rPr>
          <w:rFonts w:ascii="Times New Roman" w:hAnsi="Times New Roman"/>
          <w:color w:val="000000" w:themeColor="text1"/>
          <w:sz w:val="28"/>
          <w:szCs w:val="28"/>
        </w:rPr>
        <w:t>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项约定履行：</w:t>
      </w:r>
    </w:p>
    <w:p>
      <w:pPr>
        <w:pStyle w:val="4"/>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（一）由出让人收回地上建筑物、构筑物及其附属设施，并根据收回时地上建筑物、构筑物及其附属设施的残余价值，给予土地使用者相应补偿；</w:t>
      </w:r>
    </w:p>
    <w:p>
      <w:pPr>
        <w:pStyle w:val="4"/>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（二）由出让人无偿收回地上建筑物、构筑物及其附属设施。</w:t>
      </w:r>
    </w:p>
    <w:p>
      <w:pPr>
        <w:pStyle w:val="4"/>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第二十七条</w:t>
      </w:r>
      <w:r>
        <w:rPr>
          <w:rFonts w:ascii="Times New Roman" w:hAnsi="Times New Roman"/>
          <w:color w:val="000000" w:themeColor="text1"/>
          <w:sz w:val="28"/>
          <w:szCs w:val="28"/>
        </w:rPr>
        <w:t>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pPr>
        <w:pStyle w:val="4"/>
        <w:spacing w:line="578" w:lineRule="exact"/>
        <w:ind w:firstLine="645"/>
        <w:rPr>
          <w:rFonts w:ascii="Times New Roman" w:hAnsi="Times New Roman"/>
          <w:color w:val="000000" w:themeColor="text1"/>
          <w:sz w:val="28"/>
          <w:szCs w:val="28"/>
        </w:rPr>
      </w:pPr>
    </w:p>
    <w:p>
      <w:pPr>
        <w:pStyle w:val="4"/>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第六章不可抗力</w:t>
      </w:r>
    </w:p>
    <w:p>
      <w:pPr>
        <w:pStyle w:val="4"/>
        <w:spacing w:line="578" w:lineRule="exact"/>
        <w:ind w:firstLine="560" w:firstLineChars="200"/>
        <w:jc w:val="center"/>
        <w:rPr>
          <w:rFonts w:ascii="Times New Roman" w:hAnsi="Times New Roman"/>
          <w:color w:val="000000" w:themeColor="text1"/>
          <w:sz w:val="28"/>
          <w:szCs w:val="28"/>
        </w:rPr>
      </w:pPr>
    </w:p>
    <w:p>
      <w:pPr>
        <w:pStyle w:val="4"/>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第二十八条</w:t>
      </w:r>
      <w:r>
        <w:rPr>
          <w:rFonts w:ascii="Times New Roman" w:hAnsi="Times New Roman"/>
          <w:color w:val="000000" w:themeColor="text1"/>
          <w:sz w:val="28"/>
          <w:szCs w:val="28"/>
        </w:rPr>
        <w:t>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pPr>
        <w:pStyle w:val="4"/>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第二十九条</w:t>
      </w:r>
      <w:r>
        <w:rPr>
          <w:rFonts w:ascii="Times New Roman" w:hAnsi="Times New Roman"/>
          <w:color w:val="000000" w:themeColor="text1"/>
          <w:sz w:val="28"/>
          <w:szCs w:val="28"/>
        </w:rPr>
        <w:t>遇有不可抗力的一方，应在7日内将不可抗力情况以信函、电报、传真等书面形式通知另一方，并在不可抗力发生后15日内，向另一方提交本合同部分或全部不能履行或需要延期履行的报告及证明。</w:t>
      </w:r>
    </w:p>
    <w:p>
      <w:pPr>
        <w:pStyle w:val="4"/>
        <w:spacing w:line="578" w:lineRule="exact"/>
        <w:ind w:firstLine="645"/>
        <w:rPr>
          <w:rFonts w:ascii="Times New Roman" w:hAnsi="Times New Roman"/>
          <w:color w:val="000000" w:themeColor="text1"/>
          <w:sz w:val="28"/>
          <w:szCs w:val="28"/>
        </w:rPr>
      </w:pPr>
    </w:p>
    <w:p>
      <w:pPr>
        <w:pStyle w:val="4"/>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第七章违约责任</w:t>
      </w:r>
    </w:p>
    <w:p>
      <w:pPr>
        <w:pStyle w:val="4"/>
        <w:spacing w:line="578" w:lineRule="exact"/>
        <w:jc w:val="center"/>
        <w:rPr>
          <w:rFonts w:ascii="Times New Roman" w:hAnsi="Times New Roman"/>
          <w:color w:val="000000" w:themeColor="text1"/>
          <w:sz w:val="28"/>
          <w:szCs w:val="28"/>
        </w:rPr>
      </w:pPr>
    </w:p>
    <w:p>
      <w:pPr>
        <w:pStyle w:val="4"/>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第三十条</w:t>
      </w:r>
      <w:r>
        <w:rPr>
          <w:rFonts w:ascii="Times New Roman" w:hAnsi="Times New Roman"/>
          <w:color w:val="000000" w:themeColor="text1"/>
          <w:sz w:val="28"/>
          <w:szCs w:val="28"/>
        </w:rPr>
        <w:t>受让人应当按照本合同约定，按时支付国有建设用地使用权出让价款。受让人不能按时支付国有建设用地使用权出让价款的，自滞纳之日起，</w:t>
      </w:r>
      <w:r>
        <w:rPr>
          <w:rFonts w:ascii="Times New Roman" w:hAnsi="Times New Roman"/>
          <w:color w:val="000000" w:themeColor="text1"/>
          <w:spacing w:val="26"/>
          <w:sz w:val="28"/>
          <w:szCs w:val="28"/>
        </w:rPr>
        <w:t>每日按迟延支付款项</w:t>
      </w:r>
      <w:r>
        <w:rPr>
          <w:rFonts w:ascii="Times New Roman" w:hAnsi="Times New Roman"/>
          <w:color w:val="000000" w:themeColor="text1"/>
          <w:sz w:val="28"/>
          <w:szCs w:val="28"/>
        </w:rPr>
        <w:t>的</w:t>
      </w:r>
    </w:p>
    <w:p>
      <w:pPr>
        <w:pStyle w:val="4"/>
        <w:spacing w:line="578" w:lineRule="exact"/>
        <w:ind w:hanging="6"/>
        <w:rPr>
          <w:rFonts w:ascii="Times New Roman" w:hAnsi="Times New Roman"/>
          <w:color w:val="000000" w:themeColor="text1"/>
          <w:sz w:val="28"/>
          <w:szCs w:val="28"/>
          <w:u w:val="single"/>
        </w:rPr>
      </w:pPr>
      <w:r>
        <w:rPr>
          <w:rFonts w:ascii="Times New Roman" w:hAnsi="Times New Roman"/>
          <w:color w:val="000000" w:themeColor="text1"/>
          <w:sz w:val="28"/>
          <w:szCs w:val="28"/>
          <w:u w:val="single"/>
        </w:rPr>
        <w:t xml:space="preserve"> 1  </w:t>
      </w:r>
      <w:r>
        <w:rPr>
          <w:rFonts w:ascii="Times New Roman" w:hAnsi="Times New Roman"/>
          <w:color w:val="000000" w:themeColor="text1"/>
          <w:sz w:val="28"/>
          <w:szCs w:val="28"/>
        </w:rPr>
        <w:t>‰向出让人缴纳违约金，延期付款超过60日，经出让人催交后仍不能支付国有建设用地使用权出让价款的，出让人有权解除合同，受让人无权要求返还定金，出让人并可请求受让人赔偿损失。</w:t>
      </w:r>
    </w:p>
    <w:p>
      <w:pPr>
        <w:pStyle w:val="4"/>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第三十一条</w:t>
      </w:r>
      <w:r>
        <w:rPr>
          <w:rFonts w:ascii="Times New Roman" w:hAnsi="Times New Roman"/>
          <w:color w:val="000000" w:themeColor="text1"/>
          <w:sz w:val="28"/>
          <w:szCs w:val="28"/>
        </w:rPr>
        <w:t>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pPr>
        <w:pStyle w:val="4"/>
        <w:spacing w:line="578" w:lineRule="exact"/>
        <w:rPr>
          <w:rFonts w:ascii="Times New Roman" w:hAnsi="Times New Roman"/>
          <w:color w:val="000000" w:themeColor="text1"/>
          <w:sz w:val="28"/>
          <w:szCs w:val="28"/>
        </w:rPr>
      </w:pPr>
      <w:r>
        <w:rPr>
          <w:rFonts w:ascii="Times New Roman" w:hAnsi="Times New Roman"/>
          <w:color w:val="000000" w:themeColor="text1"/>
          <w:sz w:val="28"/>
          <w:szCs w:val="28"/>
        </w:rPr>
        <w:t>（一）受让人在本合同约定的开工建设日期届满一年前不少于60日向出让人提出申请的，出让人在扣除定金后退还受让人已支付的国有建设用地使用权出让价款；</w:t>
      </w:r>
    </w:p>
    <w:p>
      <w:pPr>
        <w:pStyle w:val="4"/>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二）受让人在本合同约定的开工建设日期超过一年但未满二年，并在届满二年前不少于60日向出让人提出申请的，出让人应在扣除本合同约定的定金，并按照规定征收土地闲置费后，将剩余的已付国有建设用地使用权出让价款退还受让人。</w:t>
      </w:r>
    </w:p>
    <w:p>
      <w:pPr>
        <w:pStyle w:val="4"/>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第三十二条</w:t>
      </w:r>
      <w:r>
        <w:rPr>
          <w:rFonts w:ascii="Times New Roman" w:hAnsi="Times New Roman"/>
          <w:color w:val="000000" w:themeColor="text1"/>
          <w:sz w:val="28"/>
          <w:szCs w:val="28"/>
        </w:rPr>
        <w:t>受让人造成土地闲置，闲置满一年不满两年的，应依法缴纳土地闲置费；土地闲置满两年且未开工建设的，出让人有权无偿收回国有建设用地使用权。</w:t>
      </w:r>
    </w:p>
    <w:p>
      <w:pPr>
        <w:pStyle w:val="4"/>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第三十三条</w:t>
      </w:r>
      <w:r>
        <w:rPr>
          <w:rFonts w:ascii="Times New Roman" w:hAnsi="Times New Roman"/>
          <w:color w:val="000000" w:themeColor="text1"/>
          <w:sz w:val="28"/>
          <w:szCs w:val="28"/>
        </w:rPr>
        <w:t>　受让人未能按照本合同约定日期或同意延建所另行约定日期开工建设的，每延期一日，应向出让人支付相当于国有建设用地使用权出让价款总额‰的违约金，出让人有权要求受让人继续履约。</w:t>
      </w:r>
    </w:p>
    <w:p>
      <w:pPr>
        <w:pStyle w:val="4"/>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受让人未能按照本合同约定日期或同意延建所另行约定日期竣工的，每延期一日，应向出让人支付相当于国有建设用地使用权出让价款总额‰的违约金。</w:t>
      </w:r>
    </w:p>
    <w:p>
      <w:pPr>
        <w:pStyle w:val="4"/>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第三十四条</w:t>
      </w:r>
      <w:r>
        <w:rPr>
          <w:rFonts w:ascii="Times New Roman" w:hAnsi="Times New Roman"/>
          <w:color w:val="000000" w:themeColor="text1"/>
          <w:sz w:val="28"/>
          <w:szCs w:val="28"/>
        </w:rPr>
        <w:t>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pPr>
        <w:pStyle w:val="4"/>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第三十五条</w:t>
      </w:r>
      <w:r>
        <w:rPr>
          <w:rFonts w:ascii="Times New Roman" w:hAnsi="Times New Roman"/>
          <w:color w:val="000000" w:themeColor="text1"/>
          <w:sz w:val="28"/>
          <w:szCs w:val="28"/>
        </w:rPr>
        <w:t>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pStyle w:val="4"/>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第三十六条</w:t>
      </w:r>
      <w:r>
        <w:rPr>
          <w:rFonts w:ascii="Times New Roman" w:hAnsi="Times New Roman"/>
          <w:color w:val="000000" w:themeColor="text1"/>
          <w:sz w:val="28"/>
          <w:szCs w:val="28"/>
        </w:rPr>
        <w:t>工业建设项目的绿地率、企业内部行政办公及生活服务设施用地所占比例、企业内部行政办公及生活服务设施建筑面积等任何一项指标超过本合同约定标准的，受让人应当向出让人支付相当于宗地出让价款‰的违约金，并自行拆除相应的绿化和建筑设施。</w:t>
      </w:r>
    </w:p>
    <w:p>
      <w:pPr>
        <w:pStyle w:val="4"/>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第三十七条</w:t>
      </w:r>
      <w:r>
        <w:rPr>
          <w:rFonts w:ascii="Times New Roman" w:hAnsi="Times New Roman"/>
          <w:color w:val="000000" w:themeColor="text1"/>
          <w:sz w:val="28"/>
          <w:szCs w:val="28"/>
        </w:rPr>
        <w:t>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向受让人给付违约金，土地使用年期自实际交付土地之日起算。出让人延期交付土地超过60日，经受让人催交后仍不能交付土地的，受让人有权解除合同，出让人应当双倍返还定金，并退还已经支付国有建设用地使用权出让价款的其余部分，受让人并可请求出让人赔偿损失。</w:t>
      </w:r>
    </w:p>
    <w:p>
      <w:pPr>
        <w:pStyle w:val="4"/>
        <w:spacing w:line="578" w:lineRule="exact"/>
        <w:ind w:firstLine="645"/>
        <w:rPr>
          <w:rFonts w:ascii="Times New Roman" w:hAnsi="Times New Roman"/>
          <w:b/>
          <w:color w:val="000000" w:themeColor="text1"/>
          <w:sz w:val="28"/>
          <w:szCs w:val="28"/>
        </w:rPr>
      </w:pPr>
      <w:r>
        <w:rPr>
          <w:rFonts w:ascii="Times New Roman" w:hAnsi="Times New Roman"/>
          <w:b/>
          <w:bCs/>
          <w:color w:val="000000" w:themeColor="text1"/>
          <w:sz w:val="28"/>
          <w:szCs w:val="28"/>
        </w:rPr>
        <w:t>第三十八条</w:t>
      </w:r>
      <w:r>
        <w:rPr>
          <w:rFonts w:ascii="Times New Roman" w:hAnsi="Times New Roman"/>
          <w:color w:val="000000" w:themeColor="text1"/>
          <w:sz w:val="28"/>
          <w:szCs w:val="28"/>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pPr>
        <w:pStyle w:val="4"/>
        <w:spacing w:line="578" w:lineRule="exact"/>
        <w:ind w:firstLine="645"/>
        <w:rPr>
          <w:rFonts w:ascii="Times New Roman" w:hAnsi="Times New Roman"/>
          <w:color w:val="000000" w:themeColor="text1"/>
          <w:sz w:val="28"/>
          <w:szCs w:val="28"/>
        </w:rPr>
      </w:pPr>
    </w:p>
    <w:p>
      <w:pPr>
        <w:pStyle w:val="4"/>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第八章适用法律及争议解决</w:t>
      </w:r>
    </w:p>
    <w:p>
      <w:pPr>
        <w:pStyle w:val="4"/>
        <w:spacing w:line="578" w:lineRule="exact"/>
        <w:jc w:val="center"/>
        <w:rPr>
          <w:rFonts w:ascii="Times New Roman" w:hAnsi="Times New Roman"/>
          <w:color w:val="000000" w:themeColor="text1"/>
          <w:sz w:val="28"/>
          <w:szCs w:val="28"/>
        </w:rPr>
      </w:pPr>
    </w:p>
    <w:p>
      <w:pPr>
        <w:pStyle w:val="4"/>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第三十九条</w:t>
      </w:r>
      <w:r>
        <w:rPr>
          <w:rFonts w:ascii="Times New Roman" w:hAnsi="Times New Roman"/>
          <w:color w:val="000000" w:themeColor="text1"/>
          <w:sz w:val="28"/>
          <w:szCs w:val="28"/>
        </w:rPr>
        <w:t>本合同订立、效力、解释、履行及争议的解决，适用中华人民共和国法律。</w:t>
      </w:r>
    </w:p>
    <w:p>
      <w:pPr>
        <w:pStyle w:val="4"/>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第四十条</w:t>
      </w:r>
      <w:r>
        <w:rPr>
          <w:rFonts w:ascii="Times New Roman" w:hAnsi="Times New Roman"/>
          <w:color w:val="000000" w:themeColor="text1"/>
          <w:sz w:val="28"/>
          <w:szCs w:val="28"/>
        </w:rPr>
        <w:t>因履行本合同发生争议，由争议双方协商解决，协商不成的，按本条第项约定的方式解决：</w:t>
      </w:r>
    </w:p>
    <w:p>
      <w:pPr>
        <w:pStyle w:val="4"/>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（一）提交仲裁委员会仲裁；</w:t>
      </w:r>
    </w:p>
    <w:p>
      <w:pPr>
        <w:pStyle w:val="4"/>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（二）依法向人民法院起诉。</w:t>
      </w:r>
    </w:p>
    <w:p>
      <w:pPr>
        <w:pStyle w:val="4"/>
        <w:spacing w:line="578" w:lineRule="exact"/>
        <w:rPr>
          <w:rFonts w:ascii="Times New Roman" w:hAnsi="Times New Roman"/>
          <w:color w:val="000000" w:themeColor="text1"/>
          <w:sz w:val="28"/>
          <w:szCs w:val="28"/>
        </w:rPr>
      </w:pPr>
    </w:p>
    <w:p>
      <w:pPr>
        <w:pStyle w:val="4"/>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第九章附则</w:t>
      </w:r>
    </w:p>
    <w:p>
      <w:pPr>
        <w:pStyle w:val="4"/>
        <w:spacing w:line="578" w:lineRule="exact"/>
        <w:jc w:val="center"/>
        <w:rPr>
          <w:rFonts w:ascii="Times New Roman" w:hAnsi="Times New Roman"/>
          <w:color w:val="000000" w:themeColor="text1"/>
          <w:sz w:val="28"/>
          <w:szCs w:val="28"/>
        </w:rPr>
      </w:pPr>
    </w:p>
    <w:p>
      <w:pPr>
        <w:pStyle w:val="4"/>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第四十一条</w:t>
      </w:r>
      <w:r>
        <w:rPr>
          <w:rFonts w:ascii="Times New Roman" w:hAnsi="Times New Roman"/>
          <w:color w:val="000000" w:themeColor="text1"/>
          <w:sz w:val="28"/>
          <w:szCs w:val="28"/>
        </w:rPr>
        <w:t>本合同项下宗地出让方案业经人民政府批准，本合同自双方签订之日起生效。</w:t>
      </w:r>
    </w:p>
    <w:p>
      <w:pPr>
        <w:pStyle w:val="4"/>
        <w:spacing w:line="578" w:lineRule="exact"/>
        <w:ind w:firstLine="562" w:firstLineChars="200"/>
        <w:rPr>
          <w:rFonts w:ascii="Times New Roman" w:hAnsi="Times New Roman"/>
          <w:b/>
          <w:bCs/>
          <w:color w:val="000000" w:themeColor="text1"/>
          <w:sz w:val="28"/>
          <w:szCs w:val="28"/>
        </w:rPr>
      </w:pPr>
      <w:r>
        <w:rPr>
          <w:rFonts w:ascii="Times New Roman" w:hAnsi="Times New Roman"/>
          <w:b/>
          <w:bCs/>
          <w:color w:val="000000" w:themeColor="text1"/>
          <w:sz w:val="28"/>
          <w:szCs w:val="28"/>
        </w:rPr>
        <w:t>第四十二条</w:t>
      </w:r>
      <w:r>
        <w:rPr>
          <w:rFonts w:ascii="Times New Roman" w:hAnsi="Times New Roman"/>
          <w:color w:val="000000" w:themeColor="text1"/>
          <w:sz w:val="28"/>
          <w:szCs w:val="28"/>
        </w:rPr>
        <w:t>本</w:t>
      </w:r>
      <w:r>
        <w:rPr>
          <w:rFonts w:ascii="Times New Roman" w:hAnsi="Times New Roman"/>
          <w:color w:val="000000" w:themeColor="text1"/>
          <w:kern w:val="0"/>
          <w:sz w:val="28"/>
          <w:szCs w:val="28"/>
        </w:rPr>
        <w:t>合同双方当事人均保证本合同中所填写的姓名、</w:t>
      </w:r>
      <w:r>
        <w:rPr>
          <w:rFonts w:ascii="Times New Roman" w:hAnsi="Times New Roman"/>
          <w:color w:val="000000" w:themeColor="text1"/>
          <w:sz w:val="28"/>
          <w:szCs w:val="28"/>
        </w:rPr>
        <w:t>通讯地址、电话、传真、开户银行、</w:t>
      </w:r>
      <w:r>
        <w:rPr>
          <w:rFonts w:ascii="Times New Roman" w:hAnsi="Times New Roman"/>
          <w:color w:val="000000" w:themeColor="text1"/>
          <w:kern w:val="0"/>
          <w:sz w:val="28"/>
          <w:szCs w:val="28"/>
        </w:rPr>
        <w:t>代理人等内容的真实有效，一方的信息如有变更，应于变更之日起15日内以书面形式告知对方，否则由此引起的无法及时告知的责任由信息变更方承担。</w:t>
      </w:r>
    </w:p>
    <w:p>
      <w:pPr>
        <w:pStyle w:val="4"/>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第四十三条</w:t>
      </w:r>
      <w:r>
        <w:rPr>
          <w:rFonts w:ascii="Times New Roman" w:hAnsi="Times New Roman"/>
          <w:color w:val="000000" w:themeColor="text1"/>
          <w:sz w:val="28"/>
          <w:szCs w:val="28"/>
        </w:rPr>
        <w:t>本合同和附件共页整，以中文书写为准。</w:t>
      </w:r>
    </w:p>
    <w:p>
      <w:pPr>
        <w:pStyle w:val="4"/>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第四十四条</w:t>
      </w:r>
      <w:r>
        <w:rPr>
          <w:rFonts w:ascii="Times New Roman" w:hAnsi="Times New Roman"/>
          <w:color w:val="000000" w:themeColor="text1"/>
          <w:sz w:val="28"/>
          <w:szCs w:val="28"/>
        </w:rPr>
        <w:t>本合同的价款、金额、面积等项应当同时以大、小写表示，大小写数额应当一致，不一致的，以大写为准。</w:t>
      </w:r>
    </w:p>
    <w:p>
      <w:pPr>
        <w:pStyle w:val="4"/>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第四十五条</w:t>
      </w:r>
      <w:r>
        <w:rPr>
          <w:rFonts w:ascii="Times New Roman" w:hAnsi="Times New Roman"/>
          <w:color w:val="000000" w:themeColor="text1"/>
          <w:sz w:val="28"/>
          <w:szCs w:val="28"/>
        </w:rPr>
        <w:t>本合同未尽事宜，可由双方约定后作为合同附件，与本合同具有同等法律效力。</w:t>
      </w:r>
    </w:p>
    <w:p>
      <w:pPr>
        <w:pStyle w:val="4"/>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第四十六条</w:t>
      </w:r>
      <w:r>
        <w:rPr>
          <w:rFonts w:ascii="Times New Roman" w:hAnsi="Times New Roman"/>
          <w:color w:val="000000" w:themeColor="text1"/>
          <w:sz w:val="28"/>
          <w:szCs w:val="28"/>
        </w:rPr>
        <w:t>本合同一式</w:t>
      </w:r>
      <w:r>
        <w:rPr>
          <w:rFonts w:ascii="Times New Roman" w:hAnsi="Times New Roman"/>
          <w:color w:val="000000" w:themeColor="text1"/>
          <w:sz w:val="28"/>
          <w:szCs w:val="28"/>
          <w:u w:val="single"/>
        </w:rPr>
        <w:t>陆</w:t>
      </w:r>
      <w:r>
        <w:rPr>
          <w:rFonts w:ascii="Times New Roman" w:hAnsi="Times New Roman"/>
          <w:color w:val="000000" w:themeColor="text1"/>
          <w:sz w:val="28"/>
          <w:szCs w:val="28"/>
        </w:rPr>
        <w:t>份，出让人</w:t>
      </w:r>
      <w:r>
        <w:rPr>
          <w:rFonts w:ascii="Times New Roman" w:hAnsi="Times New Roman"/>
          <w:color w:val="000000" w:themeColor="text1"/>
          <w:sz w:val="28"/>
          <w:szCs w:val="28"/>
          <w:u w:val="single"/>
        </w:rPr>
        <w:t>叁</w:t>
      </w:r>
      <w:r>
        <w:rPr>
          <w:rFonts w:ascii="Times New Roman" w:hAnsi="Times New Roman"/>
          <w:color w:val="000000" w:themeColor="text1"/>
          <w:sz w:val="28"/>
          <w:szCs w:val="28"/>
        </w:rPr>
        <w:t>份,受让人</w:t>
      </w:r>
      <w:r>
        <w:rPr>
          <w:rFonts w:ascii="Times New Roman" w:hAnsi="Times New Roman"/>
          <w:color w:val="000000" w:themeColor="text1"/>
          <w:sz w:val="28"/>
          <w:szCs w:val="28"/>
          <w:u w:val="single"/>
        </w:rPr>
        <w:t>叁</w:t>
      </w:r>
      <w:r>
        <w:rPr>
          <w:rFonts w:ascii="Times New Roman" w:hAnsi="Times New Roman"/>
          <w:color w:val="000000" w:themeColor="text1"/>
          <w:sz w:val="28"/>
          <w:szCs w:val="28"/>
        </w:rPr>
        <w:t>份，具有同等法律效力。</w:t>
      </w:r>
    </w:p>
    <w:p>
      <w:pPr>
        <w:pStyle w:val="4"/>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补充条款：</w:t>
      </w:r>
    </w:p>
    <w:p>
      <w:pPr>
        <w:pStyle w:val="4"/>
        <w:spacing w:line="578" w:lineRule="exact"/>
        <w:rPr>
          <w:rFonts w:ascii="Times New Roman" w:hAnsi="Times New Roman"/>
          <w:color w:val="000000" w:themeColor="text1"/>
          <w:sz w:val="28"/>
          <w:szCs w:val="28"/>
        </w:rPr>
      </w:pPr>
    </w:p>
    <w:p>
      <w:pPr>
        <w:pStyle w:val="4"/>
        <w:spacing w:line="578" w:lineRule="exact"/>
        <w:jc w:val="center"/>
        <w:rPr>
          <w:rFonts w:ascii="Times New Roman" w:hAnsi="Times New Roman"/>
          <w:color w:val="000000" w:themeColor="text1"/>
          <w:sz w:val="28"/>
          <w:szCs w:val="28"/>
        </w:rPr>
      </w:pPr>
    </w:p>
    <w:p>
      <w:pPr>
        <w:pStyle w:val="4"/>
        <w:spacing w:line="578" w:lineRule="exact"/>
        <w:ind w:firstLine="560" w:firstLineChars="200"/>
        <w:rPr>
          <w:rFonts w:ascii="Times New Roman" w:hAnsi="Times New Roman"/>
          <w:color w:val="000000" w:themeColor="text1"/>
          <w:sz w:val="28"/>
          <w:szCs w:val="28"/>
        </w:rPr>
      </w:pPr>
    </w:p>
    <w:p>
      <w:pPr>
        <w:pStyle w:val="4"/>
        <w:spacing w:line="578" w:lineRule="exact"/>
        <w:rPr>
          <w:rFonts w:ascii="Times New Roman" w:hAnsi="Times New Roman"/>
          <w:color w:val="000000" w:themeColor="text1"/>
          <w:sz w:val="28"/>
          <w:szCs w:val="28"/>
        </w:rPr>
      </w:pPr>
    </w:p>
    <w:p>
      <w:pPr>
        <w:pStyle w:val="4"/>
        <w:spacing w:line="578" w:lineRule="exact"/>
        <w:rPr>
          <w:rFonts w:ascii="Times New Roman" w:hAnsi="Times New Roman"/>
          <w:color w:val="000000" w:themeColor="text1"/>
          <w:sz w:val="28"/>
          <w:szCs w:val="28"/>
        </w:rPr>
      </w:pPr>
      <w:r>
        <w:rPr>
          <w:rFonts w:ascii="Times New Roman" w:hAnsi="Times New Roman"/>
          <w:color w:val="000000" w:themeColor="text1"/>
          <w:sz w:val="28"/>
          <w:szCs w:val="28"/>
        </w:rPr>
        <w:t>出让人（章）：受让人（章）：</w:t>
      </w:r>
    </w:p>
    <w:p>
      <w:pPr>
        <w:pStyle w:val="4"/>
        <w:spacing w:line="578" w:lineRule="exact"/>
        <w:rPr>
          <w:rFonts w:ascii="Times New Roman" w:hAnsi="Times New Roman"/>
          <w:color w:val="000000" w:themeColor="text1"/>
          <w:sz w:val="28"/>
          <w:szCs w:val="28"/>
        </w:rPr>
      </w:pPr>
    </w:p>
    <w:p>
      <w:pPr>
        <w:pStyle w:val="4"/>
        <w:spacing w:line="578" w:lineRule="exact"/>
        <w:rPr>
          <w:rFonts w:ascii="Times New Roman" w:hAnsi="Times New Roman"/>
          <w:color w:val="000000" w:themeColor="text1"/>
          <w:sz w:val="28"/>
          <w:szCs w:val="28"/>
        </w:rPr>
      </w:pPr>
    </w:p>
    <w:p>
      <w:pPr>
        <w:pStyle w:val="4"/>
        <w:spacing w:line="578" w:lineRule="exact"/>
        <w:rPr>
          <w:rFonts w:ascii="Times New Roman" w:hAnsi="Times New Roman"/>
          <w:color w:val="000000" w:themeColor="text1"/>
          <w:sz w:val="28"/>
          <w:szCs w:val="28"/>
        </w:rPr>
      </w:pPr>
      <w:r>
        <w:rPr>
          <w:rFonts w:ascii="Times New Roman" w:hAnsi="Times New Roman"/>
          <w:color w:val="000000" w:themeColor="text1"/>
          <w:sz w:val="28"/>
          <w:szCs w:val="28"/>
        </w:rPr>
        <w:t>法定代表人（委托代理人）法定代表人(委托代理人)：</w:t>
      </w:r>
    </w:p>
    <w:p>
      <w:pPr>
        <w:pStyle w:val="4"/>
        <w:spacing w:line="578" w:lineRule="exact"/>
        <w:rPr>
          <w:rFonts w:ascii="Times New Roman" w:hAnsi="Times New Roman"/>
          <w:color w:val="000000" w:themeColor="text1"/>
          <w:sz w:val="28"/>
          <w:szCs w:val="28"/>
        </w:rPr>
      </w:pPr>
      <w:r>
        <w:rPr>
          <w:rFonts w:ascii="Times New Roman" w:hAnsi="Times New Roman"/>
          <w:color w:val="000000" w:themeColor="text1"/>
          <w:sz w:val="28"/>
          <w:szCs w:val="28"/>
        </w:rPr>
        <w:t>（签字）：（签字）：</w:t>
      </w:r>
    </w:p>
    <w:p>
      <w:pPr>
        <w:pStyle w:val="4"/>
        <w:spacing w:line="578" w:lineRule="exact"/>
        <w:rPr>
          <w:rFonts w:ascii="Times New Roman" w:hAnsi="Times New Roman"/>
          <w:color w:val="000000" w:themeColor="text1"/>
          <w:sz w:val="28"/>
          <w:szCs w:val="28"/>
        </w:rPr>
      </w:pPr>
    </w:p>
    <w:p>
      <w:pPr>
        <w:pStyle w:val="4"/>
        <w:spacing w:line="578" w:lineRule="exact"/>
        <w:rPr>
          <w:rFonts w:ascii="Times New Roman" w:hAnsi="Times New Roman"/>
          <w:color w:val="000000" w:themeColor="text1"/>
          <w:sz w:val="28"/>
          <w:szCs w:val="28"/>
        </w:rPr>
      </w:pPr>
    </w:p>
    <w:p>
      <w:pPr>
        <w:pStyle w:val="4"/>
        <w:ind w:firstLine="4340" w:firstLineChars="1550"/>
        <w:rPr>
          <w:rFonts w:ascii="Times New Roman" w:hAnsi="Times New Roman"/>
          <w:color w:val="000000" w:themeColor="text1"/>
        </w:rPr>
      </w:pPr>
      <w:r>
        <w:rPr>
          <w:rFonts w:hint="eastAsia" w:ascii="Times New Roman" w:hAnsi="Times New Roman"/>
          <w:color w:val="000000" w:themeColor="text1"/>
          <w:sz w:val="28"/>
          <w:szCs w:val="28"/>
          <w:lang w:val="en-US" w:eastAsia="zh-CN"/>
        </w:rPr>
        <w:t xml:space="preserve">   </w:t>
      </w:r>
      <w:r>
        <w:rPr>
          <w:rFonts w:ascii="Times New Roman" w:hAnsi="Times New Roman"/>
          <w:color w:val="000000" w:themeColor="text1"/>
          <w:sz w:val="28"/>
          <w:szCs w:val="28"/>
        </w:rPr>
        <w:t>年  月  日</w:t>
      </w:r>
    </w:p>
    <w:p>
      <w:pPr>
        <w:pStyle w:val="4"/>
        <w:spacing w:line="578" w:lineRule="exact"/>
        <w:jc w:val="right"/>
        <w:rPr>
          <w:rFonts w:ascii="Times New Roman" w:hAnsi="Times New Roman"/>
          <w:color w:val="000000" w:themeColor="text1"/>
          <w:sz w:val="28"/>
          <w:szCs w:val="28"/>
        </w:rPr>
        <w:sectPr>
          <w:pgSz w:w="11906" w:h="16838"/>
          <w:pgMar w:top="1440" w:right="1800" w:bottom="1440" w:left="1800" w:header="851" w:footer="992" w:gutter="0"/>
          <w:pgNumType w:fmt="numberInDash"/>
          <w:cols w:space="425" w:num="1"/>
          <w:docGrid w:type="lines" w:linePitch="312" w:charSpace="0"/>
        </w:sectPr>
      </w:pPr>
    </w:p>
    <w:p>
      <w:pPr>
        <w:pStyle w:val="12"/>
        <w:rPr>
          <w:rFonts w:ascii="Times New Roman" w:hAnsi="Times New Roman" w:eastAsia="黑体"/>
          <w:color w:val="000000" w:themeColor="text1"/>
          <w:sz w:val="44"/>
          <w:szCs w:val="44"/>
        </w:rPr>
      </w:pPr>
      <w:bookmarkStart w:id="21" w:name="_Toc3391981"/>
      <w:r>
        <w:rPr>
          <w:rFonts w:ascii="Times New Roman" w:hAnsi="Times New Roman" w:eastAsia="黑体"/>
          <w:color w:val="000000" w:themeColor="text1"/>
          <w:sz w:val="44"/>
          <w:szCs w:val="44"/>
        </w:rPr>
        <w:t>国有建设用地交接地确认书</w:t>
      </w:r>
      <w:bookmarkEnd w:id="21"/>
    </w:p>
    <w:p>
      <w:pPr>
        <w:jc w:val="center"/>
        <w:rPr>
          <w:rFonts w:eastAsia="仿宋_GB2312"/>
          <w:color w:val="000000" w:themeColor="text1"/>
          <w:sz w:val="32"/>
          <w:szCs w:val="32"/>
        </w:rPr>
      </w:pPr>
      <w:r>
        <w:rPr>
          <w:rFonts w:eastAsia="仿宋_GB2312"/>
          <w:color w:val="000000" w:themeColor="text1"/>
          <w:sz w:val="32"/>
          <w:szCs w:val="32"/>
        </w:rPr>
        <w:t>达市自然资交字〔〕号</w:t>
      </w:r>
    </w:p>
    <w:p>
      <w:pPr>
        <w:spacing w:line="560" w:lineRule="exact"/>
        <w:ind w:firstLine="640" w:firstLineChars="200"/>
        <w:rPr>
          <w:rFonts w:eastAsia="仿宋_GB2312"/>
          <w:color w:val="000000" w:themeColor="text1"/>
          <w:sz w:val="32"/>
          <w:szCs w:val="32"/>
        </w:rPr>
      </w:pPr>
    </w:p>
    <w:p>
      <w:pPr>
        <w:spacing w:line="560" w:lineRule="exact"/>
        <w:ind w:firstLine="643" w:firstLineChars="200"/>
        <w:rPr>
          <w:rFonts w:eastAsia="仿宋"/>
          <w:b/>
          <w:color w:val="000000" w:themeColor="text1"/>
          <w:sz w:val="32"/>
          <w:szCs w:val="32"/>
          <w:u w:val="single"/>
        </w:rPr>
      </w:pPr>
      <w:r>
        <w:rPr>
          <w:rFonts w:eastAsia="仿宋"/>
          <w:b/>
          <w:color w:val="000000" w:themeColor="text1"/>
          <w:sz w:val="32"/>
          <w:szCs w:val="32"/>
        </w:rPr>
        <w:t>根据号《国有建设用地使用权出让合同》/《国有建设用地使用权划拨决定书》的相关要求，</w:t>
      </w:r>
      <w:r>
        <w:rPr>
          <w:rFonts w:eastAsia="仿宋"/>
          <w:b/>
          <w:color w:val="000000" w:themeColor="text1"/>
          <w:sz w:val="32"/>
          <w:szCs w:val="32"/>
          <w:u w:val="single"/>
        </w:rPr>
        <w:t xml:space="preserve">          </w:t>
      </w:r>
      <w:r>
        <w:rPr>
          <w:rFonts w:eastAsia="仿宋"/>
          <w:b/>
          <w:color w:val="000000" w:themeColor="text1"/>
          <w:sz w:val="32"/>
          <w:szCs w:val="32"/>
        </w:rPr>
        <w:t>地块已达到交地条件，从即日起取得该宗地的国有建设用地使用权。局于年月日将该宗地实际交付给，现场接收。</w:t>
      </w:r>
    </w:p>
    <w:p>
      <w:pPr>
        <w:spacing w:line="560" w:lineRule="exact"/>
        <w:ind w:firstLine="643" w:firstLineChars="200"/>
        <w:rPr>
          <w:rFonts w:eastAsia="仿宋"/>
          <w:b/>
          <w:color w:val="000000" w:themeColor="text1"/>
          <w:sz w:val="32"/>
          <w:szCs w:val="32"/>
        </w:rPr>
      </w:pPr>
      <w:r>
        <w:rPr>
          <w:rFonts w:eastAsia="仿宋"/>
          <w:b/>
          <w:color w:val="000000" w:themeColor="text1"/>
          <w:sz w:val="32"/>
          <w:szCs w:val="32"/>
        </w:rPr>
        <w:t>本确认书一式三份，局执二份，接地方执一份。</w:t>
      </w:r>
    </w:p>
    <w:p>
      <w:pPr>
        <w:spacing w:line="560" w:lineRule="exact"/>
        <w:ind w:firstLine="643" w:firstLineChars="200"/>
        <w:rPr>
          <w:rFonts w:eastAsia="仿宋"/>
          <w:b/>
          <w:color w:val="000000" w:themeColor="text1"/>
          <w:sz w:val="32"/>
          <w:szCs w:val="32"/>
        </w:rPr>
      </w:pPr>
      <w:r>
        <w:rPr>
          <w:rFonts w:eastAsia="仿宋"/>
          <w:b/>
          <w:color w:val="000000" w:themeColor="text1"/>
          <w:sz w:val="32"/>
          <w:szCs w:val="32"/>
        </w:rPr>
        <w:t>特此确认。</w:t>
      </w:r>
    </w:p>
    <w:p>
      <w:pPr>
        <w:spacing w:line="560" w:lineRule="exact"/>
        <w:ind w:firstLine="643" w:firstLineChars="200"/>
        <w:rPr>
          <w:rFonts w:eastAsia="仿宋"/>
          <w:b/>
          <w:color w:val="000000" w:themeColor="text1"/>
          <w:sz w:val="32"/>
          <w:szCs w:val="32"/>
        </w:rPr>
      </w:pPr>
    </w:p>
    <w:p>
      <w:pPr>
        <w:spacing w:line="560" w:lineRule="exact"/>
        <w:ind w:firstLine="643" w:firstLineChars="200"/>
        <w:rPr>
          <w:rFonts w:eastAsia="仿宋"/>
          <w:b/>
          <w:color w:val="000000" w:themeColor="text1"/>
          <w:sz w:val="32"/>
          <w:szCs w:val="32"/>
        </w:rPr>
      </w:pPr>
      <w:r>
        <w:rPr>
          <w:rFonts w:eastAsia="仿宋"/>
          <w:b/>
          <w:color w:val="000000" w:themeColor="text1"/>
          <w:sz w:val="32"/>
          <w:szCs w:val="32"/>
        </w:rPr>
        <w:t>交地方：               （印章）</w:t>
      </w:r>
    </w:p>
    <w:p>
      <w:pPr>
        <w:spacing w:line="560" w:lineRule="exact"/>
        <w:ind w:firstLine="643" w:firstLineChars="200"/>
        <w:rPr>
          <w:rFonts w:eastAsia="仿宋"/>
          <w:b/>
          <w:color w:val="000000" w:themeColor="text1"/>
          <w:sz w:val="32"/>
          <w:szCs w:val="32"/>
        </w:rPr>
      </w:pPr>
      <w:r>
        <w:rPr>
          <w:rFonts w:eastAsia="仿宋"/>
          <w:b/>
          <w:color w:val="000000" w:themeColor="text1"/>
          <w:sz w:val="32"/>
          <w:szCs w:val="32"/>
        </w:rPr>
        <w:t>接地方：               （印章）</w:t>
      </w:r>
    </w:p>
    <w:p>
      <w:pPr>
        <w:spacing w:line="560" w:lineRule="exact"/>
        <w:ind w:firstLine="643" w:firstLineChars="200"/>
        <w:rPr>
          <w:rFonts w:eastAsia="仿宋"/>
          <w:b/>
          <w:color w:val="000000" w:themeColor="text1"/>
          <w:sz w:val="32"/>
          <w:szCs w:val="32"/>
        </w:rPr>
      </w:pPr>
    </w:p>
    <w:p>
      <w:pPr>
        <w:spacing w:line="560" w:lineRule="exact"/>
        <w:ind w:firstLine="4176" w:firstLineChars="1300"/>
        <w:rPr>
          <w:rFonts w:eastAsia="仿宋"/>
          <w:b/>
          <w:color w:val="000000" w:themeColor="text1"/>
          <w:sz w:val="32"/>
          <w:szCs w:val="32"/>
        </w:rPr>
      </w:pPr>
      <w:r>
        <w:rPr>
          <w:rFonts w:eastAsia="仿宋"/>
          <w:b/>
          <w:color w:val="000000" w:themeColor="text1"/>
          <w:sz w:val="32"/>
          <w:szCs w:val="32"/>
        </w:rPr>
        <w:t>年  月  日</w:t>
      </w:r>
    </w:p>
    <w:p>
      <w:pPr>
        <w:spacing w:line="560" w:lineRule="exact"/>
        <w:rPr>
          <w:rFonts w:eastAsia="仿宋"/>
          <w:color w:val="000000" w:themeColor="text1"/>
          <w:sz w:val="32"/>
          <w:szCs w:val="32"/>
        </w:rPr>
      </w:pPr>
    </w:p>
    <w:p>
      <w:pPr>
        <w:spacing w:line="560" w:lineRule="exact"/>
        <w:rPr>
          <w:rFonts w:eastAsia="仿宋"/>
          <w:color w:val="000000" w:themeColor="text1"/>
          <w:sz w:val="32"/>
          <w:szCs w:val="32"/>
        </w:rPr>
      </w:pPr>
      <w:r>
        <w:rPr>
          <w:rFonts w:eastAsia="仿宋"/>
          <w:color w:val="000000" w:themeColor="text1"/>
          <w:sz w:val="32"/>
          <w:szCs w:val="32"/>
        </w:rPr>
        <w:t>注：1.接地方须为受让方；</w:t>
      </w:r>
    </w:p>
    <w:p>
      <w:pPr>
        <w:spacing w:line="560" w:lineRule="exact"/>
        <w:ind w:firstLine="645"/>
        <w:rPr>
          <w:rFonts w:eastAsia="仿宋"/>
          <w:color w:val="000000" w:themeColor="text1"/>
          <w:sz w:val="32"/>
          <w:szCs w:val="32"/>
        </w:rPr>
      </w:pPr>
      <w:r>
        <w:rPr>
          <w:rFonts w:eastAsia="仿宋"/>
          <w:color w:val="000000" w:themeColor="text1"/>
          <w:sz w:val="32"/>
          <w:szCs w:val="32"/>
        </w:rPr>
        <w:t>2.接地方到场人员须持受让方的委托书，委托书须现场交给交地方；</w:t>
      </w:r>
    </w:p>
    <w:p>
      <w:pPr>
        <w:spacing w:line="560" w:lineRule="exact"/>
        <w:ind w:firstLine="645"/>
        <w:rPr>
          <w:rFonts w:eastAsia="仿宋"/>
          <w:color w:val="000000" w:themeColor="text1"/>
          <w:sz w:val="32"/>
          <w:szCs w:val="32"/>
        </w:rPr>
      </w:pPr>
      <w:r>
        <w:rPr>
          <w:rFonts w:eastAsia="仿宋"/>
          <w:color w:val="000000" w:themeColor="text1"/>
          <w:sz w:val="32"/>
          <w:szCs w:val="32"/>
        </w:rPr>
        <w:t>3.接地方须在到场后三日内将加盖印章的确认书返还交地方，否则视为违约；</w:t>
      </w:r>
    </w:p>
    <w:p>
      <w:pPr>
        <w:spacing w:line="560" w:lineRule="exact"/>
        <w:ind w:firstLine="645"/>
        <w:rPr>
          <w:rFonts w:eastAsia="仿宋"/>
          <w:color w:val="000000" w:themeColor="text1"/>
          <w:sz w:val="32"/>
          <w:szCs w:val="32"/>
        </w:rPr>
      </w:pPr>
      <w:r>
        <w:rPr>
          <w:rFonts w:eastAsia="仿宋"/>
          <w:color w:val="000000" w:themeColor="text1"/>
          <w:sz w:val="32"/>
          <w:szCs w:val="32"/>
        </w:rPr>
        <w:t>4.三份确认书中只二份加盖接地方印章。</w:t>
      </w:r>
    </w:p>
    <w:p>
      <w:pPr>
        <w:spacing w:line="560" w:lineRule="exact"/>
        <w:ind w:firstLine="645"/>
        <w:rPr>
          <w:rFonts w:eastAsia="仿宋"/>
          <w:color w:val="000000" w:themeColor="text1"/>
          <w:sz w:val="32"/>
          <w:szCs w:val="32"/>
        </w:rPr>
      </w:pPr>
    </w:p>
    <w:p>
      <w:pPr>
        <w:spacing w:line="560" w:lineRule="exact"/>
        <w:ind w:firstLine="645"/>
        <w:rPr>
          <w:rFonts w:eastAsia="仿宋"/>
          <w:color w:val="000000" w:themeColor="text1"/>
          <w:sz w:val="32"/>
          <w:szCs w:val="32"/>
        </w:rPr>
      </w:pPr>
    </w:p>
    <w:p>
      <w:pPr>
        <w:spacing w:line="560" w:lineRule="exact"/>
        <w:jc w:val="center"/>
        <w:rPr>
          <w:rFonts w:eastAsia="黑体"/>
          <w:color w:val="000000" w:themeColor="text1"/>
          <w:sz w:val="44"/>
          <w:szCs w:val="44"/>
        </w:rPr>
      </w:pPr>
    </w:p>
    <w:p>
      <w:pPr>
        <w:spacing w:line="560" w:lineRule="exact"/>
        <w:jc w:val="center"/>
        <w:rPr>
          <w:rFonts w:eastAsia="黑体"/>
          <w:color w:val="000000" w:themeColor="text1"/>
          <w:sz w:val="44"/>
          <w:szCs w:val="44"/>
        </w:rPr>
      </w:pPr>
      <w:r>
        <w:rPr>
          <w:rFonts w:eastAsia="黑体"/>
          <w:color w:val="000000" w:themeColor="text1"/>
          <w:sz w:val="44"/>
          <w:szCs w:val="44"/>
        </w:rPr>
        <w:t>国有建设用地交接地现场人员签到表</w:t>
      </w:r>
    </w:p>
    <w:p>
      <w:pPr>
        <w:spacing w:line="560" w:lineRule="exact"/>
        <w:ind w:firstLine="645"/>
        <w:rPr>
          <w:rFonts w:eastAsia="仿宋"/>
          <w:color w:val="000000" w:themeColor="text1"/>
          <w:sz w:val="32"/>
          <w:szCs w:val="32"/>
        </w:rPr>
      </w:pPr>
    </w:p>
    <w:p>
      <w:pPr>
        <w:spacing w:line="560" w:lineRule="exact"/>
        <w:rPr>
          <w:rFonts w:eastAsia="仿宋"/>
          <w:b/>
          <w:color w:val="000000" w:themeColor="text1"/>
          <w:sz w:val="32"/>
          <w:szCs w:val="32"/>
        </w:rPr>
      </w:pPr>
      <w:r>
        <w:rPr>
          <w:rFonts w:eastAsia="仿宋"/>
          <w:b/>
          <w:color w:val="000000" w:themeColor="text1"/>
          <w:sz w:val="32"/>
          <w:szCs w:val="32"/>
        </w:rPr>
        <w:t>时间：</w:t>
      </w:r>
    </w:p>
    <w:p>
      <w:pPr>
        <w:spacing w:line="560" w:lineRule="exact"/>
        <w:rPr>
          <w:rFonts w:eastAsia="仿宋"/>
          <w:b/>
          <w:color w:val="000000" w:themeColor="text1"/>
          <w:sz w:val="32"/>
          <w:szCs w:val="32"/>
        </w:rPr>
      </w:pPr>
      <w:r>
        <w:rPr>
          <w:rFonts w:eastAsia="仿宋"/>
          <w:b/>
          <w:color w:val="000000" w:themeColor="text1"/>
          <w:sz w:val="32"/>
          <w:szCs w:val="32"/>
        </w:rPr>
        <w:t>地块名称或编号：</w:t>
      </w:r>
    </w:p>
    <w:p>
      <w:pPr>
        <w:spacing w:line="560" w:lineRule="exact"/>
        <w:rPr>
          <w:rFonts w:eastAsia="仿宋"/>
          <w:b/>
          <w:color w:val="000000" w:themeColor="text1"/>
          <w:sz w:val="32"/>
          <w:szCs w:val="32"/>
        </w:rPr>
      </w:pPr>
      <w:r>
        <w:rPr>
          <w:rFonts w:eastAsia="仿宋"/>
          <w:b/>
          <w:color w:val="000000" w:themeColor="text1"/>
          <w:sz w:val="32"/>
          <w:szCs w:val="32"/>
        </w:rPr>
        <w:t>人员：</w:t>
      </w:r>
    </w:p>
    <w:tbl>
      <w:tblPr>
        <w:tblStyle w:val="13"/>
        <w:tblpPr w:leftFromText="180" w:rightFromText="180" w:vertAnchor="text" w:horzAnchor="margin" w:tblpY="337"/>
        <w:tblW w:w="94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4"/>
        <w:gridCol w:w="2736"/>
        <w:gridCol w:w="1604"/>
        <w:gridCol w:w="2263"/>
        <w:gridCol w:w="1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754" w:type="dxa"/>
            <w:vAlign w:val="center"/>
          </w:tcPr>
          <w:p>
            <w:pPr>
              <w:spacing w:line="560" w:lineRule="exact"/>
              <w:jc w:val="center"/>
              <w:rPr>
                <w:rFonts w:eastAsia="仿宋"/>
                <w:b/>
                <w:color w:val="000000" w:themeColor="text1"/>
                <w:sz w:val="32"/>
                <w:szCs w:val="32"/>
              </w:rPr>
            </w:pPr>
            <w:r>
              <w:rPr>
                <w:rFonts w:eastAsia="仿宋"/>
                <w:b/>
                <w:color w:val="000000" w:themeColor="text1"/>
                <w:sz w:val="32"/>
                <w:szCs w:val="32"/>
              </w:rPr>
              <w:t>姓名</w:t>
            </w:r>
          </w:p>
        </w:tc>
        <w:tc>
          <w:tcPr>
            <w:tcW w:w="2736" w:type="dxa"/>
            <w:vAlign w:val="center"/>
          </w:tcPr>
          <w:p>
            <w:pPr>
              <w:spacing w:line="560" w:lineRule="exact"/>
              <w:jc w:val="center"/>
              <w:rPr>
                <w:rFonts w:eastAsia="仿宋"/>
                <w:b/>
                <w:color w:val="000000" w:themeColor="text1"/>
                <w:sz w:val="32"/>
                <w:szCs w:val="32"/>
              </w:rPr>
            </w:pPr>
            <w:r>
              <w:rPr>
                <w:rFonts w:eastAsia="仿宋"/>
                <w:b/>
                <w:color w:val="000000" w:themeColor="text1"/>
                <w:sz w:val="32"/>
                <w:szCs w:val="32"/>
              </w:rPr>
              <w:t>工作单位</w:t>
            </w:r>
          </w:p>
        </w:tc>
        <w:tc>
          <w:tcPr>
            <w:tcW w:w="1604" w:type="dxa"/>
            <w:vAlign w:val="center"/>
          </w:tcPr>
          <w:p>
            <w:pPr>
              <w:spacing w:line="360" w:lineRule="exact"/>
              <w:jc w:val="center"/>
              <w:rPr>
                <w:rFonts w:eastAsia="仿宋"/>
                <w:b/>
                <w:color w:val="000000" w:themeColor="text1"/>
                <w:sz w:val="32"/>
                <w:szCs w:val="32"/>
              </w:rPr>
            </w:pPr>
            <w:r>
              <w:rPr>
                <w:rFonts w:eastAsia="仿宋"/>
                <w:b/>
                <w:color w:val="000000" w:themeColor="text1"/>
                <w:sz w:val="32"/>
                <w:szCs w:val="32"/>
              </w:rPr>
              <w:t>职务</w:t>
            </w:r>
          </w:p>
          <w:p>
            <w:pPr>
              <w:spacing w:line="360" w:lineRule="exact"/>
              <w:jc w:val="center"/>
              <w:rPr>
                <w:rFonts w:eastAsia="仿宋"/>
                <w:b/>
                <w:color w:val="000000" w:themeColor="text1"/>
                <w:sz w:val="32"/>
                <w:szCs w:val="32"/>
              </w:rPr>
            </w:pPr>
            <w:r>
              <w:rPr>
                <w:rFonts w:eastAsia="仿宋"/>
                <w:b/>
                <w:color w:val="000000" w:themeColor="text1"/>
                <w:sz w:val="32"/>
                <w:szCs w:val="32"/>
              </w:rPr>
              <w:t>(或职称)</w:t>
            </w:r>
          </w:p>
        </w:tc>
        <w:tc>
          <w:tcPr>
            <w:tcW w:w="2263" w:type="dxa"/>
            <w:vAlign w:val="center"/>
          </w:tcPr>
          <w:p>
            <w:pPr>
              <w:spacing w:line="560" w:lineRule="exact"/>
              <w:jc w:val="center"/>
              <w:rPr>
                <w:rFonts w:eastAsia="仿宋"/>
                <w:b/>
                <w:color w:val="000000" w:themeColor="text1"/>
                <w:sz w:val="32"/>
                <w:szCs w:val="32"/>
              </w:rPr>
            </w:pPr>
            <w:r>
              <w:rPr>
                <w:rFonts w:eastAsia="仿宋"/>
                <w:b/>
                <w:color w:val="000000" w:themeColor="text1"/>
                <w:sz w:val="32"/>
                <w:szCs w:val="32"/>
              </w:rPr>
              <w:t>联系电话</w:t>
            </w:r>
          </w:p>
        </w:tc>
        <w:tc>
          <w:tcPr>
            <w:tcW w:w="1093" w:type="dxa"/>
            <w:vAlign w:val="center"/>
          </w:tcPr>
          <w:p>
            <w:pPr>
              <w:spacing w:line="560" w:lineRule="exact"/>
              <w:jc w:val="center"/>
              <w:rPr>
                <w:rFonts w:eastAsia="仿宋"/>
                <w:b/>
                <w:color w:val="000000" w:themeColor="text1"/>
                <w:sz w:val="32"/>
                <w:szCs w:val="32"/>
              </w:rPr>
            </w:pPr>
            <w:r>
              <w:rPr>
                <w:rFonts w:eastAsia="仿宋"/>
                <w:b/>
                <w:color w:val="000000" w:themeColor="text1"/>
                <w:sz w:val="32"/>
                <w:szCs w:val="3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bl>
    <w:p>
      <w:pPr>
        <w:spacing w:line="560" w:lineRule="exact"/>
        <w:rPr>
          <w:rFonts w:eastAsia="仿宋"/>
          <w:color w:val="000000" w:themeColor="text1"/>
          <w:sz w:val="32"/>
          <w:szCs w:val="32"/>
        </w:rPr>
      </w:pPr>
      <w:r>
        <w:rPr>
          <w:rFonts w:eastAsia="仿宋"/>
          <w:color w:val="000000" w:themeColor="text1"/>
          <w:sz w:val="32"/>
          <w:szCs w:val="32"/>
        </w:rPr>
        <w:t>注：1.表格内容须由现场人员亲自填写；</w:t>
      </w:r>
    </w:p>
    <w:p>
      <w:pPr>
        <w:spacing w:line="560" w:lineRule="exact"/>
        <w:rPr>
          <w:rFonts w:eastAsia="仿宋"/>
          <w:color w:val="000000" w:themeColor="text1"/>
          <w:sz w:val="32"/>
          <w:szCs w:val="32"/>
        </w:rPr>
      </w:pPr>
      <w:r>
        <w:rPr>
          <w:rFonts w:eastAsia="仿宋"/>
          <w:color w:val="000000" w:themeColor="text1"/>
          <w:sz w:val="32"/>
          <w:szCs w:val="32"/>
        </w:rPr>
        <w:t xml:space="preserve">    2.接地方主要代表须现场按手印。</w:t>
      </w:r>
    </w:p>
    <w:p>
      <w:pPr>
        <w:pStyle w:val="4"/>
        <w:ind w:left="-141" w:leftChars="-67" w:right="480"/>
        <w:jc w:val="center"/>
        <w:rPr>
          <w:rFonts w:ascii="Times New Roman" w:hAnsi="Times New Roman" w:eastAsia="黑体"/>
          <w:color w:val="000000" w:themeColor="text1"/>
          <w:sz w:val="44"/>
          <w:szCs w:val="44"/>
        </w:rPr>
      </w:pPr>
    </w:p>
    <w:p>
      <w:pPr>
        <w:pStyle w:val="4"/>
        <w:ind w:left="-141" w:leftChars="-67" w:right="480"/>
        <w:jc w:val="center"/>
        <w:rPr>
          <w:rFonts w:ascii="Times New Roman" w:hAnsi="Times New Roman" w:eastAsia="黑体"/>
          <w:color w:val="000000" w:themeColor="text1"/>
          <w:sz w:val="44"/>
          <w:szCs w:val="44"/>
        </w:rPr>
      </w:pPr>
      <w:r>
        <w:rPr>
          <w:rFonts w:ascii="Times New Roman" w:hAnsi="Times New Roman" w:eastAsia="黑体"/>
          <w:color w:val="000000" w:themeColor="text1"/>
          <w:sz w:val="44"/>
          <w:szCs w:val="44"/>
        </w:rPr>
        <w:t>建设项目动工开发申报书</w:t>
      </w:r>
    </w:p>
    <w:p>
      <w:pPr>
        <w:pStyle w:val="4"/>
        <w:ind w:left="-141" w:leftChars="-67" w:right="480"/>
        <w:jc w:val="left"/>
        <w:rPr>
          <w:rFonts w:ascii="Times New Roman" w:hAnsi="Times New Roman"/>
          <w:color w:val="000000" w:themeColor="text1"/>
        </w:rPr>
      </w:pPr>
    </w:p>
    <w:p>
      <w:pPr>
        <w:pStyle w:val="4"/>
        <w:ind w:right="480"/>
        <w:jc w:val="left"/>
        <w:rPr>
          <w:rFonts w:ascii="Times New Roman" w:hAnsi="Times New Roman"/>
          <w:color w:val="000000" w:themeColor="text1"/>
        </w:rPr>
      </w:pPr>
      <w:r>
        <w:rPr>
          <w:rFonts w:ascii="Times New Roman" w:hAnsi="Times New Roman"/>
          <w:color w:val="000000" w:themeColor="text1"/>
        </w:rPr>
        <w:t>×××局：</w:t>
      </w:r>
    </w:p>
    <w:p>
      <w:pPr>
        <w:pStyle w:val="4"/>
        <w:ind w:left="-141" w:leftChars="-67" w:right="480" w:firstLine="480" w:firstLineChars="150"/>
        <w:jc w:val="left"/>
        <w:rPr>
          <w:rFonts w:ascii="Times New Roman" w:hAnsi="Times New Roman"/>
          <w:color w:val="000000" w:themeColor="text1"/>
          <w:u w:val="single"/>
        </w:rPr>
      </w:pPr>
      <w:r>
        <w:rPr>
          <w:rFonts w:ascii="Times New Roman" w:hAnsi="Times New Roman"/>
          <w:color w:val="000000" w:themeColor="text1"/>
        </w:rPr>
        <w:t>你局与我方签定的国有建设用地使用权出让合同，合同电子监管号为（你局向我方核发的国有建设用地划拨决定书电子监管号为），宗地四至为，面积为平方米，约定动工日期为 年 月 日，土地权利证号</w:t>
      </w:r>
      <w:r>
        <w:rPr>
          <w:rFonts w:ascii="Times New Roman" w:hAnsi="Times New Roman"/>
          <w:color w:val="000000" w:themeColor="text1"/>
          <w:u w:val="single"/>
        </w:rPr>
        <w:t>。</w:t>
      </w:r>
    </w:p>
    <w:p>
      <w:pPr>
        <w:pStyle w:val="4"/>
        <w:ind w:left="-141" w:leftChars="-67" w:right="480" w:firstLine="480" w:firstLineChars="150"/>
        <w:jc w:val="left"/>
        <w:rPr>
          <w:rFonts w:ascii="Times New Roman" w:hAnsi="Times New Roman"/>
          <w:color w:val="000000" w:themeColor="text1"/>
        </w:rPr>
      </w:pPr>
      <w:r>
        <w:rPr>
          <w:rFonts w:ascii="Times New Roman" w:hAnsi="Times New Roman"/>
          <w:color w:val="000000" w:themeColor="text1"/>
        </w:rPr>
        <w:t>我方拟在上述宗地建设项目，目前已取得部分（全部）的建设施工许可证（编号为：），并于  年  月 日已达到动工标准。请予检查复核。</w:t>
      </w:r>
    </w:p>
    <w:p>
      <w:pPr>
        <w:pStyle w:val="4"/>
        <w:ind w:left="-141" w:leftChars="-67" w:right="480"/>
        <w:jc w:val="left"/>
        <w:rPr>
          <w:rFonts w:ascii="Times New Roman" w:hAnsi="Times New Roman"/>
          <w:color w:val="000000" w:themeColor="text1"/>
        </w:rPr>
      </w:pPr>
      <w:r>
        <w:rPr>
          <w:rFonts w:ascii="Times New Roman" w:hAnsi="Times New Roman"/>
          <w:color w:val="000000" w:themeColor="text1"/>
        </w:rPr>
        <w:t>特此申报。</w:t>
      </w:r>
    </w:p>
    <w:p>
      <w:pPr>
        <w:pStyle w:val="4"/>
        <w:ind w:left="-141" w:leftChars="-67" w:right="480"/>
        <w:jc w:val="left"/>
        <w:rPr>
          <w:rFonts w:ascii="Times New Roman" w:hAnsi="Times New Roman"/>
          <w:color w:val="000000" w:themeColor="text1"/>
        </w:rPr>
      </w:pPr>
    </w:p>
    <w:p>
      <w:pPr>
        <w:pStyle w:val="4"/>
        <w:ind w:left="-141" w:leftChars="-67" w:right="480"/>
        <w:jc w:val="left"/>
        <w:rPr>
          <w:rFonts w:ascii="Times New Roman" w:hAnsi="Times New Roman"/>
          <w:color w:val="000000" w:themeColor="text1"/>
        </w:rPr>
      </w:pPr>
      <w:r>
        <w:rPr>
          <w:rFonts w:ascii="Times New Roman" w:hAnsi="Times New Roman"/>
          <w:color w:val="000000" w:themeColor="text1"/>
        </w:rPr>
        <w:t>单位（印章）/个人：</w:t>
      </w:r>
    </w:p>
    <w:p>
      <w:pPr>
        <w:pStyle w:val="4"/>
        <w:wordWrap w:val="0"/>
        <w:ind w:left="-141" w:leftChars="-67" w:right="800"/>
        <w:jc w:val="right"/>
        <w:rPr>
          <w:rFonts w:ascii="Times New Roman" w:hAnsi="Times New Roman"/>
          <w:color w:val="000000" w:themeColor="text1"/>
        </w:rPr>
      </w:pPr>
      <w:r>
        <w:rPr>
          <w:rFonts w:ascii="Times New Roman" w:hAnsi="Times New Roman"/>
          <w:color w:val="000000" w:themeColor="text1"/>
        </w:rPr>
        <w:t>年 月 日</w:t>
      </w:r>
    </w:p>
    <w:p>
      <w:pPr>
        <w:pStyle w:val="4"/>
        <w:ind w:left="-141" w:leftChars="-67" w:right="480"/>
        <w:jc w:val="left"/>
        <w:rPr>
          <w:rFonts w:ascii="Times New Roman" w:hAnsi="Times New Roman"/>
          <w:color w:val="000000" w:themeColor="text1"/>
        </w:rPr>
      </w:pPr>
    </w:p>
    <w:p>
      <w:pPr>
        <w:pStyle w:val="4"/>
        <w:ind w:left="-141" w:leftChars="-67" w:right="480"/>
        <w:jc w:val="left"/>
        <w:rPr>
          <w:rFonts w:ascii="Times New Roman" w:hAnsi="Times New Roman"/>
          <w:b/>
          <w:bCs/>
          <w:color w:val="000000" w:themeColor="text1"/>
        </w:rPr>
      </w:pPr>
      <w:r>
        <w:rPr>
          <w:rFonts w:ascii="Times New Roman" w:hAnsi="Times New Roman"/>
          <w:color w:val="000000" w:themeColor="text1"/>
        </w:rPr>
        <w:br w:type="page"/>
      </w:r>
      <w:r>
        <w:rPr>
          <w:rFonts w:ascii="Times New Roman" w:hAnsi="Times New Roman"/>
          <w:b/>
          <w:bCs/>
          <w:color w:val="000000" w:themeColor="text1"/>
          <w:sz w:val="24"/>
        </w:rPr>
        <w:object>
          <v:shape id="_x0000_i1025" o:spt="75" type="#_x0000_t75" style="height:530.25pt;width:417.75pt;" o:ole="t" filled="f" o:preferrelative="t" stroked="f" coordsize="21600,21600">
            <v:path/>
            <v:fill on="f" focussize="0,0"/>
            <v:stroke on="f" joinstyle="miter"/>
            <v:imagedata r:id="rId31" o:title=""/>
            <o:lock v:ext="edit" aspectratio="t"/>
            <w10:wrap type="none"/>
            <w10:anchorlock/>
          </v:shape>
          <o:OLEObject Type="Embed" ProgID="Word.Document.8" ShapeID="_x0000_i1025" DrawAspect="Content" ObjectID="_1468075725" r:id="rId30">
            <o:LockedField>false</o:LockedField>
          </o:OLEObject>
        </w:object>
      </w:r>
    </w:p>
    <w:p>
      <w:pPr>
        <w:pStyle w:val="4"/>
        <w:spacing w:line="578" w:lineRule="atLeast"/>
        <w:ind w:left="-141" w:leftChars="-67" w:right="802"/>
        <w:jc w:val="right"/>
        <w:rPr>
          <w:rFonts w:ascii="Times New Roman" w:hAnsi="Times New Roman" w:eastAsia="仿宋_GB2312"/>
        </w:rPr>
      </w:pPr>
    </w:p>
    <w:p>
      <w:pPr>
        <w:pStyle w:val="4"/>
        <w:ind w:left="-141" w:leftChars="-67" w:right="480"/>
        <w:jc w:val="left"/>
        <w:rPr>
          <w:rFonts w:ascii="Times New Roman" w:hAnsi="Times New Roman"/>
          <w:color w:val="000000" w:themeColor="text1"/>
        </w:rPr>
      </w:pPr>
    </w:p>
    <w:p>
      <w:pPr>
        <w:jc w:val="left"/>
        <w:rPr>
          <w:color w:val="000000" w:themeColor="text1"/>
          <w:w w:val="90"/>
          <w:sz w:val="32"/>
          <w:szCs w:val="32"/>
        </w:rPr>
      </w:pPr>
    </w:p>
    <w:p>
      <w:pPr>
        <w:rPr>
          <w:szCs w:val="32"/>
        </w:rPr>
      </w:pPr>
    </w:p>
    <w:sectPr>
      <w:headerReference r:id="rId20" w:type="first"/>
      <w:footerReference r:id="rId23" w:type="first"/>
      <w:headerReference r:id="rId18" w:type="default"/>
      <w:footerReference r:id="rId21" w:type="default"/>
      <w:headerReference r:id="rId19" w:type="even"/>
      <w:footerReference r:id="rId22" w:type="even"/>
      <w:pgSz w:w="11906" w:h="16838"/>
      <w:pgMar w:top="1440" w:right="1800" w:bottom="1440" w:left="1800"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E00006FF" w:usb1="420024FF" w:usb2="02000000" w:usb3="00000000" w:csb0="2000019F" w:csb1="00000000"/>
  </w:font>
  <w:font w:name="方正小标宋简体">
    <w:panose1 w:val="03000509000000000000"/>
    <w:charset w:val="86"/>
    <w:family w:val="script"/>
    <w:pitch w:val="default"/>
    <w:sig w:usb0="00000001" w:usb1="080E0000" w:usb2="00000000" w:usb3="00000000" w:csb0="00040000" w:csb1="00000000"/>
  </w:font>
  <w:font w:name="Dotum">
    <w:altName w:val="Malgun Gothic"/>
    <w:panose1 w:val="020B0600000101010101"/>
    <w:charset w:val="81"/>
    <w:family w:val="swiss"/>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pPr>
    <w:r>
      <w:rPr>
        <w:sz w:val="18"/>
      </w:rPr>
      <w:pict>
        <v:shape id="_x0000_s2049" o:spid="_x0000_s2049" o:spt="202" type="#_x0000_t202" style="position:absolute;left:0pt;margin-top:0pt;height:144pt;width:144pt;mso-position-horizontal:outside;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6"/>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v:textbox>
        </v:shape>
      </w:pict>
    </w:r>
  </w:p>
  <w:p>
    <w:pPr>
      <w:pStyle w:val="6"/>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center" w:y="1"/>
      <w:rPr>
        <w:rStyle w:val="15"/>
      </w:rPr>
    </w:pPr>
    <w:r>
      <w:rPr>
        <w:rStyle w:val="15"/>
      </w:rPr>
      <w:fldChar w:fldCharType="begin"/>
    </w:r>
    <w:r>
      <w:rPr>
        <w:rStyle w:val="15"/>
      </w:rPr>
      <w:instrText xml:space="preserve">PAGE  </w:instrText>
    </w:r>
    <w:r>
      <w:rPr>
        <w:rStyle w:val="15"/>
      </w:rPr>
      <w:fldChar w:fldCharType="end"/>
    </w:r>
  </w:p>
  <w:p>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pPr>
    <w:r>
      <w:rPr>
        <w:sz w:val="18"/>
      </w:rPr>
      <w:pict>
        <v:shape id="_x0000_s2050" o:spid="_x0000_s2050" o:spt="202" type="#_x0000_t202" style="position:absolute;left:0pt;margin-top:0pt;height:144pt;width:144pt;mso-position-horizontal:outside;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pPr>
                  <w:pStyle w:val="6"/>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- 3 -</w:t>
                </w:r>
                <w:r>
                  <w:rPr>
                    <w:rFonts w:hint="eastAsia" w:ascii="宋体" w:hAnsi="宋体" w:eastAsia="宋体" w:cs="宋体"/>
                    <w:sz w:val="28"/>
                    <w:szCs w:val="28"/>
                  </w:rPr>
                  <w:fldChar w:fldCharType="end"/>
                </w:r>
              </w:p>
            </w:txbxContent>
          </v:textbox>
        </v:shape>
      </w:pict>
    </w:r>
  </w:p>
  <w:p>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pPr>
    <w:r>
      <w:rPr>
        <w:sz w:val="18"/>
      </w:rPr>
      <w:pict>
        <v:shape id="_x0000_s2051" o:spid="_x0000_s2051" o:spt="202" type="#_x0000_t202" style="position:absolute;left:0pt;margin-top:0pt;height:144pt;width:144pt;mso-position-horizontal:outside;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p>
                <w:pPr>
                  <w:pStyle w:val="6"/>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- 6 -</w:t>
                </w:r>
                <w:r>
                  <w:rPr>
                    <w:rFonts w:hint="eastAsia" w:ascii="宋体" w:hAnsi="宋体" w:eastAsia="宋体" w:cs="宋体"/>
                    <w:sz w:val="28"/>
                    <w:szCs w:val="28"/>
                  </w:rPr>
                  <w:fldChar w:fldCharType="end"/>
                </w:r>
              </w:p>
            </w:txbxContent>
          </v:textbox>
        </v:shape>
      </w:pict>
    </w:r>
  </w:p>
  <w:p>
    <w:pPr>
      <w:pStyle w:val="6"/>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w:pict>
        <v:shape id="_x0000_s2052" o:spid="_x0000_s2052" o:spt="202" type="#_x0000_t202" style="position:absolute;left:0pt;margin-top:0pt;height:144pt;width:144pt;mso-position-horizontal:outside;mso-position-horizontal-relative:margin;mso-wrap-style:none;z-index:251662336;mso-width-relative:page;mso-height-relative:page;" filled="f" stroked="f" coordsize="21600,21600">
          <v:path/>
          <v:fill on="f" focussize="0,0"/>
          <v:stroke on="f"/>
          <v:imagedata o:title=""/>
          <o:lock v:ext="edit" aspectratio="f"/>
          <v:textbox inset="0mm,0mm,0mm,0mm" style="mso-fit-shape-to-text:t;">
            <w:txbxContent>
              <w:p>
                <w:pPr>
                  <w:pStyle w:val="6"/>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- 42 -</w:t>
                </w:r>
                <w:r>
                  <w:rPr>
                    <w:rFonts w:hint="eastAsia" w:ascii="宋体" w:hAnsi="宋体" w:eastAsia="宋体" w:cs="宋体"/>
                    <w:sz w:val="28"/>
                    <w:szCs w:val="28"/>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A"/>
    <w:multiLevelType w:val="singleLevel"/>
    <w:tmpl w:val="0000000A"/>
    <w:lvl w:ilvl="0" w:tentative="0">
      <w:start w:val="1"/>
      <w:numFmt w:val="chineseCounting"/>
      <w:suff w:val="nothing"/>
      <w:lvlText w:val="%1、"/>
      <w:lvlJc w:val="left"/>
      <w:pPr>
        <w:ind w:left="431" w:firstLine="420"/>
      </w:pPr>
      <w:rPr>
        <w:rFonts w:hint="eastAsia" w:cs="Times New Roman"/>
      </w:rPr>
    </w:lvl>
  </w:abstractNum>
  <w:abstractNum w:abstractNumId="1">
    <w:nsid w:val="43571D81"/>
    <w:multiLevelType w:val="singleLevel"/>
    <w:tmpl w:val="43571D81"/>
    <w:lvl w:ilvl="0" w:tentative="0">
      <w:start w:val="1"/>
      <w:numFmt w:val="chineseCounting"/>
      <w:suff w:val="nothing"/>
      <w:lvlText w:val="%1、"/>
      <w:lvlJc w:val="left"/>
      <w:pPr>
        <w:ind w:left="0" w:firstLine="0"/>
      </w:pPr>
    </w:lvl>
  </w:abstractNum>
  <w:num w:numId="1">
    <w:abstractNumId w:val="0"/>
  </w:num>
  <w:num w:numId="2">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2"/>
  </w:compat>
  <w:docVars>
    <w:docVar w:name="commondata" w:val="eyJoZGlkIjoiYzJhYzQ1MWVlMTA1ODJjODE1ZDY4NjA1YzQ4MTU3MmEifQ=="/>
  </w:docVars>
  <w:rsids>
    <w:rsidRoot w:val="00172A27"/>
    <w:rsid w:val="00005CB8"/>
    <w:rsid w:val="000079D0"/>
    <w:rsid w:val="00011E45"/>
    <w:rsid w:val="0001446D"/>
    <w:rsid w:val="0001456E"/>
    <w:rsid w:val="00015AA5"/>
    <w:rsid w:val="00015F63"/>
    <w:rsid w:val="00022844"/>
    <w:rsid w:val="000234EE"/>
    <w:rsid w:val="000243BD"/>
    <w:rsid w:val="00031B6E"/>
    <w:rsid w:val="0003326F"/>
    <w:rsid w:val="000335EF"/>
    <w:rsid w:val="000337F4"/>
    <w:rsid w:val="00041A76"/>
    <w:rsid w:val="00042E62"/>
    <w:rsid w:val="00051FCD"/>
    <w:rsid w:val="00055137"/>
    <w:rsid w:val="00056109"/>
    <w:rsid w:val="000601C5"/>
    <w:rsid w:val="00063B8B"/>
    <w:rsid w:val="000640DE"/>
    <w:rsid w:val="00066966"/>
    <w:rsid w:val="00066FC3"/>
    <w:rsid w:val="00067259"/>
    <w:rsid w:val="00071F82"/>
    <w:rsid w:val="0007369D"/>
    <w:rsid w:val="0007421B"/>
    <w:rsid w:val="00083FCD"/>
    <w:rsid w:val="000875EE"/>
    <w:rsid w:val="000914AD"/>
    <w:rsid w:val="00093880"/>
    <w:rsid w:val="000A052B"/>
    <w:rsid w:val="000A230A"/>
    <w:rsid w:val="000A26D3"/>
    <w:rsid w:val="000A32E8"/>
    <w:rsid w:val="000A5F2E"/>
    <w:rsid w:val="000B272F"/>
    <w:rsid w:val="000B3325"/>
    <w:rsid w:val="000B3D29"/>
    <w:rsid w:val="000B6320"/>
    <w:rsid w:val="000C512D"/>
    <w:rsid w:val="000C7AE7"/>
    <w:rsid w:val="000D17E6"/>
    <w:rsid w:val="000D28F8"/>
    <w:rsid w:val="000D3955"/>
    <w:rsid w:val="000E3493"/>
    <w:rsid w:val="000E5A58"/>
    <w:rsid w:val="000F4330"/>
    <w:rsid w:val="00101A30"/>
    <w:rsid w:val="00101EF4"/>
    <w:rsid w:val="001020BA"/>
    <w:rsid w:val="001026AB"/>
    <w:rsid w:val="001029A7"/>
    <w:rsid w:val="00104977"/>
    <w:rsid w:val="0010716E"/>
    <w:rsid w:val="0011123A"/>
    <w:rsid w:val="00111E53"/>
    <w:rsid w:val="00113238"/>
    <w:rsid w:val="00116724"/>
    <w:rsid w:val="00121567"/>
    <w:rsid w:val="0012555C"/>
    <w:rsid w:val="00125603"/>
    <w:rsid w:val="00126A15"/>
    <w:rsid w:val="00127634"/>
    <w:rsid w:val="00127998"/>
    <w:rsid w:val="001303A4"/>
    <w:rsid w:val="00130FDC"/>
    <w:rsid w:val="00137890"/>
    <w:rsid w:val="001410FA"/>
    <w:rsid w:val="00141B82"/>
    <w:rsid w:val="00141E1D"/>
    <w:rsid w:val="00145094"/>
    <w:rsid w:val="00145892"/>
    <w:rsid w:val="001500C4"/>
    <w:rsid w:val="0015050B"/>
    <w:rsid w:val="001505EA"/>
    <w:rsid w:val="001512B8"/>
    <w:rsid w:val="0015612F"/>
    <w:rsid w:val="00157644"/>
    <w:rsid w:val="001609C1"/>
    <w:rsid w:val="00165EB4"/>
    <w:rsid w:val="00166665"/>
    <w:rsid w:val="001706F1"/>
    <w:rsid w:val="001713CB"/>
    <w:rsid w:val="00171736"/>
    <w:rsid w:val="00172A27"/>
    <w:rsid w:val="00176BEE"/>
    <w:rsid w:val="00177F59"/>
    <w:rsid w:val="00182674"/>
    <w:rsid w:val="001849B2"/>
    <w:rsid w:val="001901BE"/>
    <w:rsid w:val="0019277E"/>
    <w:rsid w:val="001927B6"/>
    <w:rsid w:val="00192F08"/>
    <w:rsid w:val="001972E9"/>
    <w:rsid w:val="00197CCD"/>
    <w:rsid w:val="001A20DE"/>
    <w:rsid w:val="001B1530"/>
    <w:rsid w:val="001B25BB"/>
    <w:rsid w:val="001B3C9A"/>
    <w:rsid w:val="001B6B40"/>
    <w:rsid w:val="001C0C0A"/>
    <w:rsid w:val="001C0F29"/>
    <w:rsid w:val="001C374F"/>
    <w:rsid w:val="001C3A38"/>
    <w:rsid w:val="001C43DD"/>
    <w:rsid w:val="001C7DA8"/>
    <w:rsid w:val="001D1C4D"/>
    <w:rsid w:val="001D3F39"/>
    <w:rsid w:val="001D7321"/>
    <w:rsid w:val="001E62A7"/>
    <w:rsid w:val="001E7746"/>
    <w:rsid w:val="001F03A5"/>
    <w:rsid w:val="001F0745"/>
    <w:rsid w:val="001F0774"/>
    <w:rsid w:val="001F1022"/>
    <w:rsid w:val="001F207D"/>
    <w:rsid w:val="001F3381"/>
    <w:rsid w:val="001F3CAE"/>
    <w:rsid w:val="001F53E4"/>
    <w:rsid w:val="00202093"/>
    <w:rsid w:val="00203818"/>
    <w:rsid w:val="002043D0"/>
    <w:rsid w:val="002066F5"/>
    <w:rsid w:val="002067D9"/>
    <w:rsid w:val="0020727C"/>
    <w:rsid w:val="002125FF"/>
    <w:rsid w:val="00214E9A"/>
    <w:rsid w:val="00216AA8"/>
    <w:rsid w:val="002216CB"/>
    <w:rsid w:val="00224E71"/>
    <w:rsid w:val="002266E2"/>
    <w:rsid w:val="00227861"/>
    <w:rsid w:val="00231981"/>
    <w:rsid w:val="00232C54"/>
    <w:rsid w:val="002336B5"/>
    <w:rsid w:val="00234759"/>
    <w:rsid w:val="00234842"/>
    <w:rsid w:val="00234956"/>
    <w:rsid w:val="002372B3"/>
    <w:rsid w:val="00243717"/>
    <w:rsid w:val="00253807"/>
    <w:rsid w:val="0025569D"/>
    <w:rsid w:val="00256765"/>
    <w:rsid w:val="00260DEB"/>
    <w:rsid w:val="00262B09"/>
    <w:rsid w:val="00265555"/>
    <w:rsid w:val="00265FCB"/>
    <w:rsid w:val="00270033"/>
    <w:rsid w:val="00271597"/>
    <w:rsid w:val="0027214E"/>
    <w:rsid w:val="00273103"/>
    <w:rsid w:val="00280F72"/>
    <w:rsid w:val="00291512"/>
    <w:rsid w:val="00292C2B"/>
    <w:rsid w:val="002A09DD"/>
    <w:rsid w:val="002A1020"/>
    <w:rsid w:val="002A5D9D"/>
    <w:rsid w:val="002A6ACC"/>
    <w:rsid w:val="002B0778"/>
    <w:rsid w:val="002B0B72"/>
    <w:rsid w:val="002B3C94"/>
    <w:rsid w:val="002B72FB"/>
    <w:rsid w:val="002C259B"/>
    <w:rsid w:val="002C7E5C"/>
    <w:rsid w:val="002D117C"/>
    <w:rsid w:val="002D338E"/>
    <w:rsid w:val="002D41B1"/>
    <w:rsid w:val="002D7C12"/>
    <w:rsid w:val="002E2DC6"/>
    <w:rsid w:val="002E40B4"/>
    <w:rsid w:val="002E6E46"/>
    <w:rsid w:val="002F0C3D"/>
    <w:rsid w:val="002F2ACA"/>
    <w:rsid w:val="002F3378"/>
    <w:rsid w:val="002F3788"/>
    <w:rsid w:val="002F3898"/>
    <w:rsid w:val="003026FD"/>
    <w:rsid w:val="003055EA"/>
    <w:rsid w:val="00310264"/>
    <w:rsid w:val="00311336"/>
    <w:rsid w:val="003235F6"/>
    <w:rsid w:val="00324175"/>
    <w:rsid w:val="00327996"/>
    <w:rsid w:val="00330403"/>
    <w:rsid w:val="0033062A"/>
    <w:rsid w:val="00331350"/>
    <w:rsid w:val="003349CC"/>
    <w:rsid w:val="0034122B"/>
    <w:rsid w:val="0034334B"/>
    <w:rsid w:val="00350213"/>
    <w:rsid w:val="003509FA"/>
    <w:rsid w:val="00356351"/>
    <w:rsid w:val="00357146"/>
    <w:rsid w:val="00362478"/>
    <w:rsid w:val="00362C25"/>
    <w:rsid w:val="00364A66"/>
    <w:rsid w:val="00366006"/>
    <w:rsid w:val="0036696E"/>
    <w:rsid w:val="00367770"/>
    <w:rsid w:val="0037094F"/>
    <w:rsid w:val="00372A5B"/>
    <w:rsid w:val="0038024C"/>
    <w:rsid w:val="003807EA"/>
    <w:rsid w:val="00381A67"/>
    <w:rsid w:val="00381D7D"/>
    <w:rsid w:val="0038397F"/>
    <w:rsid w:val="00383D67"/>
    <w:rsid w:val="00384828"/>
    <w:rsid w:val="003865B1"/>
    <w:rsid w:val="003878D6"/>
    <w:rsid w:val="00387A36"/>
    <w:rsid w:val="003925C2"/>
    <w:rsid w:val="0039354C"/>
    <w:rsid w:val="003958D5"/>
    <w:rsid w:val="00396103"/>
    <w:rsid w:val="00396F3F"/>
    <w:rsid w:val="00397C01"/>
    <w:rsid w:val="003A0A02"/>
    <w:rsid w:val="003A0D10"/>
    <w:rsid w:val="003A2D99"/>
    <w:rsid w:val="003B1DDA"/>
    <w:rsid w:val="003B4F54"/>
    <w:rsid w:val="003C36E9"/>
    <w:rsid w:val="003C3836"/>
    <w:rsid w:val="003C3B99"/>
    <w:rsid w:val="003C4FC2"/>
    <w:rsid w:val="003C5F96"/>
    <w:rsid w:val="003D45E8"/>
    <w:rsid w:val="003D6ADC"/>
    <w:rsid w:val="003D7E6D"/>
    <w:rsid w:val="003E59A8"/>
    <w:rsid w:val="003E5D4C"/>
    <w:rsid w:val="003E78F8"/>
    <w:rsid w:val="003F0CB9"/>
    <w:rsid w:val="003F7096"/>
    <w:rsid w:val="003F7CF7"/>
    <w:rsid w:val="003F7E7E"/>
    <w:rsid w:val="00403F5C"/>
    <w:rsid w:val="00404620"/>
    <w:rsid w:val="004051A9"/>
    <w:rsid w:val="004053CC"/>
    <w:rsid w:val="00411519"/>
    <w:rsid w:val="00413AE8"/>
    <w:rsid w:val="00415951"/>
    <w:rsid w:val="004173EA"/>
    <w:rsid w:val="00417927"/>
    <w:rsid w:val="00420668"/>
    <w:rsid w:val="00420BA6"/>
    <w:rsid w:val="004243A2"/>
    <w:rsid w:val="004252F2"/>
    <w:rsid w:val="00426100"/>
    <w:rsid w:val="00434234"/>
    <w:rsid w:val="00437E6F"/>
    <w:rsid w:val="00445175"/>
    <w:rsid w:val="004457D2"/>
    <w:rsid w:val="00447C97"/>
    <w:rsid w:val="00447DE7"/>
    <w:rsid w:val="00453F39"/>
    <w:rsid w:val="00454B2E"/>
    <w:rsid w:val="0045706C"/>
    <w:rsid w:val="00457421"/>
    <w:rsid w:val="0046082D"/>
    <w:rsid w:val="0046186E"/>
    <w:rsid w:val="00461FAB"/>
    <w:rsid w:val="00465846"/>
    <w:rsid w:val="0046770E"/>
    <w:rsid w:val="00467912"/>
    <w:rsid w:val="00473DBF"/>
    <w:rsid w:val="004742E7"/>
    <w:rsid w:val="00476150"/>
    <w:rsid w:val="00476358"/>
    <w:rsid w:val="00483A0F"/>
    <w:rsid w:val="004851CE"/>
    <w:rsid w:val="004923BA"/>
    <w:rsid w:val="00492D36"/>
    <w:rsid w:val="004935C4"/>
    <w:rsid w:val="00495A56"/>
    <w:rsid w:val="004A0672"/>
    <w:rsid w:val="004A1B6A"/>
    <w:rsid w:val="004A1D60"/>
    <w:rsid w:val="004A29A7"/>
    <w:rsid w:val="004A39A5"/>
    <w:rsid w:val="004B0B4C"/>
    <w:rsid w:val="004B41A6"/>
    <w:rsid w:val="004B5459"/>
    <w:rsid w:val="004B5F1C"/>
    <w:rsid w:val="004B7005"/>
    <w:rsid w:val="004B7400"/>
    <w:rsid w:val="004C0748"/>
    <w:rsid w:val="004C1A60"/>
    <w:rsid w:val="004C446B"/>
    <w:rsid w:val="004C4B49"/>
    <w:rsid w:val="004C4FBE"/>
    <w:rsid w:val="004C5104"/>
    <w:rsid w:val="004C54F4"/>
    <w:rsid w:val="004D2E4C"/>
    <w:rsid w:val="004D3B04"/>
    <w:rsid w:val="004D3EED"/>
    <w:rsid w:val="004D43B0"/>
    <w:rsid w:val="004D4FED"/>
    <w:rsid w:val="004E006B"/>
    <w:rsid w:val="004E2710"/>
    <w:rsid w:val="004E57C7"/>
    <w:rsid w:val="004E6D54"/>
    <w:rsid w:val="004E772D"/>
    <w:rsid w:val="004F33C2"/>
    <w:rsid w:val="00500BB8"/>
    <w:rsid w:val="00500C0B"/>
    <w:rsid w:val="00502570"/>
    <w:rsid w:val="0050341A"/>
    <w:rsid w:val="0050506D"/>
    <w:rsid w:val="005052C7"/>
    <w:rsid w:val="00506124"/>
    <w:rsid w:val="00511276"/>
    <w:rsid w:val="00511485"/>
    <w:rsid w:val="00511D32"/>
    <w:rsid w:val="0051204E"/>
    <w:rsid w:val="0051287F"/>
    <w:rsid w:val="00514998"/>
    <w:rsid w:val="00514BFF"/>
    <w:rsid w:val="0052113C"/>
    <w:rsid w:val="00523EAD"/>
    <w:rsid w:val="00524E38"/>
    <w:rsid w:val="005308EF"/>
    <w:rsid w:val="00530B1F"/>
    <w:rsid w:val="00533D25"/>
    <w:rsid w:val="005348A9"/>
    <w:rsid w:val="00536417"/>
    <w:rsid w:val="00554A0F"/>
    <w:rsid w:val="00554C3D"/>
    <w:rsid w:val="00555FE0"/>
    <w:rsid w:val="005578E8"/>
    <w:rsid w:val="00563CCD"/>
    <w:rsid w:val="00574B14"/>
    <w:rsid w:val="00574EF0"/>
    <w:rsid w:val="0057687B"/>
    <w:rsid w:val="00576D2F"/>
    <w:rsid w:val="00577211"/>
    <w:rsid w:val="00577714"/>
    <w:rsid w:val="00580358"/>
    <w:rsid w:val="00580E05"/>
    <w:rsid w:val="005946D7"/>
    <w:rsid w:val="005963A4"/>
    <w:rsid w:val="00596871"/>
    <w:rsid w:val="005A0412"/>
    <w:rsid w:val="005A0B34"/>
    <w:rsid w:val="005A39E7"/>
    <w:rsid w:val="005A3A15"/>
    <w:rsid w:val="005A3BAE"/>
    <w:rsid w:val="005A4C2A"/>
    <w:rsid w:val="005A7F23"/>
    <w:rsid w:val="005B038C"/>
    <w:rsid w:val="005B07DA"/>
    <w:rsid w:val="005B2CBB"/>
    <w:rsid w:val="005B2EEF"/>
    <w:rsid w:val="005B7258"/>
    <w:rsid w:val="005C77E6"/>
    <w:rsid w:val="005D062F"/>
    <w:rsid w:val="005D0ACF"/>
    <w:rsid w:val="005D0DD2"/>
    <w:rsid w:val="005D19B0"/>
    <w:rsid w:val="005D2570"/>
    <w:rsid w:val="005D2829"/>
    <w:rsid w:val="005D49C2"/>
    <w:rsid w:val="005D6DC0"/>
    <w:rsid w:val="005E22E0"/>
    <w:rsid w:val="005E5AB5"/>
    <w:rsid w:val="005E7179"/>
    <w:rsid w:val="005F2307"/>
    <w:rsid w:val="005F369B"/>
    <w:rsid w:val="005F411B"/>
    <w:rsid w:val="005F42B6"/>
    <w:rsid w:val="005F49C7"/>
    <w:rsid w:val="006005AD"/>
    <w:rsid w:val="00601B13"/>
    <w:rsid w:val="00601EA4"/>
    <w:rsid w:val="006072B2"/>
    <w:rsid w:val="00607C4B"/>
    <w:rsid w:val="00610EDC"/>
    <w:rsid w:val="00611265"/>
    <w:rsid w:val="00614130"/>
    <w:rsid w:val="006144F9"/>
    <w:rsid w:val="00616642"/>
    <w:rsid w:val="00616A5A"/>
    <w:rsid w:val="00617AA1"/>
    <w:rsid w:val="006216F0"/>
    <w:rsid w:val="006229C3"/>
    <w:rsid w:val="00624E13"/>
    <w:rsid w:val="006252F2"/>
    <w:rsid w:val="00625F9C"/>
    <w:rsid w:val="00627BEB"/>
    <w:rsid w:val="00630127"/>
    <w:rsid w:val="00630883"/>
    <w:rsid w:val="00630B69"/>
    <w:rsid w:val="0063218F"/>
    <w:rsid w:val="006404CD"/>
    <w:rsid w:val="00643A33"/>
    <w:rsid w:val="00643B2D"/>
    <w:rsid w:val="00643D97"/>
    <w:rsid w:val="00650DB5"/>
    <w:rsid w:val="00651EC5"/>
    <w:rsid w:val="00652A61"/>
    <w:rsid w:val="00652BF8"/>
    <w:rsid w:val="006547A4"/>
    <w:rsid w:val="00657A52"/>
    <w:rsid w:val="006618AC"/>
    <w:rsid w:val="00665AAD"/>
    <w:rsid w:val="0066625D"/>
    <w:rsid w:val="00670C14"/>
    <w:rsid w:val="00671872"/>
    <w:rsid w:val="006746D5"/>
    <w:rsid w:val="0068377E"/>
    <w:rsid w:val="00690289"/>
    <w:rsid w:val="00690C96"/>
    <w:rsid w:val="0069191F"/>
    <w:rsid w:val="00691AAD"/>
    <w:rsid w:val="006967C2"/>
    <w:rsid w:val="00697A08"/>
    <w:rsid w:val="006A35D3"/>
    <w:rsid w:val="006A3807"/>
    <w:rsid w:val="006A4F5F"/>
    <w:rsid w:val="006A6687"/>
    <w:rsid w:val="006A718E"/>
    <w:rsid w:val="006B079A"/>
    <w:rsid w:val="006B1277"/>
    <w:rsid w:val="006B2DF6"/>
    <w:rsid w:val="006B4991"/>
    <w:rsid w:val="006B54CB"/>
    <w:rsid w:val="006B6F97"/>
    <w:rsid w:val="006B76F7"/>
    <w:rsid w:val="006C0127"/>
    <w:rsid w:val="006C0987"/>
    <w:rsid w:val="006C336D"/>
    <w:rsid w:val="006C5540"/>
    <w:rsid w:val="006C58F0"/>
    <w:rsid w:val="006C78CC"/>
    <w:rsid w:val="006D4ED6"/>
    <w:rsid w:val="006D58D2"/>
    <w:rsid w:val="006E3F71"/>
    <w:rsid w:val="006E4100"/>
    <w:rsid w:val="006E462A"/>
    <w:rsid w:val="006E4D01"/>
    <w:rsid w:val="006E6686"/>
    <w:rsid w:val="006E6F1A"/>
    <w:rsid w:val="006F0FC4"/>
    <w:rsid w:val="006F241E"/>
    <w:rsid w:val="00700ABE"/>
    <w:rsid w:val="00705C0F"/>
    <w:rsid w:val="00705DD8"/>
    <w:rsid w:val="007070A8"/>
    <w:rsid w:val="00713E08"/>
    <w:rsid w:val="00721ECA"/>
    <w:rsid w:val="00722332"/>
    <w:rsid w:val="007241C8"/>
    <w:rsid w:val="00734FE1"/>
    <w:rsid w:val="007367DF"/>
    <w:rsid w:val="00736E1D"/>
    <w:rsid w:val="00741212"/>
    <w:rsid w:val="0074570F"/>
    <w:rsid w:val="00745DAF"/>
    <w:rsid w:val="00746AE7"/>
    <w:rsid w:val="00747AFB"/>
    <w:rsid w:val="00750647"/>
    <w:rsid w:val="00754D53"/>
    <w:rsid w:val="0075578D"/>
    <w:rsid w:val="007575F2"/>
    <w:rsid w:val="00757855"/>
    <w:rsid w:val="0077022B"/>
    <w:rsid w:val="00781EAD"/>
    <w:rsid w:val="00786746"/>
    <w:rsid w:val="00786963"/>
    <w:rsid w:val="007933DA"/>
    <w:rsid w:val="00796228"/>
    <w:rsid w:val="00796BCF"/>
    <w:rsid w:val="007A25EF"/>
    <w:rsid w:val="007A4F2F"/>
    <w:rsid w:val="007A61CF"/>
    <w:rsid w:val="007A7812"/>
    <w:rsid w:val="007B0ECF"/>
    <w:rsid w:val="007B4CD9"/>
    <w:rsid w:val="007C083D"/>
    <w:rsid w:val="007C0910"/>
    <w:rsid w:val="007C1CC7"/>
    <w:rsid w:val="007C2D9D"/>
    <w:rsid w:val="007C545F"/>
    <w:rsid w:val="007C7D14"/>
    <w:rsid w:val="007D162D"/>
    <w:rsid w:val="007D2A4D"/>
    <w:rsid w:val="007D3752"/>
    <w:rsid w:val="007D5974"/>
    <w:rsid w:val="007E35FD"/>
    <w:rsid w:val="007F2305"/>
    <w:rsid w:val="007F2568"/>
    <w:rsid w:val="007F3120"/>
    <w:rsid w:val="007F7668"/>
    <w:rsid w:val="00804172"/>
    <w:rsid w:val="00805671"/>
    <w:rsid w:val="0080624C"/>
    <w:rsid w:val="00811EF7"/>
    <w:rsid w:val="0081446E"/>
    <w:rsid w:val="0081465D"/>
    <w:rsid w:val="00821046"/>
    <w:rsid w:val="00823100"/>
    <w:rsid w:val="008239EA"/>
    <w:rsid w:val="008272CD"/>
    <w:rsid w:val="00833948"/>
    <w:rsid w:val="00834765"/>
    <w:rsid w:val="00837320"/>
    <w:rsid w:val="008411FD"/>
    <w:rsid w:val="0084178F"/>
    <w:rsid w:val="00842413"/>
    <w:rsid w:val="00846D44"/>
    <w:rsid w:val="0085210C"/>
    <w:rsid w:val="008524AA"/>
    <w:rsid w:val="0085435F"/>
    <w:rsid w:val="00855248"/>
    <w:rsid w:val="008568A2"/>
    <w:rsid w:val="008649BC"/>
    <w:rsid w:val="008652B1"/>
    <w:rsid w:val="00872343"/>
    <w:rsid w:val="008726D3"/>
    <w:rsid w:val="00872AD5"/>
    <w:rsid w:val="00872E91"/>
    <w:rsid w:val="0087359A"/>
    <w:rsid w:val="00873C25"/>
    <w:rsid w:val="008772EC"/>
    <w:rsid w:val="008776C3"/>
    <w:rsid w:val="008865C2"/>
    <w:rsid w:val="00886E30"/>
    <w:rsid w:val="0089366A"/>
    <w:rsid w:val="00894A6D"/>
    <w:rsid w:val="0089676D"/>
    <w:rsid w:val="00897D2E"/>
    <w:rsid w:val="008A124F"/>
    <w:rsid w:val="008A24D1"/>
    <w:rsid w:val="008A5BFF"/>
    <w:rsid w:val="008A5C9E"/>
    <w:rsid w:val="008A5F24"/>
    <w:rsid w:val="008A6AB4"/>
    <w:rsid w:val="008B0DDE"/>
    <w:rsid w:val="008B261E"/>
    <w:rsid w:val="008B4CA0"/>
    <w:rsid w:val="008B57CE"/>
    <w:rsid w:val="008C1D25"/>
    <w:rsid w:val="008C3B9B"/>
    <w:rsid w:val="008C4B3C"/>
    <w:rsid w:val="008C7754"/>
    <w:rsid w:val="008D0522"/>
    <w:rsid w:val="008D086A"/>
    <w:rsid w:val="008D0E33"/>
    <w:rsid w:val="008D109B"/>
    <w:rsid w:val="008D1470"/>
    <w:rsid w:val="008D331A"/>
    <w:rsid w:val="008D3B54"/>
    <w:rsid w:val="008D79C1"/>
    <w:rsid w:val="008E53D0"/>
    <w:rsid w:val="008F0331"/>
    <w:rsid w:val="008F2775"/>
    <w:rsid w:val="008F6E1E"/>
    <w:rsid w:val="008F7205"/>
    <w:rsid w:val="00904D15"/>
    <w:rsid w:val="00905C13"/>
    <w:rsid w:val="00906353"/>
    <w:rsid w:val="009116AC"/>
    <w:rsid w:val="009207C8"/>
    <w:rsid w:val="00921CF5"/>
    <w:rsid w:val="00921E02"/>
    <w:rsid w:val="0092224F"/>
    <w:rsid w:val="00923CAA"/>
    <w:rsid w:val="009244B6"/>
    <w:rsid w:val="0092591E"/>
    <w:rsid w:val="00937BC4"/>
    <w:rsid w:val="00940194"/>
    <w:rsid w:val="009453C1"/>
    <w:rsid w:val="0094684A"/>
    <w:rsid w:val="00946FE0"/>
    <w:rsid w:val="00947BCF"/>
    <w:rsid w:val="00950D95"/>
    <w:rsid w:val="0095603D"/>
    <w:rsid w:val="0095642C"/>
    <w:rsid w:val="009605ED"/>
    <w:rsid w:val="00962E09"/>
    <w:rsid w:val="00963318"/>
    <w:rsid w:val="00964C8A"/>
    <w:rsid w:val="00965A46"/>
    <w:rsid w:val="00965C1D"/>
    <w:rsid w:val="00970555"/>
    <w:rsid w:val="00970C1C"/>
    <w:rsid w:val="0097220F"/>
    <w:rsid w:val="00974F11"/>
    <w:rsid w:val="009823D2"/>
    <w:rsid w:val="009824F1"/>
    <w:rsid w:val="00987EF8"/>
    <w:rsid w:val="00990ECB"/>
    <w:rsid w:val="00991688"/>
    <w:rsid w:val="009921A5"/>
    <w:rsid w:val="00993F29"/>
    <w:rsid w:val="00994A8D"/>
    <w:rsid w:val="009955F0"/>
    <w:rsid w:val="009A0DF1"/>
    <w:rsid w:val="009A1C61"/>
    <w:rsid w:val="009A6B81"/>
    <w:rsid w:val="009A7891"/>
    <w:rsid w:val="009B3B2C"/>
    <w:rsid w:val="009B4BBA"/>
    <w:rsid w:val="009B56A4"/>
    <w:rsid w:val="009C010F"/>
    <w:rsid w:val="009C0BF9"/>
    <w:rsid w:val="009C3A17"/>
    <w:rsid w:val="009C5366"/>
    <w:rsid w:val="009D4A45"/>
    <w:rsid w:val="009D7829"/>
    <w:rsid w:val="009E21FF"/>
    <w:rsid w:val="009E2EDB"/>
    <w:rsid w:val="009E502E"/>
    <w:rsid w:val="009E5BB2"/>
    <w:rsid w:val="009E78C7"/>
    <w:rsid w:val="009F0745"/>
    <w:rsid w:val="009F249F"/>
    <w:rsid w:val="009F32EE"/>
    <w:rsid w:val="009F35C6"/>
    <w:rsid w:val="009F3F08"/>
    <w:rsid w:val="009F5BFB"/>
    <w:rsid w:val="009F740F"/>
    <w:rsid w:val="00A00BCC"/>
    <w:rsid w:val="00A01094"/>
    <w:rsid w:val="00A012DE"/>
    <w:rsid w:val="00A04FDF"/>
    <w:rsid w:val="00A0561C"/>
    <w:rsid w:val="00A104B8"/>
    <w:rsid w:val="00A12205"/>
    <w:rsid w:val="00A127E5"/>
    <w:rsid w:val="00A169A8"/>
    <w:rsid w:val="00A21B04"/>
    <w:rsid w:val="00A23C18"/>
    <w:rsid w:val="00A24A91"/>
    <w:rsid w:val="00A33953"/>
    <w:rsid w:val="00A34857"/>
    <w:rsid w:val="00A3715D"/>
    <w:rsid w:val="00A41050"/>
    <w:rsid w:val="00A459F9"/>
    <w:rsid w:val="00A45ACA"/>
    <w:rsid w:val="00A469BB"/>
    <w:rsid w:val="00A56A0A"/>
    <w:rsid w:val="00A56CFB"/>
    <w:rsid w:val="00A575CA"/>
    <w:rsid w:val="00A57825"/>
    <w:rsid w:val="00A7006A"/>
    <w:rsid w:val="00A71758"/>
    <w:rsid w:val="00A72272"/>
    <w:rsid w:val="00A72A79"/>
    <w:rsid w:val="00A74F29"/>
    <w:rsid w:val="00A76546"/>
    <w:rsid w:val="00A81454"/>
    <w:rsid w:val="00A82414"/>
    <w:rsid w:val="00A856C3"/>
    <w:rsid w:val="00A87045"/>
    <w:rsid w:val="00A9398B"/>
    <w:rsid w:val="00A9578E"/>
    <w:rsid w:val="00A95A39"/>
    <w:rsid w:val="00A95ADC"/>
    <w:rsid w:val="00A96098"/>
    <w:rsid w:val="00A96370"/>
    <w:rsid w:val="00A97109"/>
    <w:rsid w:val="00A97417"/>
    <w:rsid w:val="00AA1989"/>
    <w:rsid w:val="00AA1C15"/>
    <w:rsid w:val="00AA242A"/>
    <w:rsid w:val="00AA3FA9"/>
    <w:rsid w:val="00AA4032"/>
    <w:rsid w:val="00AA493D"/>
    <w:rsid w:val="00AA7696"/>
    <w:rsid w:val="00AB1099"/>
    <w:rsid w:val="00AB68BC"/>
    <w:rsid w:val="00AB7F39"/>
    <w:rsid w:val="00AC1AF4"/>
    <w:rsid w:val="00AC1C3A"/>
    <w:rsid w:val="00AC2741"/>
    <w:rsid w:val="00AC46DD"/>
    <w:rsid w:val="00AC4F29"/>
    <w:rsid w:val="00AC6525"/>
    <w:rsid w:val="00AC7880"/>
    <w:rsid w:val="00AD1DDD"/>
    <w:rsid w:val="00AD1EBF"/>
    <w:rsid w:val="00AD4262"/>
    <w:rsid w:val="00AD60E8"/>
    <w:rsid w:val="00AE37F0"/>
    <w:rsid w:val="00AE66FD"/>
    <w:rsid w:val="00AE75F5"/>
    <w:rsid w:val="00AF30CA"/>
    <w:rsid w:val="00AF49F2"/>
    <w:rsid w:val="00AF7ADC"/>
    <w:rsid w:val="00B019E0"/>
    <w:rsid w:val="00B01A31"/>
    <w:rsid w:val="00B0610E"/>
    <w:rsid w:val="00B06BAC"/>
    <w:rsid w:val="00B077AD"/>
    <w:rsid w:val="00B10AAE"/>
    <w:rsid w:val="00B11E05"/>
    <w:rsid w:val="00B1211A"/>
    <w:rsid w:val="00B131E7"/>
    <w:rsid w:val="00B16260"/>
    <w:rsid w:val="00B16785"/>
    <w:rsid w:val="00B17A22"/>
    <w:rsid w:val="00B228FE"/>
    <w:rsid w:val="00B35EF3"/>
    <w:rsid w:val="00B409CB"/>
    <w:rsid w:val="00B40AC7"/>
    <w:rsid w:val="00B4222B"/>
    <w:rsid w:val="00B44699"/>
    <w:rsid w:val="00B44FE8"/>
    <w:rsid w:val="00B47BA0"/>
    <w:rsid w:val="00B50B2D"/>
    <w:rsid w:val="00B53000"/>
    <w:rsid w:val="00B53020"/>
    <w:rsid w:val="00B53911"/>
    <w:rsid w:val="00B5486C"/>
    <w:rsid w:val="00B60B54"/>
    <w:rsid w:val="00B62E69"/>
    <w:rsid w:val="00B64C4C"/>
    <w:rsid w:val="00B7283A"/>
    <w:rsid w:val="00B733D7"/>
    <w:rsid w:val="00B738FB"/>
    <w:rsid w:val="00B76519"/>
    <w:rsid w:val="00B77DD4"/>
    <w:rsid w:val="00B80355"/>
    <w:rsid w:val="00B922C1"/>
    <w:rsid w:val="00B949A2"/>
    <w:rsid w:val="00B97469"/>
    <w:rsid w:val="00BA026F"/>
    <w:rsid w:val="00BA04DE"/>
    <w:rsid w:val="00BB0038"/>
    <w:rsid w:val="00BB371C"/>
    <w:rsid w:val="00BB492C"/>
    <w:rsid w:val="00BB54F9"/>
    <w:rsid w:val="00BB55DA"/>
    <w:rsid w:val="00BC0563"/>
    <w:rsid w:val="00BC1419"/>
    <w:rsid w:val="00BC4F80"/>
    <w:rsid w:val="00BC62F2"/>
    <w:rsid w:val="00BC677C"/>
    <w:rsid w:val="00BC7D51"/>
    <w:rsid w:val="00BC7E1A"/>
    <w:rsid w:val="00BD1040"/>
    <w:rsid w:val="00BD15B8"/>
    <w:rsid w:val="00BD1873"/>
    <w:rsid w:val="00BD1CBE"/>
    <w:rsid w:val="00BD3623"/>
    <w:rsid w:val="00BD45B5"/>
    <w:rsid w:val="00BD5362"/>
    <w:rsid w:val="00BE057C"/>
    <w:rsid w:val="00BE0ADD"/>
    <w:rsid w:val="00BE0D3B"/>
    <w:rsid w:val="00BE4C46"/>
    <w:rsid w:val="00BE705F"/>
    <w:rsid w:val="00BF0073"/>
    <w:rsid w:val="00BF54FB"/>
    <w:rsid w:val="00BF76F2"/>
    <w:rsid w:val="00BF7867"/>
    <w:rsid w:val="00C054E7"/>
    <w:rsid w:val="00C063AB"/>
    <w:rsid w:val="00C06B0C"/>
    <w:rsid w:val="00C10004"/>
    <w:rsid w:val="00C10C93"/>
    <w:rsid w:val="00C145B9"/>
    <w:rsid w:val="00C15DDC"/>
    <w:rsid w:val="00C17471"/>
    <w:rsid w:val="00C1791B"/>
    <w:rsid w:val="00C20155"/>
    <w:rsid w:val="00C20409"/>
    <w:rsid w:val="00C20870"/>
    <w:rsid w:val="00C254DB"/>
    <w:rsid w:val="00C26718"/>
    <w:rsid w:val="00C30E4A"/>
    <w:rsid w:val="00C34536"/>
    <w:rsid w:val="00C35A5E"/>
    <w:rsid w:val="00C40381"/>
    <w:rsid w:val="00C47CEF"/>
    <w:rsid w:val="00C50E30"/>
    <w:rsid w:val="00C515F5"/>
    <w:rsid w:val="00C52455"/>
    <w:rsid w:val="00C529B2"/>
    <w:rsid w:val="00C52B92"/>
    <w:rsid w:val="00C53FD1"/>
    <w:rsid w:val="00C544EF"/>
    <w:rsid w:val="00C56EE8"/>
    <w:rsid w:val="00C616C5"/>
    <w:rsid w:val="00C62235"/>
    <w:rsid w:val="00C636B6"/>
    <w:rsid w:val="00C672B5"/>
    <w:rsid w:val="00C7096B"/>
    <w:rsid w:val="00C7517C"/>
    <w:rsid w:val="00C7582F"/>
    <w:rsid w:val="00C75D92"/>
    <w:rsid w:val="00C76511"/>
    <w:rsid w:val="00C804E0"/>
    <w:rsid w:val="00C83AAA"/>
    <w:rsid w:val="00C842D1"/>
    <w:rsid w:val="00C85C75"/>
    <w:rsid w:val="00C87A9A"/>
    <w:rsid w:val="00C94633"/>
    <w:rsid w:val="00C95338"/>
    <w:rsid w:val="00C9774E"/>
    <w:rsid w:val="00CA0BE6"/>
    <w:rsid w:val="00CA15BD"/>
    <w:rsid w:val="00CA18AF"/>
    <w:rsid w:val="00CA2135"/>
    <w:rsid w:val="00CB1156"/>
    <w:rsid w:val="00CB5C10"/>
    <w:rsid w:val="00CC11CA"/>
    <w:rsid w:val="00CC1A44"/>
    <w:rsid w:val="00CC28C8"/>
    <w:rsid w:val="00CC4CC1"/>
    <w:rsid w:val="00CC62FF"/>
    <w:rsid w:val="00CC6EB2"/>
    <w:rsid w:val="00CD0EC5"/>
    <w:rsid w:val="00CD3DB7"/>
    <w:rsid w:val="00CE00D6"/>
    <w:rsid w:val="00CE28C5"/>
    <w:rsid w:val="00CE4A09"/>
    <w:rsid w:val="00CE61B2"/>
    <w:rsid w:val="00CE6C09"/>
    <w:rsid w:val="00CE7E98"/>
    <w:rsid w:val="00CF1119"/>
    <w:rsid w:val="00CF24CB"/>
    <w:rsid w:val="00CF448F"/>
    <w:rsid w:val="00CF5254"/>
    <w:rsid w:val="00D008D6"/>
    <w:rsid w:val="00D027AD"/>
    <w:rsid w:val="00D02A5E"/>
    <w:rsid w:val="00D033D6"/>
    <w:rsid w:val="00D04275"/>
    <w:rsid w:val="00D07BFC"/>
    <w:rsid w:val="00D16877"/>
    <w:rsid w:val="00D2163E"/>
    <w:rsid w:val="00D21B59"/>
    <w:rsid w:val="00D32119"/>
    <w:rsid w:val="00D34BFE"/>
    <w:rsid w:val="00D37EFE"/>
    <w:rsid w:val="00D42F67"/>
    <w:rsid w:val="00D502DD"/>
    <w:rsid w:val="00D54BD2"/>
    <w:rsid w:val="00D61FE4"/>
    <w:rsid w:val="00D6514B"/>
    <w:rsid w:val="00D65217"/>
    <w:rsid w:val="00D71017"/>
    <w:rsid w:val="00D71F65"/>
    <w:rsid w:val="00D724A2"/>
    <w:rsid w:val="00D728BF"/>
    <w:rsid w:val="00D731EF"/>
    <w:rsid w:val="00D73D5C"/>
    <w:rsid w:val="00D74E83"/>
    <w:rsid w:val="00D75282"/>
    <w:rsid w:val="00D75534"/>
    <w:rsid w:val="00D76D4F"/>
    <w:rsid w:val="00D80F48"/>
    <w:rsid w:val="00D81510"/>
    <w:rsid w:val="00D827EB"/>
    <w:rsid w:val="00D8565B"/>
    <w:rsid w:val="00D859E6"/>
    <w:rsid w:val="00D902F6"/>
    <w:rsid w:val="00D9643B"/>
    <w:rsid w:val="00D97827"/>
    <w:rsid w:val="00DA0224"/>
    <w:rsid w:val="00DA10A1"/>
    <w:rsid w:val="00DA4EC6"/>
    <w:rsid w:val="00DA64D4"/>
    <w:rsid w:val="00DA7315"/>
    <w:rsid w:val="00DB4766"/>
    <w:rsid w:val="00DB675E"/>
    <w:rsid w:val="00DC08C7"/>
    <w:rsid w:val="00DC0C7B"/>
    <w:rsid w:val="00DC2996"/>
    <w:rsid w:val="00DC2ADA"/>
    <w:rsid w:val="00DC7198"/>
    <w:rsid w:val="00DC7F90"/>
    <w:rsid w:val="00DD20D5"/>
    <w:rsid w:val="00DD23BE"/>
    <w:rsid w:val="00DD5CB9"/>
    <w:rsid w:val="00DD764F"/>
    <w:rsid w:val="00DD7D58"/>
    <w:rsid w:val="00DE0E97"/>
    <w:rsid w:val="00DE121A"/>
    <w:rsid w:val="00DE4D5D"/>
    <w:rsid w:val="00DF0514"/>
    <w:rsid w:val="00DF2CFF"/>
    <w:rsid w:val="00DF4457"/>
    <w:rsid w:val="00DF5170"/>
    <w:rsid w:val="00DF65D3"/>
    <w:rsid w:val="00E13A1D"/>
    <w:rsid w:val="00E15713"/>
    <w:rsid w:val="00E15DD9"/>
    <w:rsid w:val="00E17607"/>
    <w:rsid w:val="00E229C4"/>
    <w:rsid w:val="00E32FA9"/>
    <w:rsid w:val="00E35121"/>
    <w:rsid w:val="00E366C7"/>
    <w:rsid w:val="00E36781"/>
    <w:rsid w:val="00E41CF0"/>
    <w:rsid w:val="00E42045"/>
    <w:rsid w:val="00E4311B"/>
    <w:rsid w:val="00E467BA"/>
    <w:rsid w:val="00E4752B"/>
    <w:rsid w:val="00E5452D"/>
    <w:rsid w:val="00E56D47"/>
    <w:rsid w:val="00E629D5"/>
    <w:rsid w:val="00E67A8B"/>
    <w:rsid w:val="00E707C4"/>
    <w:rsid w:val="00E755C8"/>
    <w:rsid w:val="00E75F4C"/>
    <w:rsid w:val="00E7603E"/>
    <w:rsid w:val="00E803B8"/>
    <w:rsid w:val="00E838FF"/>
    <w:rsid w:val="00E83BE5"/>
    <w:rsid w:val="00E85E06"/>
    <w:rsid w:val="00E87C12"/>
    <w:rsid w:val="00E90C7F"/>
    <w:rsid w:val="00E92EB7"/>
    <w:rsid w:val="00E934D3"/>
    <w:rsid w:val="00E943B6"/>
    <w:rsid w:val="00E944BB"/>
    <w:rsid w:val="00E94766"/>
    <w:rsid w:val="00E96F0D"/>
    <w:rsid w:val="00E97EEA"/>
    <w:rsid w:val="00EA0086"/>
    <w:rsid w:val="00EA482E"/>
    <w:rsid w:val="00EB0FA8"/>
    <w:rsid w:val="00EB22EC"/>
    <w:rsid w:val="00EB38E6"/>
    <w:rsid w:val="00EB6EB1"/>
    <w:rsid w:val="00EB7CA6"/>
    <w:rsid w:val="00EC0B3D"/>
    <w:rsid w:val="00EC1570"/>
    <w:rsid w:val="00EC1F18"/>
    <w:rsid w:val="00EC3320"/>
    <w:rsid w:val="00ED1D38"/>
    <w:rsid w:val="00ED3AC3"/>
    <w:rsid w:val="00ED4CC4"/>
    <w:rsid w:val="00ED4E76"/>
    <w:rsid w:val="00ED6307"/>
    <w:rsid w:val="00ED6BDE"/>
    <w:rsid w:val="00ED7FA5"/>
    <w:rsid w:val="00EE1AF2"/>
    <w:rsid w:val="00EE445A"/>
    <w:rsid w:val="00EE503F"/>
    <w:rsid w:val="00EE5414"/>
    <w:rsid w:val="00EF0BF7"/>
    <w:rsid w:val="00EF4923"/>
    <w:rsid w:val="00EF778C"/>
    <w:rsid w:val="00F00A4C"/>
    <w:rsid w:val="00F02FD2"/>
    <w:rsid w:val="00F03066"/>
    <w:rsid w:val="00F04BB4"/>
    <w:rsid w:val="00F069E9"/>
    <w:rsid w:val="00F10224"/>
    <w:rsid w:val="00F10ADD"/>
    <w:rsid w:val="00F11623"/>
    <w:rsid w:val="00F1162F"/>
    <w:rsid w:val="00F1451F"/>
    <w:rsid w:val="00F14636"/>
    <w:rsid w:val="00F16AE0"/>
    <w:rsid w:val="00F25D72"/>
    <w:rsid w:val="00F334C0"/>
    <w:rsid w:val="00F375E2"/>
    <w:rsid w:val="00F506DE"/>
    <w:rsid w:val="00F5215C"/>
    <w:rsid w:val="00F522C4"/>
    <w:rsid w:val="00F56FC9"/>
    <w:rsid w:val="00F576BB"/>
    <w:rsid w:val="00F600BD"/>
    <w:rsid w:val="00F61870"/>
    <w:rsid w:val="00F638A7"/>
    <w:rsid w:val="00F64C79"/>
    <w:rsid w:val="00F6541D"/>
    <w:rsid w:val="00F65BAE"/>
    <w:rsid w:val="00F6767D"/>
    <w:rsid w:val="00F74BA6"/>
    <w:rsid w:val="00F7614E"/>
    <w:rsid w:val="00F77BA9"/>
    <w:rsid w:val="00F831BD"/>
    <w:rsid w:val="00F86296"/>
    <w:rsid w:val="00F871B6"/>
    <w:rsid w:val="00F92F5F"/>
    <w:rsid w:val="00F93AAF"/>
    <w:rsid w:val="00F94E1E"/>
    <w:rsid w:val="00F95EA0"/>
    <w:rsid w:val="00F97C26"/>
    <w:rsid w:val="00FA15CE"/>
    <w:rsid w:val="00FA4D29"/>
    <w:rsid w:val="00FB0064"/>
    <w:rsid w:val="00FB0B96"/>
    <w:rsid w:val="00FB650D"/>
    <w:rsid w:val="00FB6B3E"/>
    <w:rsid w:val="00FC5906"/>
    <w:rsid w:val="00FD0152"/>
    <w:rsid w:val="00FD17E6"/>
    <w:rsid w:val="00FD19A5"/>
    <w:rsid w:val="00FD268D"/>
    <w:rsid w:val="00FD3163"/>
    <w:rsid w:val="00FD3832"/>
    <w:rsid w:val="00FD68AF"/>
    <w:rsid w:val="00FE0D35"/>
    <w:rsid w:val="00FE0FF0"/>
    <w:rsid w:val="00FE153F"/>
    <w:rsid w:val="00FE5D43"/>
    <w:rsid w:val="00FE7476"/>
    <w:rsid w:val="00FF0451"/>
    <w:rsid w:val="00FF17A3"/>
    <w:rsid w:val="00FF3A67"/>
    <w:rsid w:val="00FF3B64"/>
    <w:rsid w:val="00FF7298"/>
    <w:rsid w:val="014C7D58"/>
    <w:rsid w:val="01D0796A"/>
    <w:rsid w:val="02522611"/>
    <w:rsid w:val="029972DE"/>
    <w:rsid w:val="032C24DC"/>
    <w:rsid w:val="034D12D4"/>
    <w:rsid w:val="039463AD"/>
    <w:rsid w:val="03AA19C7"/>
    <w:rsid w:val="03DE645D"/>
    <w:rsid w:val="03FD2C8C"/>
    <w:rsid w:val="04384486"/>
    <w:rsid w:val="05E1083F"/>
    <w:rsid w:val="06686A01"/>
    <w:rsid w:val="06FA7189"/>
    <w:rsid w:val="07C85206"/>
    <w:rsid w:val="089900B5"/>
    <w:rsid w:val="095D3F56"/>
    <w:rsid w:val="0A5E2D20"/>
    <w:rsid w:val="0B1A4AB9"/>
    <w:rsid w:val="0B76632E"/>
    <w:rsid w:val="0B8C4961"/>
    <w:rsid w:val="0BBF1C32"/>
    <w:rsid w:val="0C1F2AD1"/>
    <w:rsid w:val="0C396D14"/>
    <w:rsid w:val="0CFF7400"/>
    <w:rsid w:val="0D095DE0"/>
    <w:rsid w:val="0D275524"/>
    <w:rsid w:val="0D822374"/>
    <w:rsid w:val="0DD93B5C"/>
    <w:rsid w:val="0DDD6766"/>
    <w:rsid w:val="0E2D6DD1"/>
    <w:rsid w:val="0F9E56F6"/>
    <w:rsid w:val="103114B3"/>
    <w:rsid w:val="103B29D8"/>
    <w:rsid w:val="10C679D7"/>
    <w:rsid w:val="10F37A1C"/>
    <w:rsid w:val="116D627E"/>
    <w:rsid w:val="11797BE6"/>
    <w:rsid w:val="126976EC"/>
    <w:rsid w:val="132F26C0"/>
    <w:rsid w:val="13351506"/>
    <w:rsid w:val="141D4DDA"/>
    <w:rsid w:val="14E16390"/>
    <w:rsid w:val="15CE1DD3"/>
    <w:rsid w:val="163B2879"/>
    <w:rsid w:val="16572F7C"/>
    <w:rsid w:val="16801789"/>
    <w:rsid w:val="16831C06"/>
    <w:rsid w:val="16CF777F"/>
    <w:rsid w:val="17694C0B"/>
    <w:rsid w:val="18D0495C"/>
    <w:rsid w:val="19A31B88"/>
    <w:rsid w:val="19F2660E"/>
    <w:rsid w:val="1A987298"/>
    <w:rsid w:val="1B9117F5"/>
    <w:rsid w:val="1BC879CD"/>
    <w:rsid w:val="1BE71137"/>
    <w:rsid w:val="1C961A9E"/>
    <w:rsid w:val="1D430F6E"/>
    <w:rsid w:val="1DCF1CAD"/>
    <w:rsid w:val="1F107083"/>
    <w:rsid w:val="20224768"/>
    <w:rsid w:val="20795D5C"/>
    <w:rsid w:val="20C02E3B"/>
    <w:rsid w:val="20D90E52"/>
    <w:rsid w:val="20E5353A"/>
    <w:rsid w:val="216C0BB0"/>
    <w:rsid w:val="22153C27"/>
    <w:rsid w:val="223C2126"/>
    <w:rsid w:val="24992D39"/>
    <w:rsid w:val="249F1FCC"/>
    <w:rsid w:val="24A50662"/>
    <w:rsid w:val="24B554F3"/>
    <w:rsid w:val="25033A80"/>
    <w:rsid w:val="25EA5EC1"/>
    <w:rsid w:val="266F0406"/>
    <w:rsid w:val="26AF0309"/>
    <w:rsid w:val="27AB0974"/>
    <w:rsid w:val="27B73DC6"/>
    <w:rsid w:val="28AF3A48"/>
    <w:rsid w:val="2A403FBB"/>
    <w:rsid w:val="2B525815"/>
    <w:rsid w:val="2C136A03"/>
    <w:rsid w:val="2C2A5EE7"/>
    <w:rsid w:val="2C517763"/>
    <w:rsid w:val="2C74180A"/>
    <w:rsid w:val="2C7744DE"/>
    <w:rsid w:val="2CDA6E57"/>
    <w:rsid w:val="2CE65313"/>
    <w:rsid w:val="2CFF066C"/>
    <w:rsid w:val="2DFB7CF8"/>
    <w:rsid w:val="2E7F4750"/>
    <w:rsid w:val="2EA64DA7"/>
    <w:rsid w:val="2F246B5F"/>
    <w:rsid w:val="2F5446ED"/>
    <w:rsid w:val="2FEC3571"/>
    <w:rsid w:val="300377AE"/>
    <w:rsid w:val="300466C5"/>
    <w:rsid w:val="308710A4"/>
    <w:rsid w:val="30B22A4B"/>
    <w:rsid w:val="311E5627"/>
    <w:rsid w:val="31BF6449"/>
    <w:rsid w:val="327B74C9"/>
    <w:rsid w:val="32CA5270"/>
    <w:rsid w:val="32DB6043"/>
    <w:rsid w:val="33396494"/>
    <w:rsid w:val="33844E91"/>
    <w:rsid w:val="33FC5923"/>
    <w:rsid w:val="34A87036"/>
    <w:rsid w:val="35462D36"/>
    <w:rsid w:val="35A13B85"/>
    <w:rsid w:val="35E24B70"/>
    <w:rsid w:val="360762D6"/>
    <w:rsid w:val="365111B7"/>
    <w:rsid w:val="37743531"/>
    <w:rsid w:val="379A16BD"/>
    <w:rsid w:val="37C026CC"/>
    <w:rsid w:val="37C71DB0"/>
    <w:rsid w:val="37DE2A16"/>
    <w:rsid w:val="37DE2AD6"/>
    <w:rsid w:val="37F678AD"/>
    <w:rsid w:val="381F43B6"/>
    <w:rsid w:val="3891221D"/>
    <w:rsid w:val="38BE7829"/>
    <w:rsid w:val="390674B2"/>
    <w:rsid w:val="396D17E3"/>
    <w:rsid w:val="3AB94585"/>
    <w:rsid w:val="3B373BF0"/>
    <w:rsid w:val="3BC33327"/>
    <w:rsid w:val="3C0A10AE"/>
    <w:rsid w:val="3C774D3E"/>
    <w:rsid w:val="3CAC0CBC"/>
    <w:rsid w:val="3CF60293"/>
    <w:rsid w:val="3D066E64"/>
    <w:rsid w:val="3D1179C2"/>
    <w:rsid w:val="3DF86F11"/>
    <w:rsid w:val="3E4C593B"/>
    <w:rsid w:val="3E510064"/>
    <w:rsid w:val="3EB30628"/>
    <w:rsid w:val="3F321ED1"/>
    <w:rsid w:val="3F4C5993"/>
    <w:rsid w:val="3F8D625F"/>
    <w:rsid w:val="3FCA46F6"/>
    <w:rsid w:val="40D82DFB"/>
    <w:rsid w:val="419C0A8D"/>
    <w:rsid w:val="42C33F30"/>
    <w:rsid w:val="437556E9"/>
    <w:rsid w:val="43962F64"/>
    <w:rsid w:val="43CD5FF8"/>
    <w:rsid w:val="44036F51"/>
    <w:rsid w:val="44B17B31"/>
    <w:rsid w:val="44F3127A"/>
    <w:rsid w:val="44F32D05"/>
    <w:rsid w:val="455A3683"/>
    <w:rsid w:val="456A6AE6"/>
    <w:rsid w:val="457B24F2"/>
    <w:rsid w:val="46477E22"/>
    <w:rsid w:val="468A0DE6"/>
    <w:rsid w:val="47EF2633"/>
    <w:rsid w:val="48000CA4"/>
    <w:rsid w:val="485E3EFB"/>
    <w:rsid w:val="48E8021F"/>
    <w:rsid w:val="497E0E3E"/>
    <w:rsid w:val="49BF33D2"/>
    <w:rsid w:val="4A3416AF"/>
    <w:rsid w:val="4A527BD5"/>
    <w:rsid w:val="4BCE582C"/>
    <w:rsid w:val="4BF44EFB"/>
    <w:rsid w:val="4C072893"/>
    <w:rsid w:val="4C8B5DD4"/>
    <w:rsid w:val="4D820DE4"/>
    <w:rsid w:val="4D881D6F"/>
    <w:rsid w:val="4DDD4E1A"/>
    <w:rsid w:val="4DEC0600"/>
    <w:rsid w:val="4EB4413A"/>
    <w:rsid w:val="4F3710E1"/>
    <w:rsid w:val="501A39CA"/>
    <w:rsid w:val="503B5814"/>
    <w:rsid w:val="50577FCC"/>
    <w:rsid w:val="506C2151"/>
    <w:rsid w:val="50E16708"/>
    <w:rsid w:val="511F1731"/>
    <w:rsid w:val="51480894"/>
    <w:rsid w:val="51E62B79"/>
    <w:rsid w:val="525A371F"/>
    <w:rsid w:val="536415F1"/>
    <w:rsid w:val="53EE4B74"/>
    <w:rsid w:val="53F4463B"/>
    <w:rsid w:val="54263430"/>
    <w:rsid w:val="547153CD"/>
    <w:rsid w:val="55E81647"/>
    <w:rsid w:val="56105421"/>
    <w:rsid w:val="56BD505E"/>
    <w:rsid w:val="57A6600E"/>
    <w:rsid w:val="589A3193"/>
    <w:rsid w:val="592C5219"/>
    <w:rsid w:val="5AE42DEB"/>
    <w:rsid w:val="5B2C0106"/>
    <w:rsid w:val="5B9F3B36"/>
    <w:rsid w:val="5D796F08"/>
    <w:rsid w:val="5E746526"/>
    <w:rsid w:val="5F5C11C0"/>
    <w:rsid w:val="5FBF30CA"/>
    <w:rsid w:val="5FCD01EE"/>
    <w:rsid w:val="601B7A0C"/>
    <w:rsid w:val="605F5BE5"/>
    <w:rsid w:val="60A80089"/>
    <w:rsid w:val="61225EA9"/>
    <w:rsid w:val="61563D8A"/>
    <w:rsid w:val="61963FB3"/>
    <w:rsid w:val="61CB167B"/>
    <w:rsid w:val="624433AB"/>
    <w:rsid w:val="6325605A"/>
    <w:rsid w:val="64F01059"/>
    <w:rsid w:val="668F14E4"/>
    <w:rsid w:val="670A7F27"/>
    <w:rsid w:val="67BB0FE6"/>
    <w:rsid w:val="67ED50B4"/>
    <w:rsid w:val="682B47D1"/>
    <w:rsid w:val="687E4741"/>
    <w:rsid w:val="68C567C2"/>
    <w:rsid w:val="691E189E"/>
    <w:rsid w:val="69F978B3"/>
    <w:rsid w:val="6AC47D15"/>
    <w:rsid w:val="6B330383"/>
    <w:rsid w:val="6B7F1EA3"/>
    <w:rsid w:val="6BD12065"/>
    <w:rsid w:val="6D625C1A"/>
    <w:rsid w:val="6DB97DE8"/>
    <w:rsid w:val="6E4E27FF"/>
    <w:rsid w:val="6E696399"/>
    <w:rsid w:val="6E7E09DA"/>
    <w:rsid w:val="6F341910"/>
    <w:rsid w:val="6F535138"/>
    <w:rsid w:val="6F94610B"/>
    <w:rsid w:val="6FFF27F3"/>
    <w:rsid w:val="7037434E"/>
    <w:rsid w:val="70A75B7F"/>
    <w:rsid w:val="716F100B"/>
    <w:rsid w:val="720A41A6"/>
    <w:rsid w:val="72395801"/>
    <w:rsid w:val="726819C1"/>
    <w:rsid w:val="72997548"/>
    <w:rsid w:val="73837CDD"/>
    <w:rsid w:val="73CB2B9E"/>
    <w:rsid w:val="73CF1D2F"/>
    <w:rsid w:val="745C561E"/>
    <w:rsid w:val="745D03BD"/>
    <w:rsid w:val="74AF3F7B"/>
    <w:rsid w:val="752C70F1"/>
    <w:rsid w:val="7543535A"/>
    <w:rsid w:val="75493809"/>
    <w:rsid w:val="756F6024"/>
    <w:rsid w:val="77310B5C"/>
    <w:rsid w:val="78340C7E"/>
    <w:rsid w:val="78762B59"/>
    <w:rsid w:val="78B679A2"/>
    <w:rsid w:val="79D92211"/>
    <w:rsid w:val="7A4B0F6D"/>
    <w:rsid w:val="7B2014A6"/>
    <w:rsid w:val="7B3D5FC0"/>
    <w:rsid w:val="7C944F83"/>
    <w:rsid w:val="7C9C5934"/>
    <w:rsid w:val="7D717F32"/>
    <w:rsid w:val="7E9637AF"/>
    <w:rsid w:val="7EC747C8"/>
    <w:rsid w:val="7F922126"/>
    <w:rsid w:val="7FD75EEF"/>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semiHidden="0" w:name="toc 1"/>
    <w:lsdException w:qFormat="1" w:unhideWhenUsed="0" w:uiPriority="99" w:semiHidden="0" w:name="toc 2"/>
    <w:lsdException w:qFormat="1" w:unhideWhenUsed="0" w:uiPriority="9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iPriority="99" w:name="Normal Indent" w:locked="1"/>
    <w:lsdException w:uiPriority="99" w:name="footnote text" w:locked="1"/>
    <w:lsdException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99" w:semiHidden="0" w:name="Title"/>
    <w:lsdException w:uiPriority="99" w:name="Closing" w:locked="1"/>
    <w:lsdException w:uiPriority="99" w:name="Signature" w:locked="1"/>
    <w:lsdException w:qFormat="1" w:uiPriority="1" w:name="Default Paragraph Font"/>
    <w:lsdException w:uiPriority="99"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99" w:semiHidden="0" w:name="Subtitle"/>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qFormat="1" w:uiPriority="99" w:name="FollowedHyperlink" w:locked="1"/>
    <w:lsdException w:qFormat="1" w:unhideWhenUsed="0" w:uiPriority="0" w:semiHidden="0" w:name="Strong"/>
    <w:lsdException w:qFormat="1" w:unhideWhenUsed="0" w:uiPriority="0" w:semiHidden="0" w:name="Emphasis"/>
    <w:lsdException w:uiPriority="99" w:name="Document Map" w:locked="1"/>
    <w:lsdException w:qFormat="1" w:unhideWhenUsed="0" w:uiPriority="99"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unhideWhenUsed="0" w:uiPriority="0"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8"/>
    <w:qFormat/>
    <w:uiPriority w:val="99"/>
    <w:pPr>
      <w:keepNext/>
      <w:keepLines/>
      <w:spacing w:before="340" w:after="330" w:line="559" w:lineRule="auto"/>
      <w:outlineLvl w:val="0"/>
    </w:pPr>
    <w:rPr>
      <w:rFonts w:eastAsia="华文中宋"/>
      <w:b/>
      <w:bCs/>
      <w:kern w:val="44"/>
      <w:sz w:val="44"/>
      <w:szCs w:val="44"/>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3">
    <w:name w:val="toc 3"/>
    <w:basedOn w:val="1"/>
    <w:next w:val="1"/>
    <w:qFormat/>
    <w:uiPriority w:val="99"/>
    <w:pPr>
      <w:widowControl/>
      <w:spacing w:after="100" w:line="259" w:lineRule="auto"/>
      <w:ind w:left="440"/>
      <w:jc w:val="left"/>
    </w:pPr>
    <w:rPr>
      <w:rFonts w:ascii="Calibri" w:hAnsi="Calibri"/>
      <w:kern w:val="0"/>
      <w:sz w:val="22"/>
      <w:szCs w:val="22"/>
    </w:rPr>
  </w:style>
  <w:style w:type="paragraph" w:styleId="4">
    <w:name w:val="Plain Text"/>
    <w:basedOn w:val="1"/>
    <w:link w:val="26"/>
    <w:qFormat/>
    <w:uiPriority w:val="99"/>
    <w:rPr>
      <w:rFonts w:ascii="宋体" w:hAnsi="Courier New"/>
      <w:sz w:val="32"/>
      <w:szCs w:val="20"/>
    </w:rPr>
  </w:style>
  <w:style w:type="paragraph" w:styleId="5">
    <w:name w:val="Balloon Text"/>
    <w:basedOn w:val="1"/>
    <w:link w:val="20"/>
    <w:qFormat/>
    <w:uiPriority w:val="99"/>
    <w:rPr>
      <w:sz w:val="18"/>
      <w:szCs w:val="18"/>
    </w:rPr>
  </w:style>
  <w:style w:type="paragraph" w:styleId="6">
    <w:name w:val="footer"/>
    <w:basedOn w:val="1"/>
    <w:link w:val="21"/>
    <w:qFormat/>
    <w:uiPriority w:val="99"/>
    <w:pPr>
      <w:tabs>
        <w:tab w:val="center" w:pos="4153"/>
        <w:tab w:val="right" w:pos="8306"/>
      </w:tabs>
      <w:snapToGrid w:val="0"/>
      <w:jc w:val="left"/>
    </w:pPr>
    <w:rPr>
      <w:sz w:val="18"/>
      <w:szCs w:val="18"/>
    </w:rPr>
  </w:style>
  <w:style w:type="paragraph" w:styleId="7">
    <w:name w:val="header"/>
    <w:basedOn w:val="1"/>
    <w:link w:val="22"/>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qFormat/>
    <w:uiPriority w:val="99"/>
    <w:pPr>
      <w:widowControl/>
      <w:spacing w:after="100" w:line="259" w:lineRule="auto"/>
      <w:jc w:val="left"/>
    </w:pPr>
    <w:rPr>
      <w:rFonts w:ascii="Calibri" w:hAnsi="Calibri"/>
      <w:kern w:val="0"/>
      <w:sz w:val="22"/>
      <w:szCs w:val="22"/>
    </w:rPr>
  </w:style>
  <w:style w:type="paragraph" w:styleId="9">
    <w:name w:val="Subtitle"/>
    <w:basedOn w:val="1"/>
    <w:next w:val="1"/>
    <w:link w:val="23"/>
    <w:qFormat/>
    <w:uiPriority w:val="99"/>
    <w:pPr>
      <w:spacing w:before="240" w:after="60" w:line="312" w:lineRule="auto"/>
      <w:jc w:val="center"/>
      <w:outlineLvl w:val="1"/>
    </w:pPr>
    <w:rPr>
      <w:rFonts w:ascii="Calibri" w:hAnsi="Calibri"/>
      <w:b/>
      <w:bCs/>
      <w:kern w:val="28"/>
      <w:sz w:val="32"/>
      <w:szCs w:val="32"/>
    </w:rPr>
  </w:style>
  <w:style w:type="paragraph" w:styleId="10">
    <w:name w:val="toc 2"/>
    <w:basedOn w:val="1"/>
    <w:next w:val="1"/>
    <w:qFormat/>
    <w:uiPriority w:val="99"/>
    <w:pPr>
      <w:widowControl/>
      <w:spacing w:after="100" w:line="259" w:lineRule="auto"/>
      <w:ind w:left="220"/>
      <w:jc w:val="left"/>
    </w:pPr>
    <w:rPr>
      <w:rFonts w:ascii="Calibri" w:hAnsi="Calibri"/>
      <w:kern w:val="0"/>
      <w:sz w:val="22"/>
      <w:szCs w:val="22"/>
    </w:rPr>
  </w:style>
  <w:style w:type="paragraph" w:styleId="11">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12">
    <w:name w:val="Title"/>
    <w:basedOn w:val="1"/>
    <w:next w:val="1"/>
    <w:link w:val="24"/>
    <w:qFormat/>
    <w:uiPriority w:val="99"/>
    <w:pPr>
      <w:spacing w:before="240" w:after="60"/>
      <w:jc w:val="center"/>
      <w:outlineLvl w:val="0"/>
    </w:pPr>
    <w:rPr>
      <w:rFonts w:ascii="Cambria" w:hAnsi="Cambria" w:eastAsia="华文中宋"/>
      <w:b/>
      <w:bCs/>
      <w:sz w:val="36"/>
      <w:szCs w:val="32"/>
    </w:rPr>
  </w:style>
  <w:style w:type="character" w:styleId="15">
    <w:name w:val="page number"/>
    <w:qFormat/>
    <w:uiPriority w:val="99"/>
    <w:rPr>
      <w:rFonts w:cs="Times New Roman"/>
    </w:rPr>
  </w:style>
  <w:style w:type="character" w:styleId="16">
    <w:name w:val="FollowedHyperlink"/>
    <w:basedOn w:val="14"/>
    <w:semiHidden/>
    <w:unhideWhenUsed/>
    <w:qFormat/>
    <w:locked/>
    <w:uiPriority w:val="99"/>
    <w:rPr>
      <w:color w:val="333333"/>
      <w:u w:val="none"/>
    </w:rPr>
  </w:style>
  <w:style w:type="character" w:styleId="17">
    <w:name w:val="Hyperlink"/>
    <w:qFormat/>
    <w:uiPriority w:val="99"/>
    <w:rPr>
      <w:rFonts w:cs="Times New Roman"/>
      <w:color w:val="0000FF"/>
      <w:u w:val="single"/>
    </w:rPr>
  </w:style>
  <w:style w:type="character" w:customStyle="1" w:styleId="18">
    <w:name w:val="标题 1 字符"/>
    <w:link w:val="2"/>
    <w:qFormat/>
    <w:locked/>
    <w:uiPriority w:val="99"/>
    <w:rPr>
      <w:rFonts w:eastAsia="华文中宋" w:cs="Times New Roman"/>
      <w:b/>
      <w:bCs/>
      <w:kern w:val="44"/>
      <w:sz w:val="44"/>
      <w:szCs w:val="44"/>
    </w:rPr>
  </w:style>
  <w:style w:type="character" w:customStyle="1" w:styleId="19">
    <w:name w:val="Plain Text Char"/>
    <w:qFormat/>
    <w:locked/>
    <w:uiPriority w:val="99"/>
    <w:rPr>
      <w:rFonts w:ascii="宋体" w:hAnsi="Courier New" w:cs="Times New Roman"/>
      <w:kern w:val="2"/>
      <w:sz w:val="32"/>
    </w:rPr>
  </w:style>
  <w:style w:type="character" w:customStyle="1" w:styleId="20">
    <w:name w:val="批注框文本 字符"/>
    <w:link w:val="5"/>
    <w:qFormat/>
    <w:locked/>
    <w:uiPriority w:val="99"/>
    <w:rPr>
      <w:rFonts w:cs="Times New Roman"/>
      <w:kern w:val="2"/>
      <w:sz w:val="18"/>
      <w:szCs w:val="18"/>
    </w:rPr>
  </w:style>
  <w:style w:type="character" w:customStyle="1" w:styleId="21">
    <w:name w:val="页脚 字符"/>
    <w:link w:val="6"/>
    <w:qFormat/>
    <w:locked/>
    <w:uiPriority w:val="99"/>
    <w:rPr>
      <w:rFonts w:eastAsia="宋体" w:cs="Times New Roman"/>
      <w:kern w:val="2"/>
      <w:sz w:val="18"/>
      <w:lang w:val="en-US" w:eastAsia="zh-CN"/>
    </w:rPr>
  </w:style>
  <w:style w:type="character" w:customStyle="1" w:styleId="22">
    <w:name w:val="页眉 字符"/>
    <w:link w:val="7"/>
    <w:qFormat/>
    <w:locked/>
    <w:uiPriority w:val="99"/>
    <w:rPr>
      <w:rFonts w:eastAsia="宋体" w:cs="Times New Roman"/>
      <w:kern w:val="2"/>
      <w:sz w:val="18"/>
      <w:lang w:val="en-US" w:eastAsia="zh-CN"/>
    </w:rPr>
  </w:style>
  <w:style w:type="character" w:customStyle="1" w:styleId="23">
    <w:name w:val="副标题 字符"/>
    <w:link w:val="9"/>
    <w:qFormat/>
    <w:locked/>
    <w:uiPriority w:val="99"/>
    <w:rPr>
      <w:rFonts w:ascii="Calibri" w:hAnsi="Calibri" w:eastAsia="宋体" w:cs="Times New Roman"/>
      <w:b/>
      <w:bCs/>
      <w:kern w:val="28"/>
      <w:sz w:val="32"/>
      <w:szCs w:val="32"/>
    </w:rPr>
  </w:style>
  <w:style w:type="character" w:customStyle="1" w:styleId="24">
    <w:name w:val="标题 字符"/>
    <w:link w:val="12"/>
    <w:qFormat/>
    <w:locked/>
    <w:uiPriority w:val="99"/>
    <w:rPr>
      <w:rFonts w:ascii="Cambria" w:hAnsi="Cambria" w:eastAsia="华文中宋" w:cs="Times New Roman"/>
      <w:b/>
      <w:bCs/>
      <w:kern w:val="2"/>
      <w:sz w:val="32"/>
      <w:szCs w:val="32"/>
    </w:rPr>
  </w:style>
  <w:style w:type="paragraph" w:customStyle="1" w:styleId="25">
    <w:name w:val="p0"/>
    <w:basedOn w:val="1"/>
    <w:qFormat/>
    <w:uiPriority w:val="99"/>
    <w:pPr>
      <w:widowControl/>
      <w:spacing w:line="365" w:lineRule="atLeast"/>
      <w:ind w:left="1"/>
    </w:pPr>
    <w:rPr>
      <w:kern w:val="0"/>
      <w:sz w:val="20"/>
      <w:szCs w:val="20"/>
    </w:rPr>
  </w:style>
  <w:style w:type="character" w:customStyle="1" w:styleId="26">
    <w:name w:val="纯文本 字符"/>
    <w:link w:val="4"/>
    <w:semiHidden/>
    <w:qFormat/>
    <w:locked/>
    <w:uiPriority w:val="99"/>
    <w:rPr>
      <w:rFonts w:ascii="宋体" w:hAnsi="Courier New" w:cs="Courier New"/>
      <w:sz w:val="21"/>
      <w:szCs w:val="21"/>
    </w:rPr>
  </w:style>
  <w:style w:type="character" w:customStyle="1" w:styleId="27">
    <w:name w:val="纯文本 Char1"/>
    <w:qFormat/>
    <w:uiPriority w:val="99"/>
    <w:rPr>
      <w:rFonts w:ascii="宋体" w:hAnsi="Courier New" w:cs="Courier New"/>
      <w:kern w:val="2"/>
      <w:sz w:val="21"/>
      <w:szCs w:val="21"/>
    </w:rPr>
  </w:style>
  <w:style w:type="paragraph" w:customStyle="1" w:styleId="28">
    <w:name w:val="TOC 标题1"/>
    <w:basedOn w:val="2"/>
    <w:next w:val="1"/>
    <w:qFormat/>
    <w:uiPriority w:val="99"/>
    <w:pPr>
      <w:widowControl/>
      <w:spacing w:before="240" w:after="0" w:line="259" w:lineRule="auto"/>
      <w:jc w:val="left"/>
      <w:outlineLvl w:val="9"/>
    </w:pPr>
    <w:rPr>
      <w:rFonts w:ascii="Cambria" w:hAnsi="Cambria" w:eastAsia="宋体"/>
      <w:b w:val="0"/>
      <w:bCs w:val="0"/>
      <w:color w:val="365F91"/>
      <w:kern w:val="0"/>
      <w:sz w:val="32"/>
      <w:szCs w:val="32"/>
    </w:rPr>
  </w:style>
  <w:style w:type="paragraph" w:styleId="2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6.emf"/><Relationship Id="rId30" Type="http://schemas.openxmlformats.org/officeDocument/2006/relationships/oleObject" Target="embeddings/oleObject1.bin"/><Relationship Id="rId3" Type="http://schemas.openxmlformats.org/officeDocument/2006/relationships/header" Target="header1.xml"/><Relationship Id="rId29" Type="http://schemas.openxmlformats.org/officeDocument/2006/relationships/image" Target="media/image5.png"/><Relationship Id="rId28" Type="http://schemas.openxmlformats.org/officeDocument/2006/relationships/image" Target="media/image4.jpeg"/><Relationship Id="rId27" Type="http://schemas.openxmlformats.org/officeDocument/2006/relationships/image" Target="media/image3.jpeg"/><Relationship Id="rId26" Type="http://schemas.openxmlformats.org/officeDocument/2006/relationships/image" Target="media/image2.jpeg"/><Relationship Id="rId25" Type="http://schemas.openxmlformats.org/officeDocument/2006/relationships/image" Target="media/image1.jpe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footer" Target="footer10.xml"/><Relationship Id="rId21" Type="http://schemas.openxmlformats.org/officeDocument/2006/relationships/footer" Target="footer9.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2049" textRotate="1"/>
    <customShpInfo spid="_x0000_s2050" textRotate="1"/>
    <customShpInfo spid="_x0000_s2051" textRotate="1"/>
    <customShpInfo spid="_x0000_s2052" textRotate="1"/>
    <customShpInfo spid="_x0000_s1026"/>
    <customShpInfo spid="_x0000_s1027"/>
    <customShpInfo spid="_x0000_s1028"/>
    <customShpInfo spid="_x0000_s1029"/>
    <customShpInfo spid="_x0000_s1030"/>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B3F48C7-1B17-4164-9CE1-FBF7494C9C0B}">
  <ds:schemaRefs/>
</ds:datastoreItem>
</file>

<file path=docProps/app.xml><?xml version="1.0" encoding="utf-8"?>
<Properties xmlns="http://schemas.openxmlformats.org/officeDocument/2006/extended-properties" xmlns:vt="http://schemas.openxmlformats.org/officeDocument/2006/docPropsVTypes">
  <Template>Normal.dotm</Template>
  <Company>MSCD龙帝国技术社区 Htpp://Bbs.Mscode.Cc</Company>
  <Pages>46</Pages>
  <Words>16128</Words>
  <Characters>16886</Characters>
  <Lines>127</Lines>
  <Paragraphs>35</Paragraphs>
  <TotalTime>9</TotalTime>
  <ScaleCrop>false</ScaleCrop>
  <LinksUpToDate>false</LinksUpToDate>
  <CharactersWithSpaces>17260</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2021-11-29T03:06:00Z</dcterms:created>
  <dc:creator>Administrator</dc:creator>
  <cp:lastModifiedBy>NTKO</cp:lastModifiedBy>
  <cp:lastPrinted>2022-12-09T05:07:10Z</cp:lastPrinted>
  <dcterms:modified xsi:type="dcterms:W3CDTF">2022-12-09T05:11:49Z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5037D6B52DEA4745BA7048908278867A</vt:lpwstr>
  </property>
</Properties>
</file>