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38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jc w:val="right"/>
                  </w:pPr>
                  <w:r>
                    <w:rPr>
                      <w:rFonts w:ascii="微软雅黑" w:hAnsi="微软雅黑" w:eastAsia="微软雅黑" w:cs="微软雅黑"/>
                      <w:szCs w:val="21"/>
                    </w:rPr>
                    <w:t>DSTT（P）[2021]1号</w:t>
                  </w:r>
                </w:p>
                <w:p>
                  <w:pPr>
                    <w:snapToGrid w:val="0"/>
                    <w:spacing w:line="538" w:lineRule="atLeast"/>
                  </w:pPr>
                </w:p>
                <w:p/>
              </w:txbxContent>
            </v:textbox>
          </v:shape>
        </w:pict>
      </w: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通川区双龙镇A-04-01、A-04-02、A-04-03等三宗国有建设用地使用权拍卖出让文件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达州市通川区自然资源局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3"/>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741"/>
      <w:bookmarkStart w:id="1" w:name="_Toc3391970"/>
      <w:r>
        <w:rPr>
          <w:rFonts w:hint="eastAsia" w:ascii="方正小标宋简体" w:hAnsi="宋体" w:eastAsia="方正小标宋简体" w:cs="宋体"/>
          <w:color w:val="000000" w:themeColor="text1"/>
          <w:sz w:val="44"/>
          <w:szCs w:val="44"/>
        </w:rPr>
        <w:t>达州市通川区自然资源局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ascii="微软雅黑" w:hAnsi="微软雅黑" w:eastAsia="微软雅黑" w:cs="微软雅黑"/>
          <w:szCs w:val="21"/>
        </w:rPr>
        <w:t>DSTT（P）[2021]1号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达州市通川区人民政府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，达州市通川区自然资源局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rPr>
        <w:t>通川区双龙镇A-04-01、A-04-02、A-04-03等三宗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受出让人委托对三宗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45"/>
        <w:gridCol w:w="455"/>
        <w:gridCol w:w="568"/>
        <w:gridCol w:w="732"/>
        <w:gridCol w:w="587"/>
        <w:gridCol w:w="453"/>
        <w:gridCol w:w="502"/>
        <w:gridCol w:w="566"/>
        <w:gridCol w:w="2003"/>
        <w:gridCol w:w="807"/>
        <w:gridCol w:w="595"/>
        <w:gridCol w:w="727"/>
        <w:gridCol w:w="767"/>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8"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1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19"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73"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35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67"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49"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69"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23"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8"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1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9"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7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82"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1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72"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964"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38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6"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49"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69"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23"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A-04-01</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20037.73平方米（折合30.06亩）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4"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不低于150平方米的社区综合服务设施，建筑面积不计入项目容积率，其不动产权和使用权归地方政府。</w:t>
            </w: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详见《达州市通川区双龙镇A-04-01地块规划条件》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4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1900万元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A-04-02</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34026.62平方米（折合51.04亩）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4"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p>
            <w:pPr>
              <w:spacing w:line="200" w:lineRule="exact"/>
              <w:rPr>
                <w:rFonts w:ascii="仿宋_GB2312" w:hAnsi="仿宋_GB2312" w:eastAsia="仿宋_GB2312" w:cs="仿宋_GB2312"/>
                <w:sz w:val="13"/>
                <w:szCs w:val="13"/>
              </w:rPr>
            </w:pP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详见《达州市通川区双龙镇A-04-02地块规划条件》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4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bookmarkStart w:id="21" w:name="_GoBack"/>
            <w:bookmarkEnd w:id="21"/>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A-04-03</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24105.18平方米（折合36.16亩）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4"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tc>
        <w:tc>
          <w:tcPr>
            <w:tcW w:w="388"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详见《达州市通川区双龙镇A-04-03地块规划条件》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4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2300万元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1"/>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1"/>
          <w:rFonts w:asciiTheme="minorEastAsia" w:hAnsiTheme="minorEastAsia" w:eastAsiaTheme="minorEastAsia"/>
          <w:b/>
          <w:color w:val="FF0000"/>
          <w:sz w:val="28"/>
          <w:szCs w:val="28"/>
        </w:rPr>
      </w:pPr>
      <w:r>
        <w:rPr>
          <w:rStyle w:val="21"/>
          <w:rFonts w:hint="eastAsia" w:cs="宋体" w:asciiTheme="minorEastAsia" w:hAnsiTheme="minorEastAsia" w:eastAsiaTheme="minorEastAsia"/>
          <w:color w:val="000000" w:themeColor="text1"/>
          <w:sz w:val="28"/>
          <w:szCs w:val="28"/>
          <w:u w:val="none"/>
        </w:rPr>
        <w:t>已完成用户注册的竞买申请人须在</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b/>
          <w:color w:val="FF0000"/>
          <w:sz w:val="28"/>
          <w:szCs w:val="28"/>
        </w:rPr>
        <w:t>时</w:t>
      </w:r>
      <w:r>
        <w:rPr>
          <w:rStyle w:val="21"/>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年10月8日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1"/>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达州市通川区自然资源局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四川省达州市通川区北外张家坝社区青杠垭路</w:t>
      </w:r>
      <w:r>
        <w:rPr>
          <w:rFonts w:ascii="仿宋" w:hAnsi="仿宋" w:eastAsia="仿宋" w:cs="宋体"/>
          <w:b/>
          <w:color w:val="000000" w:themeColor="text1"/>
          <w:sz w:val="28"/>
          <w:szCs w:val="28"/>
          <w:u w:val="single"/>
        </w:rPr>
        <w:t>38</w:t>
      </w:r>
      <w:r>
        <w:rPr>
          <w:rFonts w:hint="eastAsia" w:ascii="仿宋" w:hAnsi="仿宋" w:eastAsia="仿宋" w:cs="宋体"/>
          <w:b/>
          <w:color w:val="000000" w:themeColor="text1"/>
          <w:sz w:val="28"/>
          <w:szCs w:val="28"/>
          <w:u w:val="single"/>
        </w:rPr>
        <w:t>号路</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0818-2379014 </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0177</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达州市通川区自然资源局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lang w:val="en-US" w:eastAsia="zh-CN"/>
        </w:rPr>
        <w:t xml:space="preserve">                                     </w:t>
      </w:r>
      <w:r>
        <w:rPr>
          <w:rFonts w:hint="eastAsia" w:ascii="仿宋" w:hAnsi="仿宋" w:eastAsia="仿宋" w:cs="宋体"/>
          <w:color w:val="000000" w:themeColor="text1"/>
          <w:sz w:val="28"/>
          <w:szCs w:val="28"/>
        </w:rPr>
        <w:t>2021年9月17日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达州市通川区人民政府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达州市通川区自然资源局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rPr>
        <w:t>通川区双龙镇A-04-01</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达州市通川区自然资源局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（一）地块位置：通川区双龙镇双丰村。</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详见《达州市通川区双龙镇A-04-01地块用地红线图》。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（三）出让面积：20037.73平方米（折合30.06亩）。</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（四）土地用途：商住综合用地（10%≤商业计容建筑面积占总计容建筑面积比例≤30%）。</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（六）规划条件：详见《达州市通川区双龙镇A-04-01地块规划条件》。</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（七）设计方案中商业、居住须分离布局（且商业用房须设置商业专用烟道），其临规划道路的建筑外立面须作公建化设计。</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（八）配套服务设施：</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根据《达州市人民政府办公室关于印发达州市中心城区新建住宅小区配套建设社区综合服务设施实施办法的通知》（达市府办〔2018〕57号）精神，开发建设单位按照计容住宅建筑面积3‰的比例无偿配建一个不低于150平方米的社区综合服务设施，建筑面积不计入项目容积率，其不动产权和使用权归地方政府。</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（九）其他规划要求：</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活污水接入市政管网排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地块内建筑间距、停车泊位等应满足《城市居住区规划设计标准》（GB50180-2018）、《达州市城市规划管理技术规定》（2019版及其修改补充规定）、《达州市通川区双龙镇控制性详细规划》等规范及文件的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hAnsi="宋体"/>
          <w:sz w:val="28"/>
          <w:szCs w:val="28"/>
        </w:rPr>
      </w:pPr>
      <w:r>
        <w:rPr>
          <w:rFonts w:hint="eastAsia" w:ascii="宋体" w:hAnsi="宋体"/>
          <w:sz w:val="28"/>
          <w:szCs w:val="28"/>
        </w:rPr>
        <w:t>（十一）动工及竣工期限：受让人须自交地之日起 1 年内开工，自开工之日起 3 年内建成；受让人不能按</w:t>
      </w:r>
      <w:r>
        <w:rPr>
          <w:rFonts w:ascii="宋体" w:hAnsi="宋体"/>
          <w:sz w:val="28"/>
          <w:szCs w:val="28"/>
        </w:rPr>
        <w:t>期开工，应提前30 日向出让人提出延建申请，经出让人同意延建的，其项目竣工时间相应顺延，但延建期限不得超过一年</w:t>
      </w:r>
      <w:r>
        <w:rPr>
          <w:rFonts w:hint="eastAsia" w:ascii="宋体" w:hAnsi="宋体"/>
          <w:sz w:val="28"/>
          <w:szCs w:val="28"/>
        </w:rPr>
        <w:t>。</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土地竞得人须严格按照达州市通川区双龙镇A-04-01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1.竞买申请人按照地块拍卖出让公告的日期及方式索取拍卖文件。申请人应认真审阅、全面准确地理解拍卖文件内容，对本次拍卖出让地块的文件有疑问的，可向出让人、拍卖人咨询（咨询电话：出让人电话0818-</w:t>
      </w:r>
      <w:r>
        <w:rPr>
          <w:rFonts w:eastAsia="仿宋_GB2312"/>
          <w:color w:val="000000" w:themeColor="text1"/>
          <w:sz w:val="32"/>
          <w:szCs w:val="32"/>
        </w:rPr>
        <w:t>2379014</w:t>
      </w:r>
      <w:r>
        <w:rPr>
          <w:rFonts w:hint="eastAsia" w:eastAsia="仿宋_GB2312"/>
          <w:color w:val="000000" w:themeColor="text1"/>
          <w:sz w:val="32"/>
          <w:szCs w:val="32"/>
        </w:rPr>
        <w:t>，拍卖人电话0818-3330177）。</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3.竞买人须承诺：通川区外的竞买人，若竞得土地使用权，必须在通川成立一家公司对竞得土地进行开发建设。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1年10月8日）</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3"/>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3"/>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3"/>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1年10月8日上午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起叫价205万元/亩,增价幅度为5万元/亩或5万元/亩的整倍数。成交总地价=拍卖成交最高亩价×出让面积30.06亩。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即从起叫价(205万元/亩）+最低增价幅度（5万元/亩）=210万元/亩的价格确认，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在出让合同签订之日起1个月内缴纳拍卖成交价总额50%的首付款，余款在出让合同签订之日起7个月内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（十）土地交付条件及时间：在受让人缴清全部土地价款（含违约金）后30日内，</w:t>
      </w:r>
      <w:r>
        <w:rPr>
          <w:rFonts w:hint="eastAsia" w:ascii="仿宋" w:hAnsi="仿宋" w:eastAsia="仿宋" w:cs="宋体"/>
          <w:b/>
          <w:color w:val="000000" w:themeColor="text1"/>
          <w:sz w:val="28"/>
          <w:szCs w:val="28"/>
          <w:u w:val="single"/>
        </w:rPr>
        <w:t>达州市通川区自然资源局</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（十五）达州市通川区自然资源局、达州市公共资源交易服务中心对本《须知》有解释权。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宋体" w:hAnsi="宋体" w:eastAsia="宋体" w:cs="宋体"/>
          <w:color w:val="000000" w:themeColor="text1"/>
          <w:kern w:val="0"/>
          <w:sz w:val="24"/>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r>
        <w:rPr>
          <w:rFonts w:hint="eastAsia" w:ascii="宋体" w:hAnsi="宋体" w:eastAsia="宋体" w:cs="宋体"/>
          <w:color w:val="000000" w:themeColor="text1"/>
          <w:kern w:val="0"/>
          <w:sz w:val="24"/>
        </w:rPr>
        <w:drawing>
          <wp:inline distT="0" distB="0" distL="114300" distR="114300">
            <wp:extent cx="5267960" cy="7444105"/>
            <wp:effectExtent l="0" t="0" r="8890" b="4445"/>
            <wp:docPr id="2" name="图片 2" descr="双龙镇A-04-01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龙镇A-04-01规划条件_00"/>
                    <pic:cNvPicPr>
                      <a:picLocks noChangeAspect="1"/>
                    </pic:cNvPicPr>
                  </pic:nvPicPr>
                  <pic:blipFill>
                    <a:blip r:embed="rId25"/>
                    <a:stretch>
                      <a:fillRect/>
                    </a:stretch>
                  </pic:blipFill>
                  <pic:spPr>
                    <a:xfrm>
                      <a:off x="0" y="0"/>
                      <a:ext cx="5267960" cy="7444105"/>
                    </a:xfrm>
                    <a:prstGeom prst="rect">
                      <a:avLst/>
                    </a:prstGeom>
                  </pic:spPr>
                </pic:pic>
              </a:graphicData>
            </a:graphic>
          </wp:inline>
        </w:drawing>
      </w:r>
      <w:r>
        <w:rPr>
          <w:rFonts w:hint="eastAsia" w:ascii="宋体" w:hAnsi="宋体" w:eastAsia="宋体" w:cs="宋体"/>
          <w:color w:val="000000" w:themeColor="text1"/>
          <w:kern w:val="0"/>
          <w:sz w:val="24"/>
        </w:rPr>
        <w:drawing>
          <wp:inline distT="0" distB="0" distL="114300" distR="114300">
            <wp:extent cx="5267960" cy="7444105"/>
            <wp:effectExtent l="0" t="0" r="8890" b="4445"/>
            <wp:docPr id="1" name="图片 1" descr="双龙镇A-04-01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双龙镇A-04-01规划条件_01"/>
                    <pic:cNvPicPr>
                      <a:picLocks noChangeAspect="1"/>
                    </pic:cNvPicPr>
                  </pic:nvPicPr>
                  <pic:blipFill>
                    <a:blip r:embed="rId26"/>
                    <a:stretch>
                      <a:fillRect/>
                    </a:stretch>
                  </pic:blipFill>
                  <pic:spPr>
                    <a:xfrm>
                      <a:off x="0" y="0"/>
                      <a:ext cx="5267960" cy="7444105"/>
                    </a:xfrm>
                    <a:prstGeom prst="rect">
                      <a:avLst/>
                    </a:prstGeom>
                  </pic:spPr>
                </pic:pic>
              </a:graphicData>
            </a:graphic>
          </wp:inline>
        </w:drawing>
      </w:r>
    </w:p>
    <w:p>
      <w:pPr>
        <w:widowControl/>
        <w:jc w:val="left"/>
        <w:rPr>
          <w:rFonts w:ascii="宋体" w:hAnsi="宋体" w:cs="宋体"/>
          <w:color w:val="000000" w:themeColor="text1"/>
          <w:kern w:val="0"/>
          <w:sz w:val="24"/>
        </w:rPr>
      </w:pPr>
    </w:p>
    <w:p>
      <w:pPr>
        <w:rPr>
          <w:color w:val="000000" w:themeColor="text1"/>
        </w:rPr>
      </w:pPr>
    </w:p>
    <w:p>
      <w:pPr>
        <w:rPr>
          <w:color w:val="000000" w:themeColor="text1"/>
        </w:rPr>
      </w:pPr>
    </w:p>
    <w:p>
      <w:pPr>
        <w:rPr>
          <w:color w:val="000000" w:themeColor="text1"/>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744"/>
      <w:bookmarkStart w:id="7" w:name="_Toc3391973"/>
      <w:r>
        <w:rPr>
          <w:rFonts w:hint="eastAsia" w:ascii="黑体" w:eastAsia="黑体"/>
          <w:color w:val="000000" w:themeColor="text1"/>
          <w:sz w:val="44"/>
          <w:szCs w:val="44"/>
        </w:rPr>
        <w:t>用地红线图</w:t>
      </w:r>
      <w:bookmarkEnd w:id="6"/>
      <w:bookmarkEnd w:id="7"/>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9" name="图片 9" descr="A-04-01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04-01红线图_00"/>
                    <pic:cNvPicPr>
                      <a:picLocks noChangeAspect="1"/>
                    </pic:cNvPicPr>
                  </pic:nvPicPr>
                  <pic:blipFill>
                    <a:blip r:embed="rId27"/>
                    <a:stretch>
                      <a:fillRect/>
                    </a:stretch>
                  </pic:blipFill>
                  <pic:spPr>
                    <a:xfrm>
                      <a:off x="0" y="0"/>
                      <a:ext cx="5273040" cy="3725545"/>
                    </a:xfrm>
                    <a:prstGeom prst="rect">
                      <a:avLst/>
                    </a:prstGeom>
                  </pic:spPr>
                </pic:pic>
              </a:graphicData>
            </a:graphic>
          </wp:inline>
        </w:drawing>
      </w:r>
    </w:p>
    <w:p>
      <w:pPr>
        <w:pStyle w:val="12"/>
        <w:jc w:val="both"/>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745"/>
      <w:bookmarkStart w:id="9" w:name="_Toc3391974"/>
      <w:r>
        <w:rPr>
          <w:rFonts w:hint="eastAsia" w:ascii="黑体" w:eastAsia="黑体"/>
          <w:color w:val="000000" w:themeColor="text1"/>
          <w:sz w:val="44"/>
          <w:szCs w:val="44"/>
        </w:rPr>
        <w:t>地块勘界图</w:t>
      </w:r>
      <w:bookmarkEnd w:id="8"/>
      <w:bookmarkEnd w:id="9"/>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13" name="图片 13" descr="A-04-01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4-01勘界图_00"/>
                    <pic:cNvPicPr>
                      <a:picLocks noChangeAspect="1"/>
                    </pic:cNvPicPr>
                  </pic:nvPicPr>
                  <pic:blipFill>
                    <a:blip r:embed="rId28"/>
                    <a:stretch>
                      <a:fillRect/>
                    </a:stretch>
                  </pic:blipFill>
                  <pic:spPr>
                    <a:xfrm>
                      <a:off x="0" y="0"/>
                      <a:ext cx="5273040" cy="3725545"/>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33"/>
        <w:spacing w:line="420" w:lineRule="exact"/>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3"/>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3"/>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ascii="宋体" w:hAnsi="宋体"/>
          <w:b/>
          <w:color w:val="000000" w:themeColor="text1"/>
          <w:sz w:val="24"/>
          <w:szCs w:val="24"/>
          <w:u w:val="single"/>
        </w:rPr>
        <w:t>XXX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3"/>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3"/>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注册成立一家公司对竞得土地进行开发建设，新公司出资构成为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3"/>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3"/>
        <w:spacing w:line="420" w:lineRule="exact"/>
        <w:ind w:firstLine="470" w:firstLineChars="196"/>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3"/>
        <w:spacing w:line="420" w:lineRule="exact"/>
        <w:ind w:left="0" w:firstLine="510"/>
        <w:rPr>
          <w:rFonts w:ascii="宋体"/>
          <w:color w:val="000000" w:themeColor="text1"/>
          <w:sz w:val="24"/>
          <w:szCs w:val="24"/>
        </w:rPr>
      </w:pPr>
    </w:p>
    <w:p>
      <w:pPr>
        <w:pStyle w:val="33"/>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33"/>
        <w:spacing w:line="627" w:lineRule="atLeast"/>
        <w:ind w:left="0"/>
        <w:jc w:val="left"/>
        <w:rPr>
          <w:rFonts w:ascii="黑体" w:eastAsia="黑体"/>
          <w:color w:val="000000" w:themeColor="text1"/>
          <w:sz w:val="36"/>
          <w:szCs w:val="36"/>
        </w:rPr>
      </w:pPr>
    </w:p>
    <w:p>
      <w:pPr>
        <w:pStyle w:val="33"/>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3"/>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3"/>
        <w:spacing w:line="627" w:lineRule="atLeast"/>
        <w:ind w:firstLine="900" w:firstLineChars="300"/>
        <w:jc w:val="left"/>
        <w:rPr>
          <w:rFonts w:ascii="仿宋_GB2312" w:hAnsi="仿宋_GB2312" w:eastAsia="仿宋_GB2312" w:cs="仿宋_GB2312"/>
          <w:color w:val="000000" w:themeColor="text1"/>
          <w:sz w:val="30"/>
          <w:szCs w:val="30"/>
        </w:rPr>
      </w:pPr>
    </w:p>
    <w:p>
      <w:pPr>
        <w:pStyle w:val="33"/>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left"/>
        <w:rPr>
          <w:rFonts w:ascii="宋体"/>
          <w:color w:val="000000" w:themeColor="text1"/>
          <w:sz w:val="28"/>
          <w:szCs w:val="28"/>
        </w:rPr>
      </w:pPr>
    </w:p>
    <w:p>
      <w:pPr>
        <w:pStyle w:val="33"/>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3"/>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3"/>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3"/>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eastAsia="仿宋_GB2312"/>
          <w:b/>
          <w:color w:val="000000" w:themeColor="text1"/>
          <w:kern w:val="0"/>
          <w:sz w:val="24"/>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3"/>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3"/>
        <w:spacing w:line="600" w:lineRule="exact"/>
        <w:ind w:left="0"/>
        <w:rPr>
          <w:color w:val="000000" w:themeColor="text1"/>
        </w:rPr>
      </w:pPr>
    </w:p>
    <w:p>
      <w:pPr>
        <w:pStyle w:val="33"/>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7"/>
          <w:rFonts w:hAnsi="宋体" w:cs="宋体"/>
          <w:color w:val="000000" w:themeColor="text1"/>
        </w:rPr>
      </w:pPr>
    </w:p>
    <w:p>
      <w:pPr>
        <w:pStyle w:val="4"/>
        <w:rPr>
          <w:rStyle w:val="27"/>
          <w:rFonts w:hAnsi="宋体" w:cs="宋体"/>
          <w:color w:val="000000" w:themeColor="text1"/>
        </w:rPr>
      </w:pPr>
    </w:p>
    <w:p>
      <w:pPr>
        <w:pStyle w:val="2"/>
        <w:jc w:val="center"/>
        <w:rPr>
          <w:rFonts w:ascii="宋体" w:hAnsi="宋体" w:eastAsia="宋体"/>
          <w:color w:val="000000" w:themeColor="text1"/>
          <w:sz w:val="18"/>
          <w:szCs w:val="18"/>
        </w:rPr>
      </w:pPr>
      <w:bookmarkStart w:id="18" w:name="_Toc3391751"/>
      <w:bookmarkStart w:id="19" w:name="_Toc3391980"/>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达市通自然资交字〔〕号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5D7A"/>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16CEC"/>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3669"/>
    <w:rsid w:val="00165EB4"/>
    <w:rsid w:val="00166665"/>
    <w:rsid w:val="001713CB"/>
    <w:rsid w:val="00171736"/>
    <w:rsid w:val="00176BEE"/>
    <w:rsid w:val="00177F59"/>
    <w:rsid w:val="00182313"/>
    <w:rsid w:val="00182674"/>
    <w:rsid w:val="001849B2"/>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163"/>
    <w:rsid w:val="00FD3832"/>
    <w:rsid w:val="00FD68AF"/>
    <w:rsid w:val="00FE05C3"/>
    <w:rsid w:val="00FE0D35"/>
    <w:rsid w:val="00FE153F"/>
    <w:rsid w:val="00FE5D43"/>
    <w:rsid w:val="00FE7476"/>
    <w:rsid w:val="00FF0451"/>
    <w:rsid w:val="00FF17A3"/>
    <w:rsid w:val="00FF3B64"/>
    <w:rsid w:val="01BB709B"/>
    <w:rsid w:val="01EB1421"/>
    <w:rsid w:val="02683395"/>
    <w:rsid w:val="029972DE"/>
    <w:rsid w:val="038F57CD"/>
    <w:rsid w:val="03AA19C7"/>
    <w:rsid w:val="03B74AF0"/>
    <w:rsid w:val="03DE645D"/>
    <w:rsid w:val="04430AA5"/>
    <w:rsid w:val="04C05D0D"/>
    <w:rsid w:val="055F5F8F"/>
    <w:rsid w:val="05E1083F"/>
    <w:rsid w:val="05EB6930"/>
    <w:rsid w:val="06D24CA6"/>
    <w:rsid w:val="06FA7189"/>
    <w:rsid w:val="07C85206"/>
    <w:rsid w:val="07CE7F6A"/>
    <w:rsid w:val="08831E6D"/>
    <w:rsid w:val="08B20E87"/>
    <w:rsid w:val="08F8506B"/>
    <w:rsid w:val="09563133"/>
    <w:rsid w:val="09930DCF"/>
    <w:rsid w:val="0A0A4443"/>
    <w:rsid w:val="0A555DC8"/>
    <w:rsid w:val="0A617182"/>
    <w:rsid w:val="0B1166D4"/>
    <w:rsid w:val="0B1A4AB9"/>
    <w:rsid w:val="0B230F97"/>
    <w:rsid w:val="0C497608"/>
    <w:rsid w:val="0CD833D2"/>
    <w:rsid w:val="0D9107C3"/>
    <w:rsid w:val="0DE1762A"/>
    <w:rsid w:val="0E2D6DD1"/>
    <w:rsid w:val="0E5731F5"/>
    <w:rsid w:val="0F8E6491"/>
    <w:rsid w:val="10C679D7"/>
    <w:rsid w:val="10EA6A3A"/>
    <w:rsid w:val="11623ABF"/>
    <w:rsid w:val="11797BE6"/>
    <w:rsid w:val="11BC7A37"/>
    <w:rsid w:val="12223B9B"/>
    <w:rsid w:val="128C0E51"/>
    <w:rsid w:val="13245BF3"/>
    <w:rsid w:val="132F26C0"/>
    <w:rsid w:val="13557F4C"/>
    <w:rsid w:val="13ED13EF"/>
    <w:rsid w:val="146D5FF7"/>
    <w:rsid w:val="147F467C"/>
    <w:rsid w:val="14E16390"/>
    <w:rsid w:val="15994615"/>
    <w:rsid w:val="15B430CD"/>
    <w:rsid w:val="15CA3584"/>
    <w:rsid w:val="165501C7"/>
    <w:rsid w:val="16801789"/>
    <w:rsid w:val="175B5274"/>
    <w:rsid w:val="192650ED"/>
    <w:rsid w:val="1C006CD1"/>
    <w:rsid w:val="1C0D7638"/>
    <w:rsid w:val="1DCF1CAD"/>
    <w:rsid w:val="1EAE1A51"/>
    <w:rsid w:val="1F2412B7"/>
    <w:rsid w:val="1FF6360A"/>
    <w:rsid w:val="202662CF"/>
    <w:rsid w:val="20C02E3B"/>
    <w:rsid w:val="20E5353A"/>
    <w:rsid w:val="21300BE1"/>
    <w:rsid w:val="215C6E1C"/>
    <w:rsid w:val="21916B72"/>
    <w:rsid w:val="21AD621F"/>
    <w:rsid w:val="22B4258F"/>
    <w:rsid w:val="22FB3716"/>
    <w:rsid w:val="23AD634E"/>
    <w:rsid w:val="23E54776"/>
    <w:rsid w:val="249F1FCC"/>
    <w:rsid w:val="250840B1"/>
    <w:rsid w:val="251F7C8A"/>
    <w:rsid w:val="269F7E2E"/>
    <w:rsid w:val="26AF0309"/>
    <w:rsid w:val="283D005B"/>
    <w:rsid w:val="28AF3A48"/>
    <w:rsid w:val="2959300C"/>
    <w:rsid w:val="29C36319"/>
    <w:rsid w:val="2C2C4570"/>
    <w:rsid w:val="2CC15A77"/>
    <w:rsid w:val="2D2B72D6"/>
    <w:rsid w:val="2DAB3E8A"/>
    <w:rsid w:val="2DFB7CF8"/>
    <w:rsid w:val="2E1100C3"/>
    <w:rsid w:val="2F246B5F"/>
    <w:rsid w:val="2F3436B1"/>
    <w:rsid w:val="2F52394D"/>
    <w:rsid w:val="2FE843C0"/>
    <w:rsid w:val="306F1C58"/>
    <w:rsid w:val="308C2EED"/>
    <w:rsid w:val="31070868"/>
    <w:rsid w:val="32125574"/>
    <w:rsid w:val="327B74C9"/>
    <w:rsid w:val="33147AFF"/>
    <w:rsid w:val="335D5021"/>
    <w:rsid w:val="33853158"/>
    <w:rsid w:val="33DC02C1"/>
    <w:rsid w:val="35CA5CF9"/>
    <w:rsid w:val="35D85810"/>
    <w:rsid w:val="365111B7"/>
    <w:rsid w:val="368532F2"/>
    <w:rsid w:val="37A26727"/>
    <w:rsid w:val="37A84496"/>
    <w:rsid w:val="37DA4387"/>
    <w:rsid w:val="39525AEE"/>
    <w:rsid w:val="3B373BF0"/>
    <w:rsid w:val="3B3E5006"/>
    <w:rsid w:val="3B970C5E"/>
    <w:rsid w:val="3BF5424D"/>
    <w:rsid w:val="3CAC0CBC"/>
    <w:rsid w:val="3CE50140"/>
    <w:rsid w:val="3CED456F"/>
    <w:rsid w:val="3D1179C2"/>
    <w:rsid w:val="3DBC6E76"/>
    <w:rsid w:val="3DF86F11"/>
    <w:rsid w:val="3E0D6831"/>
    <w:rsid w:val="3E4C593B"/>
    <w:rsid w:val="3E637C3C"/>
    <w:rsid w:val="3EB30628"/>
    <w:rsid w:val="40C32B14"/>
    <w:rsid w:val="41452A05"/>
    <w:rsid w:val="414B7BD9"/>
    <w:rsid w:val="421B1352"/>
    <w:rsid w:val="42CB665B"/>
    <w:rsid w:val="42F24DC1"/>
    <w:rsid w:val="44036F51"/>
    <w:rsid w:val="44336E6F"/>
    <w:rsid w:val="449B3B70"/>
    <w:rsid w:val="449C1698"/>
    <w:rsid w:val="452C62DB"/>
    <w:rsid w:val="45826DE9"/>
    <w:rsid w:val="45FB587F"/>
    <w:rsid w:val="462F681E"/>
    <w:rsid w:val="46C66632"/>
    <w:rsid w:val="47EF2633"/>
    <w:rsid w:val="48000CA4"/>
    <w:rsid w:val="482863DE"/>
    <w:rsid w:val="482A565B"/>
    <w:rsid w:val="48C65B68"/>
    <w:rsid w:val="49862F88"/>
    <w:rsid w:val="49E179D3"/>
    <w:rsid w:val="4A012ACA"/>
    <w:rsid w:val="4A3D01D8"/>
    <w:rsid w:val="4A8F60B9"/>
    <w:rsid w:val="4A985E05"/>
    <w:rsid w:val="4B942F9B"/>
    <w:rsid w:val="4BFC1744"/>
    <w:rsid w:val="4C05223E"/>
    <w:rsid w:val="4CBB71D4"/>
    <w:rsid w:val="4CC20504"/>
    <w:rsid w:val="4D335D46"/>
    <w:rsid w:val="4D692582"/>
    <w:rsid w:val="4DF90092"/>
    <w:rsid w:val="4E066114"/>
    <w:rsid w:val="4E477264"/>
    <w:rsid w:val="4F82784F"/>
    <w:rsid w:val="503B5814"/>
    <w:rsid w:val="507D52C1"/>
    <w:rsid w:val="50E7373C"/>
    <w:rsid w:val="50E82306"/>
    <w:rsid w:val="51025ACF"/>
    <w:rsid w:val="51C06615"/>
    <w:rsid w:val="52E12CD1"/>
    <w:rsid w:val="536415F1"/>
    <w:rsid w:val="53746902"/>
    <w:rsid w:val="544A2F78"/>
    <w:rsid w:val="54944520"/>
    <w:rsid w:val="55085C3D"/>
    <w:rsid w:val="55253541"/>
    <w:rsid w:val="55381293"/>
    <w:rsid w:val="558F06D4"/>
    <w:rsid w:val="55AB6EFA"/>
    <w:rsid w:val="55BA7C2C"/>
    <w:rsid w:val="55E81647"/>
    <w:rsid w:val="56364920"/>
    <w:rsid w:val="57164958"/>
    <w:rsid w:val="59893690"/>
    <w:rsid w:val="59F4713C"/>
    <w:rsid w:val="5BDE3891"/>
    <w:rsid w:val="5CF9463A"/>
    <w:rsid w:val="5F5C11C0"/>
    <w:rsid w:val="5FBF30CA"/>
    <w:rsid w:val="5FCD01EE"/>
    <w:rsid w:val="5FEF3197"/>
    <w:rsid w:val="601B7A0C"/>
    <w:rsid w:val="603132DE"/>
    <w:rsid w:val="60D878CF"/>
    <w:rsid w:val="616C1701"/>
    <w:rsid w:val="61D76440"/>
    <w:rsid w:val="626A37A7"/>
    <w:rsid w:val="62734F95"/>
    <w:rsid w:val="62F8125D"/>
    <w:rsid w:val="640E1A5D"/>
    <w:rsid w:val="64A518E4"/>
    <w:rsid w:val="65BA7EE1"/>
    <w:rsid w:val="66380011"/>
    <w:rsid w:val="67392E82"/>
    <w:rsid w:val="67B25079"/>
    <w:rsid w:val="67D75C3C"/>
    <w:rsid w:val="67ED50B4"/>
    <w:rsid w:val="687E1002"/>
    <w:rsid w:val="692D7E27"/>
    <w:rsid w:val="693550E1"/>
    <w:rsid w:val="69784A22"/>
    <w:rsid w:val="697945C1"/>
    <w:rsid w:val="69977CE2"/>
    <w:rsid w:val="6A7D0C97"/>
    <w:rsid w:val="6ADE1D94"/>
    <w:rsid w:val="6BCF0CA1"/>
    <w:rsid w:val="6BFF4848"/>
    <w:rsid w:val="6C2072E6"/>
    <w:rsid w:val="6CD52D3E"/>
    <w:rsid w:val="6D105FA2"/>
    <w:rsid w:val="6D57262D"/>
    <w:rsid w:val="6DA03CFA"/>
    <w:rsid w:val="6F2C2D85"/>
    <w:rsid w:val="6FC11C94"/>
    <w:rsid w:val="70197FD7"/>
    <w:rsid w:val="70E058EA"/>
    <w:rsid w:val="71954671"/>
    <w:rsid w:val="71E70E5B"/>
    <w:rsid w:val="725A352D"/>
    <w:rsid w:val="72997548"/>
    <w:rsid w:val="73352EAF"/>
    <w:rsid w:val="737C62EB"/>
    <w:rsid w:val="74507187"/>
    <w:rsid w:val="745C561E"/>
    <w:rsid w:val="745D03BD"/>
    <w:rsid w:val="75493809"/>
    <w:rsid w:val="772C4780"/>
    <w:rsid w:val="77476B2A"/>
    <w:rsid w:val="776124F3"/>
    <w:rsid w:val="77F55219"/>
    <w:rsid w:val="78B54D8B"/>
    <w:rsid w:val="79023D50"/>
    <w:rsid w:val="7A0E6822"/>
    <w:rsid w:val="7B0074E6"/>
    <w:rsid w:val="7B256E54"/>
    <w:rsid w:val="7B3D5FC0"/>
    <w:rsid w:val="7B5363E1"/>
    <w:rsid w:val="7B890E00"/>
    <w:rsid w:val="7BE65DC2"/>
    <w:rsid w:val="7C0F455C"/>
    <w:rsid w:val="7CA601FE"/>
    <w:rsid w:val="7FD75EEF"/>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4"/>
    <w:qFormat/>
    <w:uiPriority w:val="99"/>
    <w:rPr>
      <w:rFonts w:ascii="宋体" w:hAnsi="Courier New"/>
      <w:sz w:val="32"/>
      <w:szCs w:val="20"/>
    </w:rPr>
  </w:style>
  <w:style w:type="paragraph" w:styleId="5">
    <w:name w:val="Balloon Text"/>
    <w:basedOn w:val="1"/>
    <w:link w:val="28"/>
    <w:qFormat/>
    <w:uiPriority w:val="99"/>
    <w:rPr>
      <w:sz w:val="18"/>
      <w:szCs w:val="18"/>
    </w:rPr>
  </w:style>
  <w:style w:type="paragraph" w:styleId="6">
    <w:name w:val="footer"/>
    <w:basedOn w:val="1"/>
    <w:link w:val="29"/>
    <w:qFormat/>
    <w:uiPriority w:val="99"/>
    <w:pPr>
      <w:tabs>
        <w:tab w:val="center" w:pos="4153"/>
        <w:tab w:val="right" w:pos="8306"/>
      </w:tabs>
      <w:snapToGrid w:val="0"/>
      <w:jc w:val="left"/>
    </w:pPr>
    <w:rPr>
      <w:sz w:val="18"/>
      <w:szCs w:val="18"/>
    </w:rPr>
  </w:style>
  <w:style w:type="paragraph" w:styleId="7">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1"/>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2"/>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TML Definition"/>
    <w:basedOn w:val="14"/>
    <w:semiHidden/>
    <w:unhideWhenUsed/>
    <w:qFormat/>
    <w:locked/>
    <w:uiPriority w:val="99"/>
  </w:style>
  <w:style w:type="character" w:styleId="18">
    <w:name w:val="HTML Typewriter"/>
    <w:basedOn w:val="14"/>
    <w:semiHidden/>
    <w:unhideWhenUsed/>
    <w:qFormat/>
    <w:locked/>
    <w:uiPriority w:val="99"/>
    <w:rPr>
      <w:rFonts w:hint="default" w:ascii="monospace" w:hAnsi="monospace" w:eastAsia="monospace" w:cs="monospace"/>
      <w:sz w:val="20"/>
    </w:rPr>
  </w:style>
  <w:style w:type="character" w:styleId="19">
    <w:name w:val="HTML Acronym"/>
    <w:basedOn w:val="14"/>
    <w:semiHidden/>
    <w:unhideWhenUsed/>
    <w:qFormat/>
    <w:locked/>
    <w:uiPriority w:val="99"/>
  </w:style>
  <w:style w:type="character" w:styleId="20">
    <w:name w:val="HTML Variable"/>
    <w:basedOn w:val="14"/>
    <w:semiHidden/>
    <w:unhideWhenUsed/>
    <w:qFormat/>
    <w:locked/>
    <w:uiPriority w:val="99"/>
  </w:style>
  <w:style w:type="character" w:styleId="21">
    <w:name w:val="Hyperlink"/>
    <w:qFormat/>
    <w:uiPriority w:val="99"/>
    <w:rPr>
      <w:rFonts w:cs="Times New Roman"/>
      <w:color w:val="0000FF"/>
      <w:u w:val="single"/>
    </w:rPr>
  </w:style>
  <w:style w:type="character" w:styleId="22">
    <w:name w:val="HTML Code"/>
    <w:basedOn w:val="14"/>
    <w:semiHidden/>
    <w:unhideWhenUsed/>
    <w:qFormat/>
    <w:locked/>
    <w:uiPriority w:val="99"/>
    <w:rPr>
      <w:rFonts w:ascii="monospace" w:hAnsi="monospace" w:eastAsia="monospace" w:cs="monospace"/>
      <w:sz w:val="20"/>
    </w:rPr>
  </w:style>
  <w:style w:type="character" w:styleId="23">
    <w:name w:val="HTML Cite"/>
    <w:basedOn w:val="14"/>
    <w:semiHidden/>
    <w:unhideWhenUsed/>
    <w:qFormat/>
    <w:locked/>
    <w:uiPriority w:val="99"/>
  </w:style>
  <w:style w:type="character" w:styleId="24">
    <w:name w:val="HTML Keyboard"/>
    <w:basedOn w:val="14"/>
    <w:semiHidden/>
    <w:unhideWhenUsed/>
    <w:qFormat/>
    <w:locked/>
    <w:uiPriority w:val="99"/>
    <w:rPr>
      <w:rFonts w:hint="default" w:ascii="monospace" w:hAnsi="monospace" w:eastAsia="monospace" w:cs="monospace"/>
      <w:sz w:val="20"/>
    </w:rPr>
  </w:style>
  <w:style w:type="character" w:styleId="25">
    <w:name w:val="HTML Sample"/>
    <w:basedOn w:val="14"/>
    <w:semiHidden/>
    <w:unhideWhenUsed/>
    <w:qFormat/>
    <w:locked/>
    <w:uiPriority w:val="99"/>
    <w:rPr>
      <w:rFonts w:hint="default" w:ascii="monospace" w:hAnsi="monospace" w:eastAsia="monospace" w:cs="monospace"/>
    </w:rPr>
  </w:style>
  <w:style w:type="character" w:customStyle="1" w:styleId="26">
    <w:name w:val="标题 1 Char"/>
    <w:link w:val="2"/>
    <w:qFormat/>
    <w:locked/>
    <w:uiPriority w:val="99"/>
    <w:rPr>
      <w:rFonts w:eastAsia="华文中宋" w:cs="Times New Roman"/>
      <w:b/>
      <w:bCs/>
      <w:kern w:val="44"/>
      <w:sz w:val="44"/>
      <w:szCs w:val="44"/>
    </w:rPr>
  </w:style>
  <w:style w:type="character" w:customStyle="1" w:styleId="27">
    <w:name w:val="Plain Text Char"/>
    <w:qFormat/>
    <w:locked/>
    <w:uiPriority w:val="99"/>
    <w:rPr>
      <w:rFonts w:ascii="宋体" w:hAnsi="Courier New" w:cs="Times New Roman"/>
      <w:kern w:val="2"/>
      <w:sz w:val="32"/>
    </w:rPr>
  </w:style>
  <w:style w:type="character" w:customStyle="1" w:styleId="28">
    <w:name w:val="批注框文本 Char"/>
    <w:link w:val="5"/>
    <w:qFormat/>
    <w:locked/>
    <w:uiPriority w:val="99"/>
    <w:rPr>
      <w:rFonts w:cs="Times New Roman"/>
      <w:kern w:val="2"/>
      <w:sz w:val="18"/>
      <w:szCs w:val="18"/>
    </w:rPr>
  </w:style>
  <w:style w:type="character" w:customStyle="1" w:styleId="29">
    <w:name w:val="页脚 Char"/>
    <w:link w:val="6"/>
    <w:qFormat/>
    <w:locked/>
    <w:uiPriority w:val="99"/>
    <w:rPr>
      <w:rFonts w:eastAsia="宋体" w:cs="Times New Roman"/>
      <w:kern w:val="2"/>
      <w:sz w:val="18"/>
      <w:lang w:val="en-US" w:eastAsia="zh-CN"/>
    </w:rPr>
  </w:style>
  <w:style w:type="character" w:customStyle="1" w:styleId="30">
    <w:name w:val="页眉 Char"/>
    <w:link w:val="7"/>
    <w:qFormat/>
    <w:locked/>
    <w:uiPriority w:val="99"/>
    <w:rPr>
      <w:rFonts w:eastAsia="宋体" w:cs="Times New Roman"/>
      <w:kern w:val="2"/>
      <w:sz w:val="18"/>
      <w:lang w:val="en-US" w:eastAsia="zh-CN"/>
    </w:rPr>
  </w:style>
  <w:style w:type="character" w:customStyle="1" w:styleId="31">
    <w:name w:val="副标题 Char"/>
    <w:link w:val="9"/>
    <w:qFormat/>
    <w:locked/>
    <w:uiPriority w:val="99"/>
    <w:rPr>
      <w:rFonts w:ascii="Calibri" w:hAnsi="Calibri" w:eastAsia="宋体" w:cs="Times New Roman"/>
      <w:b/>
      <w:bCs/>
      <w:kern w:val="28"/>
      <w:sz w:val="32"/>
      <w:szCs w:val="32"/>
    </w:rPr>
  </w:style>
  <w:style w:type="character" w:customStyle="1" w:styleId="32">
    <w:name w:val="标题 Char"/>
    <w:link w:val="12"/>
    <w:qFormat/>
    <w:locked/>
    <w:uiPriority w:val="99"/>
    <w:rPr>
      <w:rFonts w:ascii="Cambria" w:hAnsi="Cambria" w:eastAsia="华文中宋" w:cs="Times New Roman"/>
      <w:b/>
      <w:bCs/>
      <w:kern w:val="2"/>
      <w:sz w:val="32"/>
      <w:szCs w:val="32"/>
    </w:rPr>
  </w:style>
  <w:style w:type="paragraph" w:customStyle="1" w:styleId="33">
    <w:name w:val="p0"/>
    <w:basedOn w:val="1"/>
    <w:qFormat/>
    <w:uiPriority w:val="99"/>
    <w:pPr>
      <w:widowControl/>
      <w:spacing w:line="365" w:lineRule="atLeast"/>
      <w:ind w:left="1"/>
    </w:pPr>
    <w:rPr>
      <w:kern w:val="0"/>
      <w:sz w:val="20"/>
      <w:szCs w:val="20"/>
    </w:rPr>
  </w:style>
  <w:style w:type="character" w:customStyle="1" w:styleId="34">
    <w:name w:val="纯文本 Char"/>
    <w:link w:val="4"/>
    <w:semiHidden/>
    <w:qFormat/>
    <w:locked/>
    <w:uiPriority w:val="99"/>
    <w:rPr>
      <w:rFonts w:ascii="宋体" w:hAnsi="Courier New" w:cs="Courier New"/>
      <w:sz w:val="21"/>
      <w:szCs w:val="21"/>
    </w:rPr>
  </w:style>
  <w:style w:type="character" w:customStyle="1" w:styleId="35">
    <w:name w:val="纯文本 Char1"/>
    <w:qFormat/>
    <w:uiPriority w:val="99"/>
    <w:rPr>
      <w:rFonts w:ascii="宋体" w:hAnsi="Courier New" w:cs="Courier New"/>
      <w:kern w:val="2"/>
      <w:sz w:val="21"/>
      <w:szCs w:val="21"/>
    </w:rPr>
  </w:style>
  <w:style w:type="paragraph" w:customStyle="1" w:styleId="36">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7">
    <w:name w:val="List Paragraph"/>
    <w:basedOn w:val="1"/>
    <w:qFormat/>
    <w:uiPriority w:val="99"/>
    <w:pPr>
      <w:ind w:firstLine="420" w:firstLineChars="200"/>
    </w:pPr>
  </w:style>
  <w:style w:type="paragraph" w:customStyle="1" w:styleId="38">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2819</Words>
  <Characters>16070</Characters>
  <Lines>133</Lines>
  <Paragraphs>37</Paragraphs>
  <TotalTime>44</TotalTime>
  <ScaleCrop>false</ScaleCrop>
  <LinksUpToDate>false</LinksUpToDate>
  <CharactersWithSpaces>18852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2021-08-05T06:33:00Z</cp:lastPrinted>
  <dcterms:modified xsi:type="dcterms:W3CDTF">2021-09-17T09:03:10Z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7744F646B3004B34980C41EAEB958832</vt:lpwstr>
  </property>
</Properties>
</file>