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Times New Roman" w:eastAsia="方正小标宋简体"/>
          <w:color w:val="333333"/>
          <w:kern w:val="0"/>
          <w:sz w:val="44"/>
          <w:szCs w:val="44"/>
        </w:rPr>
      </w:pPr>
      <w:bookmarkStart w:id="0" w:name="OLE_LINK11"/>
      <w:bookmarkStart w:id="1" w:name="OLE_LINK12"/>
      <w:bookmarkStart w:id="2" w:name="OLE_LINK9"/>
      <w:bookmarkStart w:id="3" w:name="OLE_LINK4"/>
      <w:bookmarkStart w:id="4" w:name="OLE_LINK3"/>
      <w:bookmarkStart w:id="5" w:name="OLE_LINK1"/>
      <w:bookmarkStart w:id="6" w:name="OLE_LINK7"/>
      <w:bookmarkStart w:id="7" w:name="OLE_LINK2"/>
      <w:bookmarkStart w:id="8" w:name="OLE_LINK10"/>
      <w:bookmarkStart w:id="9" w:name="OLE_LINK8"/>
      <w:bookmarkStart w:id="10" w:name="OLE_LINK5"/>
      <w:bookmarkStart w:id="11" w:name="OLE_LINK6"/>
      <w:r>
        <w:rPr>
          <w:rFonts w:hint="eastAsia" w:ascii="方正小标宋简体" w:hAnsi="Times New Roman" w:eastAsia="方正小标宋简体"/>
          <w:color w:val="333333"/>
          <w:kern w:val="0"/>
          <w:sz w:val="44"/>
          <w:szCs w:val="44"/>
        </w:rPr>
        <w:t>达州市审计局</w:t>
      </w:r>
    </w:p>
    <w:p>
      <w:pPr>
        <w:pStyle w:val="8"/>
        <w:widowControl w:val="0"/>
        <w:spacing w:before="0" w:beforeAutospacing="0" w:after="0" w:afterAutospacing="0" w:line="600" w:lineRule="exact"/>
        <w:jc w:val="center"/>
        <w:rPr>
          <w:rFonts w:ascii="方正小标宋简体" w:hAnsi="Times New Roman" w:eastAsia="方正小标宋简体" w:cs="Times New Roman"/>
          <w:color w:val="333333"/>
          <w:sz w:val="44"/>
          <w:szCs w:val="44"/>
        </w:rPr>
      </w:pPr>
      <w:r>
        <w:rPr>
          <w:rFonts w:hint="eastAsia" w:ascii="方正小标宋简体" w:hAnsi="Times New Roman" w:eastAsia="方正小标宋简体" w:cs="Times New Roman"/>
          <w:color w:val="333333"/>
          <w:sz w:val="44"/>
          <w:szCs w:val="44"/>
        </w:rPr>
        <w:t>达州市公共资源交易服务中心</w:t>
      </w:r>
    </w:p>
    <w:p>
      <w:pPr>
        <w:spacing w:line="600" w:lineRule="exact"/>
        <w:rPr>
          <w:rFonts w:ascii="方正小标宋简体" w:hAnsi="Times New Roman" w:eastAsia="方正小标宋简体"/>
          <w:color w:val="333333"/>
          <w:sz w:val="44"/>
          <w:szCs w:val="44"/>
        </w:rPr>
      </w:pPr>
      <w:r>
        <w:rPr>
          <w:rFonts w:hint="eastAsia" w:ascii="方正小标宋简体" w:hAnsi="Times New Roman" w:eastAsia="方正小标宋简体"/>
          <w:color w:val="333333"/>
          <w:sz w:val="44"/>
          <w:szCs w:val="44"/>
        </w:rPr>
        <w:t>关于</w:t>
      </w:r>
      <w:r>
        <w:rPr>
          <w:rFonts w:hint="eastAsia" w:ascii="方正小标宋简体" w:hAnsi="Times New Roman" w:eastAsia="方正小标宋简体"/>
          <w:color w:val="333333"/>
          <w:kern w:val="0"/>
          <w:sz w:val="44"/>
          <w:szCs w:val="44"/>
        </w:rPr>
        <w:t>达州市审计局固定资产报废处置</w:t>
      </w:r>
      <w:r>
        <w:rPr>
          <w:rFonts w:hint="eastAsia" w:ascii="方正小标宋简体" w:hAnsi="Times New Roman" w:eastAsia="方正小标宋简体"/>
          <w:color w:val="333333"/>
          <w:sz w:val="44"/>
          <w:szCs w:val="44"/>
        </w:rPr>
        <w:t>的竞价</w:t>
      </w:r>
    </w:p>
    <w:p>
      <w:pPr>
        <w:spacing w:line="600" w:lineRule="exact"/>
        <w:jc w:val="center"/>
        <w:rPr>
          <w:rFonts w:ascii="方正小标宋简体" w:hAnsi="Times New Roman" w:eastAsia="方正小标宋简体"/>
          <w:color w:val="333333"/>
          <w:sz w:val="44"/>
          <w:szCs w:val="44"/>
        </w:rPr>
      </w:pPr>
      <w:r>
        <w:rPr>
          <w:rFonts w:hint="eastAsia" w:ascii="方正小标宋简体" w:hAnsi="Times New Roman" w:eastAsia="方正小标宋简体"/>
          <w:color w:val="333333"/>
          <w:sz w:val="44"/>
          <w:szCs w:val="44"/>
        </w:rPr>
        <w:t>公  告</w:t>
      </w:r>
    </w:p>
    <w:p>
      <w:pPr>
        <w:pStyle w:val="8"/>
        <w:widowControl w:val="0"/>
        <w:wordWrap w:val="0"/>
        <w:spacing w:before="0" w:beforeAutospacing="0" w:after="0" w:afterAutospacing="0" w:line="578" w:lineRule="exact"/>
        <w:rPr>
          <w:rFonts w:ascii="Times New Roman" w:hAnsi="Times New Roman" w:eastAsia="仿宋" w:cs="Times New Roman"/>
          <w:color w:val="333333"/>
          <w:sz w:val="30"/>
          <w:szCs w:val="30"/>
        </w:rPr>
      </w:pPr>
    </w:p>
    <w:p>
      <w:pPr>
        <w:widowControl/>
        <w:wordWrap w:val="0"/>
        <w:ind w:firstLine="640" w:firstLineChars="200"/>
        <w:jc w:val="left"/>
        <w:rPr>
          <w:rFonts w:ascii="微软雅黑" w:hAnsi="微软雅黑" w:eastAsia="微软雅黑" w:cs="宋体"/>
          <w:color w:val="333333"/>
          <w:kern w:val="0"/>
          <w:sz w:val="18"/>
          <w:szCs w:val="18"/>
        </w:rPr>
      </w:pPr>
      <w:r>
        <w:rPr>
          <w:rFonts w:hint="eastAsia" w:ascii="仿宋" w:hAnsi="仿宋" w:eastAsia="仿宋"/>
          <w:sz w:val="32"/>
          <w:szCs w:val="32"/>
        </w:rPr>
        <w:t>达州市审计局</w:t>
      </w:r>
      <w:r>
        <w:rPr>
          <w:rFonts w:ascii="仿宋" w:hAnsi="仿宋" w:eastAsia="仿宋"/>
          <w:sz w:val="32"/>
          <w:szCs w:val="32"/>
        </w:rPr>
        <w:t>拟将固定资产报废</w:t>
      </w:r>
      <w:r>
        <w:rPr>
          <w:rFonts w:hint="eastAsia" w:ascii="仿宋" w:hAnsi="仿宋" w:eastAsia="仿宋"/>
          <w:sz w:val="32"/>
          <w:szCs w:val="32"/>
        </w:rPr>
        <w:t>处置</w:t>
      </w:r>
      <w:r>
        <w:rPr>
          <w:rFonts w:ascii="仿宋" w:hAnsi="仿宋" w:eastAsia="仿宋"/>
          <w:sz w:val="32"/>
          <w:szCs w:val="32"/>
        </w:rPr>
        <w:t>委托达州市公共资</w:t>
      </w:r>
      <w:r>
        <w:rPr>
          <w:rFonts w:hint="eastAsia" w:ascii="仿宋" w:hAnsi="仿宋" w:eastAsia="仿宋"/>
          <w:sz w:val="32"/>
          <w:szCs w:val="32"/>
        </w:rPr>
        <w:t>达州市审计局固定资产报废处置交易公告</w:t>
      </w:r>
      <w:r>
        <w:rPr>
          <w:rFonts w:ascii="仿宋" w:hAnsi="仿宋" w:eastAsia="仿宋"/>
          <w:sz w:val="32"/>
          <w:szCs w:val="32"/>
        </w:rPr>
        <w:t>源交易服务中心组织现场电子竞价，兹邀请符合本次现场竞价要求的意向竞价人参加竞价，现将有关事项公告如下。</w:t>
      </w:r>
    </w:p>
    <w:p>
      <w:pPr>
        <w:adjustRightInd w:val="0"/>
        <w:snapToGrid w:val="0"/>
        <w:spacing w:line="578" w:lineRule="exact"/>
        <w:ind w:firstLine="640" w:firstLineChars="200"/>
        <w:rPr>
          <w:rFonts w:ascii="黑体" w:hAnsi="黑体" w:eastAsia="黑体"/>
          <w:bCs/>
          <w:sz w:val="32"/>
          <w:szCs w:val="32"/>
        </w:rPr>
      </w:pPr>
      <w:r>
        <w:rPr>
          <w:rFonts w:ascii="黑体" w:hAnsi="黑体" w:eastAsia="黑体"/>
          <w:bCs/>
          <w:color w:val="333333"/>
          <w:sz w:val="32"/>
          <w:szCs w:val="32"/>
        </w:rPr>
        <w:t>一、竞价方式</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网上竞价方式。</w:t>
      </w:r>
    </w:p>
    <w:p>
      <w:pPr>
        <w:wordWrap w:val="0"/>
        <w:spacing w:line="578" w:lineRule="exact"/>
        <w:ind w:firstLine="640" w:firstLineChars="200"/>
        <w:rPr>
          <w:rFonts w:ascii="Times New Roman" w:hAnsi="Times New Roman" w:eastAsia="方正仿宋简体"/>
          <w:sz w:val="32"/>
          <w:szCs w:val="32"/>
        </w:rPr>
      </w:pPr>
      <w:r>
        <w:rPr>
          <w:rFonts w:ascii="仿宋" w:hAnsi="仿宋" w:eastAsia="仿宋"/>
          <w:sz w:val="32"/>
          <w:szCs w:val="32"/>
        </w:rPr>
        <w:t>特别提示：意向</w:t>
      </w:r>
      <w:r>
        <w:rPr>
          <w:rFonts w:hint="eastAsia" w:ascii="仿宋" w:hAnsi="仿宋" w:eastAsia="仿宋"/>
          <w:sz w:val="32"/>
          <w:szCs w:val="32"/>
        </w:rPr>
        <w:t>竞价</w:t>
      </w:r>
      <w:r>
        <w:rPr>
          <w:rFonts w:ascii="仿宋" w:hAnsi="仿宋" w:eastAsia="仿宋"/>
          <w:sz w:val="32"/>
          <w:szCs w:val="32"/>
        </w:rPr>
        <w:t>人在网上竞价前，必须先登录达州市公共资源交易服务网（</w:t>
      </w:r>
      <w:r>
        <w:fldChar w:fldCharType="begin"/>
      </w:r>
      <w:r>
        <w:instrText xml:space="preserve"> HYPERLINK "http://www.dzggzy.cn/" </w:instrText>
      </w:r>
      <w:r>
        <w:fldChar w:fldCharType="separate"/>
      </w:r>
      <w:r>
        <w:rPr>
          <w:rFonts w:ascii="仿宋" w:hAnsi="仿宋" w:eastAsia="仿宋"/>
          <w:sz w:val="32"/>
          <w:szCs w:val="32"/>
        </w:rPr>
        <w:t>http://www.dzggzy.cn</w:t>
      </w:r>
      <w:r>
        <w:rPr>
          <w:rFonts w:ascii="仿宋" w:hAnsi="仿宋" w:eastAsia="仿宋"/>
          <w:sz w:val="32"/>
          <w:szCs w:val="32"/>
        </w:rPr>
        <w:fldChar w:fldCharType="end"/>
      </w:r>
      <w:r>
        <w:rPr>
          <w:rFonts w:ascii="仿宋" w:hAnsi="仿宋" w:eastAsia="仿宋"/>
          <w:sz w:val="32"/>
          <w:szCs w:val="32"/>
        </w:rPr>
        <w:t>）下载中心栏目查阅网上操作指南并完成网上注册、网上报名、网上缴纳</w:t>
      </w:r>
      <w:r>
        <w:rPr>
          <w:rFonts w:hint="eastAsia" w:ascii="仿宋" w:hAnsi="仿宋" w:eastAsia="仿宋"/>
          <w:sz w:val="32"/>
          <w:szCs w:val="32"/>
        </w:rPr>
        <w:t>竞价</w:t>
      </w:r>
      <w:r>
        <w:rPr>
          <w:rFonts w:ascii="仿宋" w:hAnsi="仿宋" w:eastAsia="仿宋"/>
          <w:sz w:val="32"/>
          <w:szCs w:val="32"/>
        </w:rPr>
        <w:t>保证金、网上递交资格申请材料等。</w:t>
      </w:r>
    </w:p>
    <w:p>
      <w:pPr>
        <w:pStyle w:val="8"/>
        <w:widowControl w:val="0"/>
        <w:spacing w:before="0" w:beforeAutospacing="0" w:after="0" w:afterAutospacing="0" w:line="578" w:lineRule="exact"/>
        <w:ind w:firstLine="602"/>
        <w:jc w:val="both"/>
        <w:rPr>
          <w:rFonts w:ascii="Times New Roman" w:hAnsi="Times New Roman" w:eastAsia="方正黑体简体" w:cs="Times New Roman"/>
          <w:bCs/>
          <w:sz w:val="32"/>
          <w:szCs w:val="32"/>
        </w:rPr>
      </w:pPr>
      <w:r>
        <w:rPr>
          <w:rFonts w:ascii="Times New Roman" w:hAnsi="Times New Roman" w:eastAsia="方正黑体简体" w:cs="Times New Roman"/>
          <w:bCs/>
          <w:color w:val="333333"/>
          <w:sz w:val="32"/>
          <w:szCs w:val="32"/>
        </w:rPr>
        <w:t>二、资产状况、交付标准</w:t>
      </w:r>
    </w:p>
    <w:p>
      <w:pPr>
        <w:pStyle w:val="8"/>
        <w:widowControl w:val="0"/>
        <w:spacing w:before="0" w:beforeAutospacing="0" w:after="0" w:afterAutospacing="0" w:line="578" w:lineRule="exact"/>
        <w:ind w:firstLine="300" w:firstLineChars="100"/>
        <w:jc w:val="both"/>
        <w:rPr>
          <w:rFonts w:ascii="Times New Roman" w:hAnsi="Times New Roman" w:eastAsia="方正仿宋简体" w:cs="Times New Roman"/>
          <w:color w:val="333333"/>
          <w:sz w:val="30"/>
          <w:szCs w:val="30"/>
        </w:rPr>
      </w:pPr>
      <w:r>
        <w:rPr>
          <w:rFonts w:ascii="Times New Roman" w:hAnsi="Times New Roman" w:eastAsia="方正仿宋简体" w:cs="Times New Roman"/>
          <w:color w:val="333333"/>
          <w:sz w:val="30"/>
          <w:szCs w:val="30"/>
        </w:rPr>
        <w:t>（一）资产状况：</w:t>
      </w:r>
    </w:p>
    <w:tbl>
      <w:tblPr>
        <w:tblStyle w:val="9"/>
        <w:tblW w:w="0" w:type="auto"/>
        <w:tblInd w:w="96" w:type="dxa"/>
        <w:tblLayout w:type="fixed"/>
        <w:tblCellMar>
          <w:top w:w="0" w:type="dxa"/>
          <w:left w:w="108" w:type="dxa"/>
          <w:bottom w:w="0" w:type="dxa"/>
          <w:right w:w="108" w:type="dxa"/>
        </w:tblCellMar>
      </w:tblPr>
      <w:tblGrid>
        <w:gridCol w:w="508"/>
        <w:gridCol w:w="1772"/>
        <w:gridCol w:w="1560"/>
        <w:gridCol w:w="708"/>
        <w:gridCol w:w="709"/>
        <w:gridCol w:w="1276"/>
        <w:gridCol w:w="850"/>
        <w:gridCol w:w="1098"/>
        <w:gridCol w:w="483"/>
      </w:tblGrid>
      <w:tr>
        <w:tblPrEx>
          <w:tblCellMar>
            <w:top w:w="0" w:type="dxa"/>
            <w:left w:w="108" w:type="dxa"/>
            <w:bottom w:w="0" w:type="dxa"/>
            <w:right w:w="108" w:type="dxa"/>
          </w:tblCellMar>
        </w:tblPrEx>
        <w:trPr>
          <w:trHeight w:val="870" w:hRule="atLeast"/>
        </w:trPr>
        <w:tc>
          <w:tcPr>
            <w:tcW w:w="8964" w:type="dxa"/>
            <w:gridSpan w:val="9"/>
            <w:tcBorders>
              <w:top w:val="nil"/>
              <w:left w:val="nil"/>
              <w:bottom w:val="nil"/>
              <w:right w:val="nil"/>
            </w:tcBorders>
            <w:noWrap/>
            <w:vAlign w:val="center"/>
          </w:tcPr>
          <w:p/>
        </w:tc>
      </w:tr>
      <w:tr>
        <w:tblPrEx>
          <w:tblCellMar>
            <w:top w:w="0" w:type="dxa"/>
            <w:left w:w="108" w:type="dxa"/>
            <w:bottom w:w="0" w:type="dxa"/>
            <w:right w:w="108" w:type="dxa"/>
          </w:tblCellMar>
        </w:tblPrEx>
        <w:trPr>
          <w:trHeight w:val="1128"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序号</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资产名称</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规格型号</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计量单位</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数量</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账面原值（元）</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竞价起始价（元）</w:t>
            </w:r>
          </w:p>
        </w:tc>
        <w:tc>
          <w:tcPr>
            <w:tcW w:w="1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竞价保证金（元）</w:t>
            </w:r>
          </w:p>
        </w:tc>
        <w:tc>
          <w:tcPr>
            <w:tcW w:w="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激光式打印机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2240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1,000</w:t>
            </w:r>
          </w:p>
        </w:tc>
        <w:tc>
          <w:tcPr>
            <w:tcW w:w="850" w:type="dxa"/>
            <w:vMerge w:val="restart"/>
            <w:tcBorders>
              <w:top w:val="single" w:color="000000" w:sz="4" w:space="0"/>
              <w:left w:val="single" w:color="000000" w:sz="4" w:space="0"/>
              <w:right w:val="single" w:color="000000" w:sz="4" w:space="0"/>
            </w:tcBorders>
            <w:vAlign w:val="center"/>
          </w:tcPr>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r>
              <w:rPr>
                <w:rFonts w:hint="eastAsia" w:ascii="宋体" w:hAnsi="宋体" w:cs="宋体"/>
                <w:color w:val="000000"/>
                <w:sz w:val="24"/>
              </w:rPr>
              <w:t>2920</w:t>
            </w:r>
          </w:p>
        </w:tc>
        <w:tc>
          <w:tcPr>
            <w:tcW w:w="1098"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p>
          <w:p>
            <w:pPr>
              <w:rPr>
                <w:rFonts w:ascii="宋体" w:hAnsi="宋体" w:cs="宋体"/>
                <w:color w:val="000000"/>
                <w:sz w:val="24"/>
              </w:rPr>
            </w:pPr>
            <w:r>
              <w:rPr>
                <w:rFonts w:hint="eastAsia" w:ascii="宋体" w:hAnsi="宋体" w:cs="宋体"/>
                <w:color w:val="000000"/>
                <w:sz w:val="24"/>
              </w:rPr>
              <w:t>1000</w:t>
            </w: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8</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9</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10</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15</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16</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17</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19</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20</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25</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26</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易必优E810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700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42</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43</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44</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45</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46</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47</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48</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49</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41</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420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5,480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39</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27</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28</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29</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30</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31</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32</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33</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34</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35</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36</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37</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6,500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38</w:t>
            </w:r>
          </w:p>
        </w:tc>
        <w:tc>
          <w:tcPr>
            <w:tcW w:w="17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便携式计算机</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联想E</w:t>
            </w:r>
            <w:r>
              <w:rPr>
                <w:rStyle w:val="64"/>
                <w:rFonts w:hint="default"/>
              </w:rPr>
              <w:t>430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5,000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55</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56</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57</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58</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1,050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59</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7360</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2,490.00</w:t>
            </w:r>
          </w:p>
        </w:tc>
        <w:tc>
          <w:tcPr>
            <w:tcW w:w="850" w:type="dxa"/>
            <w:vMerge w:val="continue"/>
            <w:tcBorders>
              <w:left w:val="single" w:color="000000" w:sz="4" w:space="0"/>
              <w:right w:val="single" w:color="000000" w:sz="4" w:space="0"/>
            </w:tcBorders>
            <w:noWrap/>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60</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黑金刚</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1,100.00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65</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66</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碎纸机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C-638</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600.00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67</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68</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69</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70</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71</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72</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73</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r>
        <w:tblPrEx>
          <w:tblCellMar>
            <w:top w:w="0" w:type="dxa"/>
            <w:left w:w="108" w:type="dxa"/>
            <w:bottom w:w="0" w:type="dxa"/>
            <w:right w:w="108" w:type="dxa"/>
          </w:tblCellMar>
        </w:tblPrEx>
        <w:trPr>
          <w:trHeight w:val="450" w:hRule="atLeast"/>
        </w:trPr>
        <w:tc>
          <w:tcPr>
            <w:tcW w:w="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74</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打印设备</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HL-2240D</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台</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1</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000000"/>
                <w:sz w:val="24"/>
              </w:rPr>
            </w:pPr>
            <w:r>
              <w:rPr>
                <w:rFonts w:hint="eastAsia" w:ascii="宋体" w:hAnsi="宋体" w:cs="宋体"/>
                <w:color w:val="000000"/>
                <w:kern w:val="0"/>
                <w:sz w:val="24"/>
              </w:rPr>
              <w:t>1,350.00</w:t>
            </w:r>
          </w:p>
        </w:tc>
        <w:tc>
          <w:tcPr>
            <w:tcW w:w="850"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1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noWrap/>
            <w:vAlign w:val="center"/>
          </w:tcPr>
          <w:p>
            <w:pPr>
              <w:rPr>
                <w:rFonts w:ascii="Tahoma" w:hAnsi="Tahoma" w:eastAsia="Tahoma" w:cs="Tahoma"/>
                <w:color w:val="000000"/>
                <w:sz w:val="22"/>
                <w:szCs w:val="22"/>
              </w:rPr>
            </w:pPr>
          </w:p>
        </w:tc>
      </w:tr>
    </w:tbl>
    <w:p>
      <w:pPr>
        <w:pStyle w:val="8"/>
        <w:widowControl w:val="0"/>
        <w:spacing w:before="0" w:beforeAutospacing="0" w:after="0" w:afterAutospacing="0" w:line="578" w:lineRule="exact"/>
        <w:jc w:val="both"/>
        <w:rPr>
          <w:rFonts w:ascii="Times New Roman" w:hAnsi="Times New Roman" w:eastAsia="方正仿宋简体" w:cs="Times New Roman"/>
          <w:color w:val="333333"/>
          <w:sz w:val="30"/>
          <w:szCs w:val="30"/>
        </w:rPr>
      </w:pPr>
    </w:p>
    <w:p>
      <w:pPr>
        <w:pStyle w:val="8"/>
        <w:widowControl w:val="0"/>
        <w:spacing w:before="0" w:beforeAutospacing="0" w:after="0" w:afterAutospacing="0" w:line="578" w:lineRule="exact"/>
        <w:ind w:firstLine="640" w:firstLineChars="200"/>
        <w:jc w:val="both"/>
        <w:rPr>
          <w:rFonts w:ascii="仿宋" w:hAnsi="仿宋" w:eastAsia="仿宋"/>
          <w:color w:val="000000"/>
          <w:kern w:val="2"/>
          <w:sz w:val="30"/>
          <w:szCs w:val="30"/>
        </w:rPr>
      </w:pPr>
      <w:r>
        <w:rPr>
          <w:rFonts w:ascii="Times New Roman" w:hAnsi="Times New Roman" w:eastAsia="方正仿宋简体" w:cs="Times New Roman"/>
          <w:kern w:val="2"/>
          <w:sz w:val="32"/>
          <w:szCs w:val="32"/>
        </w:rPr>
        <w:t>（二）交付标准：</w:t>
      </w:r>
      <w:r>
        <w:rPr>
          <w:rFonts w:hint="eastAsia" w:ascii="仿宋" w:hAnsi="仿宋" w:eastAsia="仿宋"/>
          <w:color w:val="000000"/>
          <w:kern w:val="2"/>
          <w:sz w:val="30"/>
          <w:szCs w:val="30"/>
        </w:rPr>
        <w:t>标的物一切均以实物现状为准，意向竞价人须自行察看和了解所竞价标的物之现状。</w:t>
      </w:r>
    </w:p>
    <w:p>
      <w:pPr>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（三）其它事项</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1.资产现场装卸费用及运输费用等由买方承担。</w:t>
      </w:r>
    </w:p>
    <w:p>
      <w:pPr>
        <w:pStyle w:val="8"/>
        <w:widowControl w:val="0"/>
        <w:spacing w:before="0" w:beforeAutospacing="0" w:after="0" w:afterAutospacing="0" w:line="578" w:lineRule="exact"/>
        <w:ind w:firstLine="600" w:firstLineChars="200"/>
        <w:jc w:val="both"/>
        <w:rPr>
          <w:rFonts w:ascii="仿宋" w:hAnsi="仿宋" w:eastAsia="仿宋"/>
          <w:color w:val="000000"/>
          <w:kern w:val="2"/>
          <w:sz w:val="30"/>
          <w:szCs w:val="30"/>
        </w:rPr>
      </w:pPr>
      <w:r>
        <w:rPr>
          <w:rFonts w:hint="eastAsia" w:ascii="仿宋" w:hAnsi="仿宋" w:eastAsia="仿宋"/>
          <w:color w:val="000000"/>
          <w:kern w:val="2"/>
          <w:sz w:val="30"/>
          <w:szCs w:val="30"/>
        </w:rPr>
        <w:t>2.未尽事宜，由双方协商解决，如协商不成，双方有权向有管辖权的人民法院提起诉讼。</w:t>
      </w:r>
    </w:p>
    <w:p>
      <w:pPr>
        <w:pStyle w:val="8"/>
        <w:widowControl w:val="0"/>
        <w:spacing w:before="0" w:beforeAutospacing="0" w:after="0" w:afterAutospacing="0" w:line="578" w:lineRule="exact"/>
        <w:ind w:firstLine="640" w:firstLineChars="200"/>
        <w:jc w:val="both"/>
        <w:rPr>
          <w:rFonts w:ascii="Times New Roman" w:hAnsi="Times New Roman" w:eastAsia="方正黑体简体" w:cs="Times New Roman"/>
          <w:bCs/>
          <w:sz w:val="32"/>
          <w:szCs w:val="32"/>
        </w:rPr>
      </w:pPr>
      <w:r>
        <w:rPr>
          <w:rFonts w:ascii="Times New Roman" w:hAnsi="Times New Roman" w:eastAsia="方正黑体简体" w:cs="Times New Roman"/>
          <w:bCs/>
          <w:color w:val="333333"/>
          <w:sz w:val="32"/>
          <w:szCs w:val="32"/>
        </w:rPr>
        <w:t>三、意向竞价人应具备的条件</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（一）中华人民共和国境内的自然人、法人或其他组织，并具有独立承担民事责任能力；</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（二）合法经营、照章纳税、独立承担经营期间的民事及相应的法律责任；</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（三）纳入诚信负面清单的自然人和法人或其他组织不得参与竞价；</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（四）不允许联合体竞价；</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（五）意向竞价人报名时须交纳竞价保证金；</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（六）国家法律、行政法规规定的其他条件。</w:t>
      </w:r>
    </w:p>
    <w:p>
      <w:pPr>
        <w:pStyle w:val="8"/>
        <w:widowControl w:val="0"/>
        <w:spacing w:before="0" w:beforeAutospacing="0" w:after="0" w:afterAutospacing="0" w:line="578" w:lineRule="exact"/>
        <w:ind w:firstLine="640" w:firstLineChars="200"/>
        <w:jc w:val="both"/>
        <w:rPr>
          <w:rFonts w:ascii="方正黑体简体" w:hAnsi="方正黑体简体" w:eastAsia="方正黑体简体" w:cs="方正黑体简体"/>
          <w:bCs/>
          <w:sz w:val="32"/>
          <w:szCs w:val="32"/>
        </w:rPr>
      </w:pPr>
      <w:r>
        <w:rPr>
          <w:rFonts w:hint="eastAsia" w:ascii="方正黑体简体" w:hAnsi="方正黑体简体" w:eastAsia="方正黑体简体" w:cs="方正黑体简体"/>
          <w:bCs/>
          <w:color w:val="333333"/>
          <w:sz w:val="32"/>
          <w:szCs w:val="32"/>
        </w:rPr>
        <w:t>四、资格审查</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（一）资格审查资料提交截止时间：</w:t>
      </w:r>
      <w:r>
        <w:rPr>
          <w:rFonts w:ascii="仿宋" w:hAnsi="仿宋" w:eastAsia="仿宋" w:cs="Times New Roman"/>
          <w:kern w:val="2"/>
          <w:sz w:val="32"/>
          <w:szCs w:val="32"/>
          <w:u w:val="single"/>
        </w:rPr>
        <w:t>2023</w:t>
      </w:r>
      <w:r>
        <w:rPr>
          <w:rFonts w:ascii="仿宋" w:hAnsi="仿宋" w:eastAsia="仿宋" w:cs="Times New Roman"/>
          <w:kern w:val="2"/>
          <w:sz w:val="32"/>
          <w:szCs w:val="32"/>
        </w:rPr>
        <w:t>年</w:t>
      </w:r>
      <w:r>
        <w:rPr>
          <w:rFonts w:hint="eastAsia" w:ascii="仿宋" w:hAnsi="仿宋" w:eastAsia="仿宋" w:cs="Times New Roman"/>
          <w:kern w:val="2"/>
          <w:sz w:val="32"/>
          <w:szCs w:val="32"/>
          <w:u w:val="single"/>
        </w:rPr>
        <w:t>4</w:t>
      </w:r>
      <w:r>
        <w:rPr>
          <w:rFonts w:ascii="仿宋" w:hAnsi="仿宋" w:eastAsia="仿宋" w:cs="Times New Roman"/>
          <w:kern w:val="2"/>
          <w:sz w:val="32"/>
          <w:szCs w:val="32"/>
        </w:rPr>
        <w:t>月</w:t>
      </w:r>
      <w:r>
        <w:rPr>
          <w:rFonts w:hint="eastAsia" w:ascii="仿宋" w:hAnsi="仿宋" w:eastAsia="仿宋" w:cs="Times New Roman"/>
          <w:kern w:val="2"/>
          <w:sz w:val="32"/>
          <w:szCs w:val="32"/>
          <w:u w:val="single"/>
        </w:rPr>
        <w:t>3</w:t>
      </w:r>
      <w:r>
        <w:rPr>
          <w:rFonts w:ascii="仿宋" w:hAnsi="仿宋" w:eastAsia="仿宋" w:cs="Times New Roman"/>
          <w:kern w:val="2"/>
          <w:sz w:val="32"/>
          <w:szCs w:val="32"/>
        </w:rPr>
        <w:t>日</w:t>
      </w:r>
      <w:r>
        <w:rPr>
          <w:rFonts w:ascii="仿宋" w:hAnsi="仿宋" w:eastAsia="仿宋" w:cs="Times New Roman"/>
          <w:kern w:val="2"/>
          <w:sz w:val="32"/>
          <w:szCs w:val="32"/>
          <w:u w:val="single"/>
        </w:rPr>
        <w:t>10</w:t>
      </w:r>
      <w:r>
        <w:rPr>
          <w:rFonts w:ascii="仿宋" w:hAnsi="仿宋" w:eastAsia="仿宋" w:cs="Times New Roman"/>
          <w:kern w:val="2"/>
          <w:sz w:val="32"/>
          <w:szCs w:val="32"/>
        </w:rPr>
        <w:t>时</w:t>
      </w:r>
      <w:r>
        <w:rPr>
          <w:rFonts w:hint="eastAsia" w:ascii="仿宋" w:hAnsi="仿宋" w:eastAsia="仿宋" w:cs="Times New Roman"/>
          <w:kern w:val="2"/>
          <w:sz w:val="32"/>
          <w:szCs w:val="32"/>
          <w:u w:val="single"/>
        </w:rPr>
        <w:t>3</w:t>
      </w:r>
      <w:r>
        <w:rPr>
          <w:rFonts w:ascii="仿宋" w:hAnsi="仿宋" w:eastAsia="仿宋" w:cs="Times New Roman"/>
          <w:kern w:val="2"/>
          <w:sz w:val="32"/>
          <w:szCs w:val="32"/>
          <w:u w:val="single"/>
        </w:rPr>
        <w:t>0</w:t>
      </w:r>
      <w:r>
        <w:rPr>
          <w:rFonts w:ascii="仿宋" w:hAnsi="仿宋" w:eastAsia="仿宋" w:cs="Times New Roman"/>
          <w:kern w:val="2"/>
          <w:sz w:val="32"/>
          <w:szCs w:val="32"/>
        </w:rPr>
        <w:t>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资料递交要求：意向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人登录达州市公共资源交易服务平台，在【资格审查申请】菜单中上传资格审查所需资料（原件原色扫描件）。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（二）需提交资格审查资料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1.法人提交申请的，应提交下列资料：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（1）竞价申请书（原件原色扫描件）（见附件一）；</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（2）合法存续的企业法人（单位提供营业执照等相关证照原件原色扫描件）；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（3）法定代表人的有效身份证明文件（原件原色扫描件）；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4</w:t>
      </w:r>
      <w:r>
        <w:rPr>
          <w:rFonts w:ascii="仿宋" w:hAnsi="仿宋" w:eastAsia="仿宋" w:cs="Times New Roman"/>
          <w:kern w:val="2"/>
          <w:sz w:val="32"/>
          <w:szCs w:val="32"/>
        </w:rPr>
        <w:t>）意向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人委托他人代为竞</w:t>
      </w:r>
      <w:r>
        <w:rPr>
          <w:rFonts w:hint="eastAsia" w:ascii="仿宋" w:hAnsi="仿宋" w:eastAsia="仿宋" w:cs="Times New Roman"/>
          <w:kern w:val="2"/>
          <w:sz w:val="32"/>
          <w:szCs w:val="32"/>
        </w:rPr>
        <w:t>价</w:t>
      </w:r>
      <w:r>
        <w:rPr>
          <w:rFonts w:ascii="仿宋" w:hAnsi="仿宋" w:eastAsia="仿宋" w:cs="Times New Roman"/>
          <w:kern w:val="2"/>
          <w:sz w:val="32"/>
          <w:szCs w:val="32"/>
        </w:rPr>
        <w:t>的，应提交授权委托书（见附件二）及委托代理人的有效身份证明文件（原件原色扫描件）；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5</w:t>
      </w:r>
      <w:r>
        <w:rPr>
          <w:rFonts w:ascii="仿宋" w:hAnsi="仿宋" w:eastAsia="仿宋" w:cs="Times New Roman"/>
          <w:kern w:val="2"/>
          <w:sz w:val="32"/>
          <w:szCs w:val="32"/>
        </w:rPr>
        <w:t>）在达州市公共资源交易服务系统中打印的竞价保证金交纳凭证（原件原色扫描件）；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6</w:t>
      </w:r>
      <w:r>
        <w:rPr>
          <w:rFonts w:ascii="仿宋" w:hAnsi="仿宋" w:eastAsia="仿宋" w:cs="Times New Roman"/>
          <w:kern w:val="2"/>
          <w:sz w:val="32"/>
          <w:szCs w:val="32"/>
        </w:rPr>
        <w:t>）竞价要求的其他条件相关资料（原件原色扫描件）。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2.其他组织申请的，应提交下列资料：</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（1）竞价申请书（原件原色扫描件）（见附件一）；</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（2）表明该组织合法存在的文件或有效证明（原件原色扫描件）；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（3）表明该组织负责人身份的有效证明文件（原件原色扫描件）；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4</w:t>
      </w:r>
      <w:r>
        <w:rPr>
          <w:rFonts w:ascii="仿宋" w:hAnsi="仿宋" w:eastAsia="仿宋" w:cs="Times New Roman"/>
          <w:kern w:val="2"/>
          <w:sz w:val="32"/>
          <w:szCs w:val="32"/>
        </w:rPr>
        <w:t>）意向竞价人委托他人代为申请的，应提交授权委托书及委托代理人的身份证明文件（原件原色扫描件）</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5</w:t>
      </w:r>
      <w:r>
        <w:rPr>
          <w:rFonts w:ascii="仿宋" w:hAnsi="仿宋" w:eastAsia="仿宋" w:cs="Times New Roman"/>
          <w:kern w:val="2"/>
          <w:sz w:val="32"/>
          <w:szCs w:val="32"/>
        </w:rPr>
        <w:t>）在达州市公共资源交易服务系统中打印的竞价保证金交纳凭证（原件原色扫描件）</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6</w:t>
      </w:r>
      <w:r>
        <w:rPr>
          <w:rFonts w:ascii="仿宋" w:hAnsi="仿宋" w:eastAsia="仿宋" w:cs="Times New Roman"/>
          <w:kern w:val="2"/>
          <w:sz w:val="32"/>
          <w:szCs w:val="32"/>
        </w:rPr>
        <w:t>）竞价要求的其他条件相关资料（原件原色扫描件）。</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（三）</w:t>
      </w:r>
      <w:r>
        <w:rPr>
          <w:rFonts w:hint="eastAsia" w:ascii="仿宋" w:hAnsi="仿宋" w:eastAsia="仿宋" w:cs="Times New Roman"/>
          <w:kern w:val="2"/>
          <w:sz w:val="32"/>
          <w:szCs w:val="32"/>
        </w:rPr>
        <w:t>竞价</w:t>
      </w:r>
      <w:r>
        <w:rPr>
          <w:rFonts w:ascii="仿宋" w:hAnsi="仿宋" w:eastAsia="仿宋" w:cs="Times New Roman"/>
          <w:kern w:val="2"/>
          <w:sz w:val="32"/>
          <w:szCs w:val="32"/>
        </w:rPr>
        <w:t>申请一经提交后，即视为</w:t>
      </w:r>
      <w:r>
        <w:rPr>
          <w:rFonts w:hint="eastAsia" w:ascii="仿宋" w:hAnsi="仿宋" w:eastAsia="仿宋" w:cs="Times New Roman"/>
          <w:kern w:val="2"/>
          <w:sz w:val="32"/>
          <w:szCs w:val="32"/>
        </w:rPr>
        <w:t>竞价</w:t>
      </w:r>
      <w:r>
        <w:rPr>
          <w:rFonts w:ascii="仿宋" w:hAnsi="仿宋" w:eastAsia="仿宋" w:cs="Times New Roman"/>
          <w:kern w:val="2"/>
          <w:sz w:val="32"/>
          <w:szCs w:val="32"/>
        </w:rPr>
        <w:t>人对竞价规则及</w:t>
      </w:r>
      <w:r>
        <w:rPr>
          <w:rFonts w:hint="eastAsia" w:ascii="仿宋" w:hAnsi="仿宋" w:eastAsia="仿宋" w:cs="Times New Roman"/>
          <w:kern w:val="2"/>
          <w:sz w:val="32"/>
          <w:szCs w:val="32"/>
        </w:rPr>
        <w:t>竞价</w:t>
      </w:r>
      <w:r>
        <w:rPr>
          <w:rFonts w:ascii="仿宋" w:hAnsi="仿宋" w:eastAsia="仿宋" w:cs="Times New Roman"/>
          <w:kern w:val="2"/>
          <w:sz w:val="32"/>
          <w:szCs w:val="32"/>
        </w:rPr>
        <w:t>资产状况无异议并全面接受，愿意遵照</w:t>
      </w:r>
      <w:r>
        <w:rPr>
          <w:rFonts w:hint="eastAsia" w:ascii="仿宋" w:hAnsi="仿宋" w:eastAsia="仿宋" w:cs="Times New Roman"/>
          <w:kern w:val="2"/>
          <w:sz w:val="32"/>
          <w:szCs w:val="32"/>
        </w:rPr>
        <w:t>竞价</w:t>
      </w:r>
      <w:r>
        <w:rPr>
          <w:rFonts w:ascii="仿宋" w:hAnsi="仿宋" w:eastAsia="仿宋" w:cs="Times New Roman"/>
          <w:kern w:val="2"/>
          <w:sz w:val="32"/>
          <w:szCs w:val="32"/>
        </w:rPr>
        <w:t>文件内容参与</w:t>
      </w:r>
      <w:r>
        <w:rPr>
          <w:rFonts w:hint="eastAsia" w:ascii="仿宋" w:hAnsi="仿宋" w:eastAsia="仿宋" w:cs="Times New Roman"/>
          <w:kern w:val="2"/>
          <w:sz w:val="32"/>
          <w:szCs w:val="32"/>
        </w:rPr>
        <w:t>竞价</w:t>
      </w:r>
      <w:r>
        <w:rPr>
          <w:rFonts w:ascii="仿宋" w:hAnsi="仿宋" w:eastAsia="仿宋" w:cs="Times New Roman"/>
          <w:kern w:val="2"/>
          <w:sz w:val="32"/>
          <w:szCs w:val="32"/>
        </w:rPr>
        <w:t>并承担因</w:t>
      </w:r>
      <w:r>
        <w:rPr>
          <w:rFonts w:hint="eastAsia" w:ascii="仿宋" w:hAnsi="仿宋" w:eastAsia="仿宋" w:cs="Times New Roman"/>
          <w:kern w:val="2"/>
          <w:sz w:val="32"/>
          <w:szCs w:val="32"/>
        </w:rPr>
        <w:t>竞价</w:t>
      </w:r>
      <w:r>
        <w:rPr>
          <w:rFonts w:ascii="仿宋" w:hAnsi="仿宋" w:eastAsia="仿宋" w:cs="Times New Roman"/>
          <w:kern w:val="2"/>
          <w:sz w:val="32"/>
          <w:szCs w:val="32"/>
        </w:rPr>
        <w:t>行为产生的任何法律经济后果。</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（四）意向</w:t>
      </w:r>
      <w:r>
        <w:rPr>
          <w:rFonts w:hint="eastAsia" w:ascii="仿宋" w:hAnsi="仿宋" w:eastAsia="仿宋" w:cs="Times New Roman"/>
          <w:kern w:val="2"/>
          <w:sz w:val="32"/>
          <w:szCs w:val="32"/>
        </w:rPr>
        <w:t>竞价</w:t>
      </w:r>
      <w:r>
        <w:rPr>
          <w:rFonts w:ascii="仿宋" w:hAnsi="仿宋" w:eastAsia="仿宋" w:cs="Times New Roman"/>
          <w:kern w:val="2"/>
          <w:sz w:val="32"/>
          <w:szCs w:val="32"/>
        </w:rPr>
        <w:t>人有下列行为之一的，视为放弃意向</w:t>
      </w:r>
      <w:r>
        <w:rPr>
          <w:rFonts w:hint="eastAsia" w:ascii="仿宋" w:hAnsi="仿宋" w:eastAsia="仿宋" w:cs="Times New Roman"/>
          <w:kern w:val="2"/>
          <w:sz w:val="32"/>
          <w:szCs w:val="32"/>
        </w:rPr>
        <w:t>竞价</w:t>
      </w:r>
      <w:r>
        <w:rPr>
          <w:rFonts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（1）未按要求交纳</w:t>
      </w:r>
      <w:r>
        <w:rPr>
          <w:rFonts w:hint="eastAsia" w:ascii="仿宋" w:hAnsi="仿宋" w:eastAsia="仿宋" w:cs="Times New Roman"/>
          <w:kern w:val="2"/>
          <w:sz w:val="32"/>
          <w:szCs w:val="32"/>
        </w:rPr>
        <w:t>竞价</w:t>
      </w:r>
      <w:r>
        <w:rPr>
          <w:rFonts w:ascii="仿宋" w:hAnsi="仿宋" w:eastAsia="仿宋" w:cs="Times New Roman"/>
          <w:kern w:val="2"/>
          <w:sz w:val="32"/>
          <w:szCs w:val="32"/>
        </w:rPr>
        <w:t>保证金的；</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（2）未按要求提交资格审查相关资料的</w:t>
      </w:r>
      <w:r>
        <w:rPr>
          <w:rFonts w:hint="eastAsia" w:ascii="仿宋" w:hAnsi="仿宋" w:eastAsia="仿宋" w:cs="Times New Roman"/>
          <w:kern w:val="2"/>
          <w:sz w:val="32"/>
          <w:szCs w:val="32"/>
        </w:rPr>
        <w:t>。</w:t>
      </w:r>
    </w:p>
    <w:p>
      <w:pPr>
        <w:pStyle w:val="8"/>
        <w:widowControl w:val="0"/>
        <w:spacing w:before="0" w:beforeAutospacing="0" w:after="0" w:afterAutospacing="0" w:line="578" w:lineRule="exact"/>
        <w:ind w:firstLine="640" w:firstLineChars="200"/>
        <w:jc w:val="both"/>
        <w:rPr>
          <w:rFonts w:ascii="仿宋" w:hAnsi="仿宋" w:eastAsia="仿宋" w:cs="方正黑体简体"/>
          <w:bCs/>
          <w:color w:val="333333"/>
          <w:sz w:val="32"/>
          <w:szCs w:val="32"/>
        </w:rPr>
      </w:pPr>
      <w:r>
        <w:rPr>
          <w:rFonts w:ascii="仿宋" w:hAnsi="仿宋" w:eastAsia="仿宋" w:cs="方正黑体简体"/>
          <w:bCs/>
          <w:color w:val="333333"/>
          <w:sz w:val="32"/>
          <w:szCs w:val="32"/>
        </w:rPr>
        <w:t>五、成交价款支付方式</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（二）成交价款支付方式</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成交双方在成交之日起五个工作日之内签订《</w:t>
      </w:r>
      <w:r>
        <w:rPr>
          <w:rFonts w:hint="eastAsia" w:ascii="仿宋" w:hAnsi="仿宋" w:eastAsia="仿宋" w:cs="Times New Roman"/>
          <w:kern w:val="2"/>
          <w:sz w:val="32"/>
          <w:szCs w:val="32"/>
        </w:rPr>
        <w:t>报废资产处置合同</w:t>
      </w:r>
      <w:r>
        <w:rPr>
          <w:rFonts w:ascii="仿宋" w:hAnsi="仿宋" w:eastAsia="仿宋" w:cs="Times New Roman"/>
          <w:kern w:val="2"/>
          <w:sz w:val="32"/>
          <w:szCs w:val="32"/>
        </w:rPr>
        <w:t>》，按照《</w:t>
      </w:r>
      <w:r>
        <w:rPr>
          <w:rFonts w:hint="eastAsia" w:ascii="仿宋" w:hAnsi="仿宋" w:eastAsia="仿宋" w:cs="Times New Roman"/>
          <w:kern w:val="2"/>
          <w:sz w:val="32"/>
          <w:szCs w:val="32"/>
        </w:rPr>
        <w:t>报废资产处置合同</w:t>
      </w:r>
      <w:r>
        <w:rPr>
          <w:rFonts w:ascii="仿宋" w:hAnsi="仿宋" w:eastAsia="仿宋" w:cs="Times New Roman"/>
          <w:kern w:val="2"/>
          <w:sz w:val="32"/>
          <w:szCs w:val="32"/>
        </w:rPr>
        <w:t>》约定支付款项。</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（三）其他事项</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资产现场装卸费用及运输费用由</w:t>
      </w:r>
      <w:r>
        <w:rPr>
          <w:rFonts w:hint="eastAsia" w:ascii="仿宋" w:hAnsi="仿宋" w:eastAsia="仿宋" w:cs="Times New Roman"/>
          <w:kern w:val="2"/>
          <w:sz w:val="32"/>
          <w:szCs w:val="32"/>
        </w:rPr>
        <w:t>竞得</w:t>
      </w:r>
      <w:r>
        <w:rPr>
          <w:rFonts w:ascii="仿宋" w:hAnsi="仿宋" w:eastAsia="仿宋" w:cs="Times New Roman"/>
          <w:kern w:val="2"/>
          <w:sz w:val="32"/>
          <w:szCs w:val="32"/>
        </w:rPr>
        <w:t>方承担。</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未尽事宜，由双方协商解决，如协商不成，双方有权向有管辖权的人民法院提起诉讼。</w:t>
      </w:r>
    </w:p>
    <w:p>
      <w:pPr>
        <w:pStyle w:val="8"/>
        <w:widowControl w:val="0"/>
        <w:spacing w:before="0" w:beforeAutospacing="0" w:after="0" w:afterAutospacing="0" w:line="578" w:lineRule="exact"/>
        <w:ind w:firstLine="640" w:firstLineChars="200"/>
        <w:jc w:val="both"/>
        <w:rPr>
          <w:rFonts w:ascii="仿宋" w:hAnsi="仿宋" w:eastAsia="仿宋" w:cs="方正黑体简体"/>
          <w:bCs/>
          <w:color w:val="333333"/>
          <w:sz w:val="32"/>
          <w:szCs w:val="32"/>
        </w:rPr>
      </w:pPr>
      <w:r>
        <w:rPr>
          <w:rFonts w:ascii="仿宋" w:hAnsi="仿宋" w:eastAsia="仿宋" w:cs="方正黑体简体"/>
          <w:bCs/>
          <w:color w:val="333333"/>
          <w:sz w:val="32"/>
          <w:szCs w:val="32"/>
        </w:rPr>
        <w:t>六、公告期限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公告期限：</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20</w:t>
      </w:r>
      <w:r>
        <w:rPr>
          <w:rFonts w:ascii="仿宋" w:hAnsi="仿宋" w:eastAsia="仿宋"/>
          <w:sz w:val="32"/>
          <w:szCs w:val="32"/>
        </w:rPr>
        <w:t>日至</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31</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分止。</w:t>
      </w:r>
    </w:p>
    <w:p>
      <w:pPr>
        <w:pStyle w:val="8"/>
        <w:widowControl w:val="0"/>
        <w:spacing w:before="0" w:beforeAutospacing="0" w:after="0" w:afterAutospacing="0" w:line="578" w:lineRule="exact"/>
        <w:ind w:firstLine="640" w:firstLineChars="200"/>
        <w:jc w:val="both"/>
        <w:rPr>
          <w:rFonts w:ascii="仿宋" w:hAnsi="仿宋" w:eastAsia="仿宋" w:cs="方正黑体简体"/>
          <w:bCs/>
          <w:color w:val="333333"/>
          <w:sz w:val="32"/>
          <w:szCs w:val="32"/>
        </w:rPr>
      </w:pPr>
      <w:r>
        <w:rPr>
          <w:rFonts w:hint="eastAsia" w:ascii="仿宋" w:hAnsi="仿宋" w:eastAsia="仿宋" w:cs="方正黑体简体"/>
          <w:bCs/>
          <w:color w:val="333333"/>
          <w:sz w:val="32"/>
          <w:szCs w:val="32"/>
        </w:rPr>
        <w:t>七、网上报名、竞价保证金缴纳截止时间、资格审查时间、网上竞价方式及网上竞价时间、地点</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（一）网上报名时间：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20</w:t>
      </w:r>
      <w:r>
        <w:rPr>
          <w:rFonts w:ascii="仿宋" w:hAnsi="仿宋" w:eastAsia="仿宋"/>
          <w:sz w:val="32"/>
          <w:szCs w:val="32"/>
        </w:rPr>
        <w:t>日至</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31</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分止；</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（二）竞</w:t>
      </w:r>
      <w:r>
        <w:rPr>
          <w:rFonts w:hint="eastAsia" w:ascii="仿宋" w:hAnsi="仿宋" w:eastAsia="仿宋"/>
          <w:sz w:val="32"/>
          <w:szCs w:val="32"/>
        </w:rPr>
        <w:t>价</w:t>
      </w:r>
      <w:r>
        <w:rPr>
          <w:rFonts w:ascii="仿宋" w:hAnsi="仿宋" w:eastAsia="仿宋"/>
          <w:sz w:val="32"/>
          <w:szCs w:val="32"/>
        </w:rPr>
        <w:t>保证金缴纳截止时间：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3</w:t>
      </w:r>
      <w:r>
        <w:rPr>
          <w:rFonts w:ascii="仿宋" w:hAnsi="仿宋" w:eastAsia="仿宋"/>
          <w:sz w:val="32"/>
          <w:szCs w:val="32"/>
        </w:rPr>
        <w:t>月</w:t>
      </w:r>
      <w:r>
        <w:rPr>
          <w:rFonts w:hint="eastAsia" w:ascii="仿宋" w:hAnsi="仿宋" w:eastAsia="仿宋"/>
          <w:sz w:val="32"/>
          <w:szCs w:val="32"/>
          <w:u w:val="single"/>
        </w:rPr>
        <w:t>31</w:t>
      </w:r>
      <w:r>
        <w:rPr>
          <w:rFonts w:ascii="仿宋" w:hAnsi="仿宋" w:eastAsia="仿宋"/>
          <w:sz w:val="32"/>
          <w:szCs w:val="32"/>
        </w:rPr>
        <w:t>日</w:t>
      </w:r>
      <w:r>
        <w:rPr>
          <w:rFonts w:ascii="仿宋" w:hAnsi="仿宋" w:eastAsia="仿宋"/>
          <w:sz w:val="32"/>
          <w:szCs w:val="32"/>
          <w:u w:val="single"/>
        </w:rPr>
        <w:t>17</w:t>
      </w:r>
      <w:r>
        <w:rPr>
          <w:rFonts w:ascii="仿宋" w:hAnsi="仿宋" w:eastAsia="仿宋"/>
          <w:sz w:val="32"/>
          <w:szCs w:val="32"/>
        </w:rPr>
        <w:t>时</w:t>
      </w:r>
      <w:r>
        <w:rPr>
          <w:rFonts w:ascii="仿宋" w:hAnsi="仿宋" w:eastAsia="仿宋"/>
          <w:sz w:val="32"/>
          <w:szCs w:val="32"/>
          <w:u w:val="single"/>
        </w:rPr>
        <w:t>00</w:t>
      </w:r>
      <w:r>
        <w:rPr>
          <w:rFonts w:ascii="仿宋" w:hAnsi="仿宋" w:eastAsia="仿宋"/>
          <w:sz w:val="32"/>
          <w:szCs w:val="32"/>
        </w:rPr>
        <w:t>分（以达州市公共资源交易服务系统确认到账为准）；</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竞</w:t>
      </w:r>
      <w:r>
        <w:rPr>
          <w:rFonts w:hint="eastAsia" w:ascii="仿宋" w:hAnsi="仿宋" w:eastAsia="仿宋"/>
          <w:sz w:val="32"/>
          <w:szCs w:val="32"/>
        </w:rPr>
        <w:t>价</w:t>
      </w:r>
      <w:r>
        <w:rPr>
          <w:rFonts w:ascii="仿宋" w:hAnsi="仿宋" w:eastAsia="仿宋"/>
          <w:sz w:val="32"/>
          <w:szCs w:val="32"/>
        </w:rPr>
        <w:t>保证金不接受现金支付，须以转账方式转入达州市公共资源交易服务中心指定账户。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建设银行开户行：中国建设银行股份有限公司达州荷叶支行；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工商银行开户行：中国工商银行达州市分行海棠湾支行；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农业银行开户行：中国农业银行达州通川支行</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户</w:t>
      </w:r>
      <w:r>
        <w:rPr>
          <w:rFonts w:ascii="Times New Roman" w:hAnsi="Times New Roman" w:eastAsia="仿宋"/>
          <w:sz w:val="32"/>
          <w:szCs w:val="32"/>
        </w:rPr>
        <w:t>  </w:t>
      </w:r>
      <w:r>
        <w:rPr>
          <w:rFonts w:ascii="仿宋" w:hAnsi="仿宋" w:eastAsia="仿宋"/>
          <w:sz w:val="32"/>
          <w:szCs w:val="32"/>
        </w:rPr>
        <w:t>名：达州市公共资源交易服务中心交易专户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账</w:t>
      </w:r>
      <w:r>
        <w:rPr>
          <w:rFonts w:ascii="Times New Roman" w:hAnsi="Times New Roman" w:eastAsia="仿宋"/>
          <w:sz w:val="32"/>
          <w:szCs w:val="32"/>
        </w:rPr>
        <w:t>  </w:t>
      </w:r>
      <w:r>
        <w:rPr>
          <w:rFonts w:ascii="仿宋" w:hAnsi="仿宋" w:eastAsia="仿宋"/>
          <w:sz w:val="32"/>
          <w:szCs w:val="32"/>
        </w:rPr>
        <w:t>号：系统自动生成</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（三）资格审查时间：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3</w:t>
      </w:r>
      <w:r>
        <w:rPr>
          <w:rFonts w:ascii="仿宋" w:hAnsi="仿宋" w:eastAsia="仿宋"/>
          <w:sz w:val="32"/>
          <w:szCs w:val="32"/>
        </w:rPr>
        <w:t>日</w:t>
      </w:r>
      <w:r>
        <w:rPr>
          <w:rFonts w:ascii="仿宋" w:hAnsi="仿宋" w:eastAsia="仿宋"/>
          <w:sz w:val="32"/>
          <w:szCs w:val="32"/>
          <w:u w:val="single"/>
        </w:rPr>
        <w:t>10</w:t>
      </w:r>
      <w:r>
        <w:rPr>
          <w:rFonts w:ascii="仿宋" w:hAnsi="仿宋" w:eastAsia="仿宋"/>
          <w:sz w:val="32"/>
          <w:szCs w:val="32"/>
        </w:rPr>
        <w:t>时</w:t>
      </w:r>
      <w:r>
        <w:rPr>
          <w:rFonts w:hint="eastAsia" w:ascii="仿宋" w:hAnsi="仿宋" w:eastAsia="仿宋"/>
          <w:sz w:val="32"/>
          <w:szCs w:val="32"/>
          <w:u w:val="single"/>
        </w:rPr>
        <w:t>3</w:t>
      </w:r>
      <w:r>
        <w:rPr>
          <w:rFonts w:ascii="仿宋" w:hAnsi="仿宋" w:eastAsia="仿宋"/>
          <w:sz w:val="32"/>
          <w:szCs w:val="32"/>
          <w:u w:val="single"/>
        </w:rPr>
        <w:t>0</w:t>
      </w:r>
      <w:r>
        <w:rPr>
          <w:rFonts w:ascii="仿宋" w:hAnsi="仿宋" w:eastAsia="仿宋"/>
          <w:sz w:val="32"/>
          <w:szCs w:val="32"/>
        </w:rPr>
        <w:t>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（四）资格审查主体：</w:t>
      </w:r>
      <w:r>
        <w:rPr>
          <w:rFonts w:hint="eastAsia" w:ascii="仿宋" w:hAnsi="仿宋" w:eastAsia="仿宋" w:cs="Times New Roman"/>
          <w:kern w:val="2"/>
          <w:sz w:val="32"/>
          <w:szCs w:val="32"/>
        </w:rPr>
        <w:t>达州市审计局</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（五）资格审查地点：由资格审查主体组建资格审查小组，在达州市公共资源交易服务中心评审区登录达州市公共资源交易服务平台进行在线资格审查。</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（六）网上竞价方式</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资格审查结束后，意向</w:t>
      </w:r>
      <w:r>
        <w:rPr>
          <w:rFonts w:hint="eastAsia" w:ascii="仿宋" w:hAnsi="仿宋" w:eastAsia="仿宋"/>
          <w:sz w:val="32"/>
          <w:szCs w:val="32"/>
        </w:rPr>
        <w:t>竞价</w:t>
      </w:r>
      <w:r>
        <w:rPr>
          <w:rFonts w:ascii="仿宋" w:hAnsi="仿宋" w:eastAsia="仿宋"/>
          <w:sz w:val="32"/>
          <w:szCs w:val="32"/>
        </w:rPr>
        <w:t>人须登录达州市公共资源交易服务平台中的【资格审查申请】菜单确认审查结果，如果通过资格审查，须按时参加网上竞价。</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本次</w:t>
      </w:r>
      <w:r>
        <w:rPr>
          <w:rFonts w:hint="eastAsia" w:ascii="仿宋" w:hAnsi="仿宋" w:eastAsia="仿宋"/>
          <w:sz w:val="32"/>
          <w:szCs w:val="32"/>
        </w:rPr>
        <w:t>竞价</w:t>
      </w:r>
      <w:r>
        <w:rPr>
          <w:rFonts w:ascii="仿宋" w:hAnsi="仿宋" w:eastAsia="仿宋"/>
          <w:sz w:val="32"/>
          <w:szCs w:val="32"/>
        </w:rPr>
        <w:t>资产</w:t>
      </w:r>
      <w:r>
        <w:rPr>
          <w:rFonts w:hint="eastAsia" w:ascii="仿宋" w:hAnsi="仿宋" w:eastAsia="仿宋"/>
          <w:sz w:val="32"/>
          <w:szCs w:val="32"/>
        </w:rPr>
        <w:t>采用电子竞价的方式，按照《资产状况》中竞价起始价进行网上电子竞价，由竞价人在竞价系统逐轮应价，每次加价幅度为</w:t>
      </w:r>
      <w:r>
        <w:rPr>
          <w:rFonts w:hint="eastAsia" w:ascii="仿宋" w:hAnsi="仿宋" w:eastAsia="仿宋"/>
          <w:sz w:val="32"/>
          <w:szCs w:val="32"/>
          <w:u w:val="single"/>
        </w:rPr>
        <w:t>100</w:t>
      </w:r>
      <w:r>
        <w:rPr>
          <w:rFonts w:hint="eastAsia" w:ascii="仿宋" w:hAnsi="仿宋" w:eastAsia="仿宋"/>
          <w:sz w:val="32"/>
          <w:szCs w:val="32"/>
        </w:rPr>
        <w:t>元或者其整倍数，</w:t>
      </w:r>
      <w:r>
        <w:rPr>
          <w:rFonts w:ascii="仿宋" w:hAnsi="仿宋" w:eastAsia="仿宋"/>
          <w:sz w:val="32"/>
          <w:szCs w:val="32"/>
        </w:rPr>
        <w:t>出价最高者竞得。</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最终报价高者的意向</w:t>
      </w:r>
      <w:r>
        <w:rPr>
          <w:rFonts w:hint="eastAsia" w:ascii="仿宋" w:hAnsi="仿宋" w:eastAsia="仿宋"/>
          <w:sz w:val="32"/>
          <w:szCs w:val="32"/>
        </w:rPr>
        <w:t>竞价</w:t>
      </w:r>
      <w:r>
        <w:rPr>
          <w:rFonts w:ascii="仿宋" w:hAnsi="仿宋" w:eastAsia="仿宋"/>
          <w:sz w:val="32"/>
          <w:szCs w:val="32"/>
        </w:rPr>
        <w:t>人成为竞得者，由交易系统自动生成成交确认书。</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注：凡参加本项目</w:t>
      </w:r>
      <w:r>
        <w:rPr>
          <w:rFonts w:hint="eastAsia" w:ascii="仿宋" w:hAnsi="仿宋" w:eastAsia="仿宋"/>
          <w:sz w:val="32"/>
          <w:szCs w:val="32"/>
        </w:rPr>
        <w:t>竞价</w:t>
      </w:r>
      <w:r>
        <w:rPr>
          <w:rFonts w:ascii="仿宋" w:hAnsi="仿宋" w:eastAsia="仿宋"/>
          <w:sz w:val="32"/>
          <w:szCs w:val="32"/>
        </w:rPr>
        <w:t>的意向</w:t>
      </w:r>
      <w:r>
        <w:rPr>
          <w:rFonts w:hint="eastAsia" w:ascii="仿宋" w:hAnsi="仿宋" w:eastAsia="仿宋"/>
          <w:sz w:val="32"/>
          <w:szCs w:val="32"/>
        </w:rPr>
        <w:t>竞价</w:t>
      </w:r>
      <w:r>
        <w:rPr>
          <w:rFonts w:ascii="仿宋" w:hAnsi="仿宋" w:eastAsia="仿宋"/>
          <w:sz w:val="32"/>
          <w:szCs w:val="32"/>
        </w:rPr>
        <w:t>人须响应</w:t>
      </w:r>
      <w:r>
        <w:rPr>
          <w:rFonts w:hint="eastAsia" w:ascii="仿宋" w:hAnsi="仿宋" w:eastAsia="仿宋"/>
          <w:sz w:val="32"/>
          <w:szCs w:val="32"/>
        </w:rPr>
        <w:t>竞价</w:t>
      </w:r>
      <w:r>
        <w:rPr>
          <w:rFonts w:ascii="仿宋" w:hAnsi="仿宋" w:eastAsia="仿宋"/>
          <w:sz w:val="32"/>
          <w:szCs w:val="32"/>
        </w:rPr>
        <w:t>起始价。否则，</w:t>
      </w:r>
      <w:r>
        <w:rPr>
          <w:rFonts w:hint="eastAsia" w:ascii="仿宋" w:hAnsi="仿宋" w:eastAsia="仿宋"/>
          <w:sz w:val="32"/>
          <w:szCs w:val="32"/>
        </w:rPr>
        <w:t>竞价</w:t>
      </w:r>
      <w:r>
        <w:rPr>
          <w:rFonts w:ascii="仿宋" w:hAnsi="仿宋" w:eastAsia="仿宋"/>
          <w:sz w:val="32"/>
          <w:szCs w:val="32"/>
        </w:rPr>
        <w:t>保证金不予退还。</w:t>
      </w:r>
    </w:p>
    <w:p>
      <w:pPr>
        <w:adjustRightInd w:val="0"/>
        <w:spacing w:line="578" w:lineRule="exact"/>
        <w:ind w:firstLine="640" w:firstLineChars="200"/>
        <w:outlineLvl w:val="1"/>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网上竞价时间：</w:t>
      </w:r>
      <w:r>
        <w:rPr>
          <w:rFonts w:ascii="仿宋" w:hAnsi="仿宋" w:eastAsia="仿宋"/>
          <w:sz w:val="32"/>
          <w:szCs w:val="32"/>
          <w:u w:val="single"/>
        </w:rPr>
        <w:t>2023</w:t>
      </w:r>
      <w:r>
        <w:rPr>
          <w:rFonts w:ascii="仿宋" w:hAnsi="仿宋" w:eastAsia="仿宋"/>
          <w:sz w:val="32"/>
          <w:szCs w:val="32"/>
        </w:rPr>
        <w:t>年</w:t>
      </w:r>
      <w:r>
        <w:rPr>
          <w:rFonts w:hint="eastAsia" w:ascii="仿宋" w:hAnsi="仿宋" w:eastAsia="仿宋"/>
          <w:sz w:val="32"/>
          <w:szCs w:val="32"/>
          <w:u w:val="single"/>
        </w:rPr>
        <w:t>4</w:t>
      </w:r>
      <w:r>
        <w:rPr>
          <w:rFonts w:ascii="仿宋" w:hAnsi="仿宋" w:eastAsia="仿宋"/>
          <w:sz w:val="32"/>
          <w:szCs w:val="32"/>
        </w:rPr>
        <w:t>月</w:t>
      </w:r>
      <w:r>
        <w:rPr>
          <w:rFonts w:hint="eastAsia" w:ascii="仿宋" w:hAnsi="仿宋" w:eastAsia="仿宋"/>
          <w:sz w:val="32"/>
          <w:szCs w:val="32"/>
          <w:u w:val="single"/>
        </w:rPr>
        <w:t>3</w:t>
      </w:r>
      <w:r>
        <w:rPr>
          <w:rFonts w:ascii="仿宋" w:hAnsi="仿宋" w:eastAsia="仿宋"/>
          <w:sz w:val="32"/>
          <w:szCs w:val="32"/>
        </w:rPr>
        <w:t>日</w:t>
      </w:r>
      <w:r>
        <w:rPr>
          <w:rFonts w:ascii="仿宋" w:hAnsi="仿宋" w:eastAsia="仿宋"/>
          <w:sz w:val="32"/>
          <w:szCs w:val="32"/>
          <w:u w:val="single"/>
        </w:rPr>
        <w:t>1</w:t>
      </w:r>
      <w:r>
        <w:rPr>
          <w:rFonts w:hint="eastAsia" w:ascii="仿宋" w:hAnsi="仿宋" w:eastAsia="仿宋"/>
          <w:sz w:val="32"/>
          <w:szCs w:val="32"/>
          <w:u w:val="single"/>
        </w:rPr>
        <w:t>0</w:t>
      </w:r>
      <w:r>
        <w:rPr>
          <w:rFonts w:ascii="仿宋" w:hAnsi="仿宋" w:eastAsia="仿宋"/>
          <w:sz w:val="32"/>
          <w:szCs w:val="32"/>
        </w:rPr>
        <w:t>时</w:t>
      </w:r>
      <w:r>
        <w:rPr>
          <w:rFonts w:hint="eastAsia" w:ascii="仿宋" w:hAnsi="仿宋" w:eastAsia="仿宋"/>
          <w:sz w:val="32"/>
          <w:szCs w:val="32"/>
          <w:u w:val="single"/>
        </w:rPr>
        <w:t>3</w:t>
      </w:r>
      <w:r>
        <w:rPr>
          <w:rFonts w:ascii="仿宋" w:hAnsi="仿宋" w:eastAsia="仿宋"/>
          <w:sz w:val="32"/>
          <w:szCs w:val="32"/>
          <w:u w:val="single"/>
        </w:rPr>
        <w:t>0</w:t>
      </w:r>
      <w:r>
        <w:rPr>
          <w:rFonts w:ascii="仿宋" w:hAnsi="仿宋" w:eastAsia="仿宋"/>
          <w:sz w:val="32"/>
          <w:szCs w:val="32"/>
        </w:rPr>
        <w:t>分；</w:t>
      </w:r>
    </w:p>
    <w:p>
      <w:pPr>
        <w:adjustRightInd w:val="0"/>
        <w:spacing w:line="578" w:lineRule="exact"/>
        <w:ind w:firstLine="640" w:firstLineChars="200"/>
        <w:outlineLvl w:val="1"/>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网上竞价时间可能因资格审查而延迟；</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）网上竞价地点：通过资格审查的意向</w:t>
      </w:r>
      <w:r>
        <w:rPr>
          <w:rFonts w:hint="eastAsia" w:ascii="仿宋" w:hAnsi="仿宋" w:eastAsia="仿宋"/>
          <w:sz w:val="32"/>
          <w:szCs w:val="32"/>
        </w:rPr>
        <w:t>竞价</w:t>
      </w:r>
      <w:r>
        <w:rPr>
          <w:rFonts w:ascii="仿宋" w:hAnsi="仿宋" w:eastAsia="仿宋"/>
          <w:sz w:val="32"/>
          <w:szCs w:val="32"/>
        </w:rPr>
        <w:t>人登录达州市公共资源交易服务平台进行网上竞价。</w:t>
      </w:r>
    </w:p>
    <w:p>
      <w:pPr>
        <w:spacing w:line="578" w:lineRule="exact"/>
        <w:ind w:firstLine="633" w:firstLineChars="198"/>
        <w:rPr>
          <w:rFonts w:ascii="仿宋" w:hAnsi="仿宋" w:eastAsia="仿宋" w:cs="方正黑体简体"/>
          <w:bCs/>
          <w:color w:val="333333"/>
          <w:kern w:val="0"/>
          <w:sz w:val="32"/>
          <w:szCs w:val="32"/>
        </w:rPr>
      </w:pPr>
      <w:r>
        <w:rPr>
          <w:rFonts w:hint="eastAsia" w:ascii="仿宋" w:hAnsi="仿宋" w:eastAsia="仿宋" w:cs="方正黑体简体"/>
          <w:bCs/>
          <w:color w:val="333333"/>
          <w:kern w:val="0"/>
          <w:sz w:val="32"/>
          <w:szCs w:val="32"/>
        </w:rPr>
        <w:t>八、成交通知书</w:t>
      </w:r>
    </w:p>
    <w:p>
      <w:pPr>
        <w:adjustRightInd w:val="0"/>
        <w:spacing w:line="578" w:lineRule="exact"/>
        <w:ind w:firstLine="640" w:firstLineChars="200"/>
        <w:outlineLvl w:val="1"/>
        <w:rPr>
          <w:rFonts w:ascii="仿宋" w:hAnsi="仿宋" w:eastAsia="仿宋"/>
          <w:sz w:val="32"/>
          <w:szCs w:val="32"/>
        </w:rPr>
      </w:pPr>
      <w:r>
        <w:rPr>
          <w:rFonts w:ascii="仿宋" w:hAnsi="仿宋" w:eastAsia="仿宋"/>
          <w:sz w:val="32"/>
          <w:szCs w:val="32"/>
        </w:rPr>
        <w:t>网上竞价结束后由交易系统自动生成成交确认书，竞得人可以在达州市公共资源交易服务平台中自行下载。</w:t>
      </w:r>
    </w:p>
    <w:p>
      <w:pPr>
        <w:spacing w:line="578" w:lineRule="exact"/>
        <w:ind w:firstLine="633" w:firstLineChars="198"/>
        <w:rPr>
          <w:rFonts w:ascii="仿宋" w:hAnsi="仿宋" w:eastAsia="仿宋" w:cs="方正黑体简体"/>
          <w:bCs/>
          <w:color w:val="333333"/>
          <w:kern w:val="0"/>
          <w:sz w:val="32"/>
          <w:szCs w:val="32"/>
        </w:rPr>
      </w:pPr>
      <w:r>
        <w:rPr>
          <w:rFonts w:hint="eastAsia" w:ascii="仿宋" w:hAnsi="仿宋" w:eastAsia="仿宋" w:cs="方正黑体简体"/>
          <w:bCs/>
          <w:color w:val="333333"/>
          <w:kern w:val="0"/>
          <w:sz w:val="32"/>
          <w:szCs w:val="32"/>
        </w:rPr>
        <w:t>九、其他事项</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（一）有意竞价者请于公告期内在达州市公共资源交易服务网提出竞价申请，并缴纳（资产状况中竞价保证金金额）竞价保证金（以达州市公共资源交易服务系统确认到账为准）。</w:t>
      </w:r>
    </w:p>
    <w:p>
      <w:pPr>
        <w:pStyle w:val="8"/>
        <w:widowControl w:val="0"/>
        <w:spacing w:before="0" w:beforeAutospacing="0" w:after="0" w:afterAutospacing="0" w:line="578" w:lineRule="exact"/>
        <w:ind w:firstLine="640" w:firstLineChars="200"/>
        <w:jc w:val="both"/>
        <w:rPr>
          <w:rFonts w:ascii="仿宋" w:hAnsi="仿宋" w:eastAsia="仿宋" w:cs="Times New Roman"/>
          <w:kern w:val="2"/>
          <w:sz w:val="32"/>
          <w:szCs w:val="32"/>
        </w:rPr>
      </w:pPr>
      <w:r>
        <w:rPr>
          <w:rFonts w:ascii="仿宋" w:hAnsi="仿宋" w:eastAsia="仿宋" w:cs="Times New Roman"/>
          <w:kern w:val="2"/>
          <w:sz w:val="32"/>
          <w:szCs w:val="32"/>
        </w:rPr>
        <w:t>（二）若竞价成功，竞得人的竞价保证金转作标的物的履约保证金，合同执行完成该保证金全额退还；若竞价未成功，则意向竞价人竞价保证金全额原渠道无息退还。</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以下情形之一者，保证金不予退还：</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1.意向竞价人提供虚假材料的；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2.意向竞价人互相串通恶意压价的；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3.意向竞价人未认可本项目竞价起始价的；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4.若竞价成功后，竞得人不按时签订成交确认书、合同或不按时支付标的物成交款项的；</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5.意向竞价人与竞得人不一致的。</w:t>
      </w:r>
    </w:p>
    <w:p>
      <w:pPr>
        <w:widowControl/>
        <w:spacing w:line="578" w:lineRule="exact"/>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）本次资产</w:t>
      </w:r>
      <w:r>
        <w:rPr>
          <w:rFonts w:hint="eastAsia" w:ascii="仿宋" w:hAnsi="仿宋" w:eastAsia="仿宋"/>
          <w:sz w:val="32"/>
          <w:szCs w:val="32"/>
        </w:rPr>
        <w:t>处置</w:t>
      </w:r>
      <w:r>
        <w:rPr>
          <w:rFonts w:ascii="仿宋" w:hAnsi="仿宋" w:eastAsia="仿宋"/>
          <w:sz w:val="32"/>
          <w:szCs w:val="32"/>
        </w:rPr>
        <w:t>所涉及的税费由双方按国家相关法律法规处理。</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）本次</w:t>
      </w:r>
      <w:r>
        <w:rPr>
          <w:rFonts w:hint="eastAsia" w:ascii="仿宋" w:hAnsi="仿宋" w:eastAsia="仿宋"/>
          <w:sz w:val="32"/>
          <w:szCs w:val="32"/>
        </w:rPr>
        <w:t>资产处置</w:t>
      </w:r>
      <w:r>
        <w:rPr>
          <w:rFonts w:ascii="仿宋" w:hAnsi="仿宋" w:eastAsia="仿宋"/>
          <w:sz w:val="32"/>
          <w:szCs w:val="32"/>
        </w:rPr>
        <w:t>实行全程电子化交易方式，通过达州市公共资源交易服务平台进行，纸质资料不予受理，具体操作方式详见网上操作指南。</w:t>
      </w:r>
    </w:p>
    <w:p>
      <w:pPr>
        <w:pStyle w:val="8"/>
        <w:widowControl w:val="0"/>
        <w:spacing w:before="0" w:beforeAutospacing="0" w:after="0" w:afterAutospacing="0" w:line="578" w:lineRule="exact"/>
        <w:ind w:firstLine="600"/>
        <w:jc w:val="both"/>
        <w:rPr>
          <w:rFonts w:ascii="仿宋" w:hAnsi="仿宋" w:eastAsia="仿宋" w:cs="Times New Roman"/>
          <w:kern w:val="2"/>
          <w:sz w:val="32"/>
          <w:szCs w:val="32"/>
        </w:rPr>
      </w:pPr>
      <w:r>
        <w:rPr>
          <w:rFonts w:ascii="仿宋" w:hAnsi="仿宋" w:eastAsia="仿宋" w:cs="Times New Roman"/>
          <w:kern w:val="2"/>
          <w:sz w:val="32"/>
          <w:szCs w:val="32"/>
        </w:rPr>
        <w:t>（</w:t>
      </w:r>
      <w:r>
        <w:rPr>
          <w:rFonts w:hint="eastAsia" w:ascii="仿宋" w:hAnsi="仿宋" w:eastAsia="仿宋" w:cs="Times New Roman"/>
          <w:kern w:val="2"/>
          <w:sz w:val="32"/>
          <w:szCs w:val="32"/>
        </w:rPr>
        <w:t>五</w:t>
      </w:r>
      <w:r>
        <w:rPr>
          <w:rFonts w:ascii="仿宋" w:hAnsi="仿宋" w:eastAsia="仿宋" w:cs="Times New Roman"/>
          <w:kern w:val="2"/>
          <w:sz w:val="32"/>
          <w:szCs w:val="32"/>
        </w:rPr>
        <w:t>）意向竞价人对本公告第一、六、七、八</w:t>
      </w:r>
      <w:r>
        <w:rPr>
          <w:rFonts w:hint="eastAsia" w:ascii="仿宋" w:hAnsi="仿宋" w:eastAsia="仿宋" w:cs="Times New Roman"/>
          <w:kern w:val="2"/>
          <w:sz w:val="32"/>
          <w:szCs w:val="32"/>
        </w:rPr>
        <w:t>、九（一）</w:t>
      </w:r>
      <w:r>
        <w:rPr>
          <w:rFonts w:ascii="仿宋" w:hAnsi="仿宋" w:eastAsia="仿宋" w:cs="Times New Roman"/>
          <w:kern w:val="2"/>
          <w:sz w:val="32"/>
          <w:szCs w:val="32"/>
        </w:rPr>
        <w:t>条有疑问可向交易机构提出，其余的可向业主单位提出。</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）联系方式：</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出租方：达州市</w:t>
      </w:r>
      <w:r>
        <w:rPr>
          <w:rFonts w:hint="eastAsia" w:ascii="仿宋" w:hAnsi="仿宋" w:eastAsia="仿宋"/>
          <w:sz w:val="32"/>
          <w:szCs w:val="32"/>
        </w:rPr>
        <w:t>审计局</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联系人：闫建新</w:t>
      </w:r>
    </w:p>
    <w:p>
      <w:pPr>
        <w:wordWrap w:val="0"/>
        <w:spacing w:line="578" w:lineRule="exact"/>
        <w:ind w:firstLine="640" w:firstLineChars="200"/>
        <w:rPr>
          <w:rFonts w:ascii="仿宋" w:hAnsi="仿宋" w:eastAsia="仿宋"/>
          <w:sz w:val="32"/>
          <w:szCs w:val="32"/>
        </w:rPr>
      </w:pPr>
      <w:r>
        <w:rPr>
          <w:rFonts w:ascii="仿宋" w:hAnsi="仿宋" w:eastAsia="仿宋"/>
          <w:sz w:val="32"/>
          <w:szCs w:val="32"/>
        </w:rPr>
        <w:t>联系电话：18682812678</w:t>
      </w:r>
    </w:p>
    <w:p>
      <w:pPr>
        <w:adjustRightInd w:val="0"/>
        <w:spacing w:line="578" w:lineRule="exact"/>
        <w:ind w:firstLine="640" w:firstLineChars="200"/>
        <w:rPr>
          <w:rFonts w:ascii="仿宋" w:hAnsi="仿宋" w:eastAsia="仿宋"/>
          <w:sz w:val="32"/>
          <w:szCs w:val="32"/>
        </w:rPr>
      </w:pPr>
      <w:r>
        <w:rPr>
          <w:rFonts w:ascii="仿宋" w:hAnsi="仿宋" w:eastAsia="仿宋"/>
          <w:sz w:val="32"/>
          <w:szCs w:val="32"/>
        </w:rPr>
        <w:t>交易机构：达州市公共资源交易服务中心</w:t>
      </w:r>
    </w:p>
    <w:p>
      <w:pPr>
        <w:adjustRightInd w:val="0"/>
        <w:spacing w:line="578" w:lineRule="exact"/>
        <w:ind w:firstLine="640" w:firstLineChars="200"/>
        <w:rPr>
          <w:rFonts w:ascii="仿宋" w:hAnsi="仿宋" w:eastAsia="仿宋"/>
          <w:sz w:val="32"/>
          <w:szCs w:val="32"/>
        </w:rPr>
      </w:pPr>
      <w:r>
        <w:rPr>
          <w:rFonts w:hint="eastAsia" w:ascii="仿宋" w:hAnsi="仿宋" w:eastAsia="仿宋"/>
          <w:sz w:val="32"/>
          <w:szCs w:val="32"/>
        </w:rPr>
        <w:t>评审科：</w:t>
      </w:r>
      <w:r>
        <w:rPr>
          <w:rFonts w:ascii="仿宋" w:hAnsi="仿宋" w:eastAsia="仿宋"/>
          <w:sz w:val="32"/>
          <w:szCs w:val="32"/>
        </w:rPr>
        <w:t>0818-3091347</w:t>
      </w:r>
    </w:p>
    <w:p>
      <w:pPr>
        <w:pStyle w:val="2"/>
        <w:rPr>
          <w:rFonts w:ascii="仿宋" w:hAnsi="仿宋" w:eastAsia="仿宋"/>
          <w:sz w:val="32"/>
          <w:szCs w:val="32"/>
        </w:rPr>
      </w:pPr>
      <w:r>
        <w:rPr>
          <w:rFonts w:hint="eastAsia"/>
        </w:rPr>
        <w:t xml:space="preserve">       </w:t>
      </w:r>
      <w:r>
        <w:rPr>
          <w:rFonts w:hint="eastAsia" w:ascii="仿宋" w:hAnsi="仿宋" w:eastAsia="仿宋"/>
          <w:sz w:val="32"/>
          <w:szCs w:val="32"/>
        </w:rPr>
        <w:t>组织科: 0818-3091342</w:t>
      </w:r>
    </w:p>
    <w:p>
      <w:pPr>
        <w:pStyle w:val="2"/>
        <w:spacing w:line="578" w:lineRule="exact"/>
        <w:ind w:firstLine="640" w:firstLineChars="200"/>
        <w:rPr>
          <w:rFonts w:ascii="仿宋" w:hAnsi="仿宋" w:eastAsia="仿宋"/>
          <w:sz w:val="32"/>
          <w:szCs w:val="32"/>
        </w:rPr>
      </w:pPr>
      <w:r>
        <w:rPr>
          <w:rFonts w:ascii="仿宋" w:hAnsi="仿宋" w:eastAsia="仿宋"/>
          <w:sz w:val="32"/>
          <w:szCs w:val="32"/>
        </w:rPr>
        <w:t>达州市公共资源交易服务平台技术联系方式：0818-2502163</w:t>
      </w:r>
    </w:p>
    <w:p>
      <w:pPr>
        <w:adjustRightInd w:val="0"/>
        <w:spacing w:line="578" w:lineRule="exact"/>
        <w:ind w:firstLine="640" w:firstLineChars="200"/>
        <w:jc w:val="left"/>
        <w:rPr>
          <w:rFonts w:ascii="仿宋" w:hAnsi="仿宋" w:eastAsia="仿宋"/>
          <w:sz w:val="32"/>
          <w:szCs w:val="32"/>
        </w:rPr>
      </w:pPr>
    </w:p>
    <w:p>
      <w:pPr>
        <w:pStyle w:val="2"/>
      </w:pPr>
    </w:p>
    <w:p>
      <w:pPr>
        <w:widowControl/>
        <w:spacing w:line="578" w:lineRule="exact"/>
        <w:ind w:firstLine="640" w:firstLineChars="200"/>
        <w:rPr>
          <w:rFonts w:ascii="仿宋" w:hAnsi="仿宋" w:eastAsia="仿宋"/>
          <w:sz w:val="32"/>
          <w:szCs w:val="32"/>
        </w:rPr>
      </w:pPr>
      <w:r>
        <w:rPr>
          <w:rFonts w:ascii="仿宋" w:hAnsi="仿宋" w:eastAsia="仿宋"/>
          <w:sz w:val="32"/>
          <w:szCs w:val="32"/>
        </w:rPr>
        <w:t>达州</w:t>
      </w:r>
      <w:r>
        <w:rPr>
          <w:rFonts w:hint="eastAsia" w:ascii="仿宋" w:hAnsi="仿宋" w:eastAsia="仿宋"/>
          <w:sz w:val="32"/>
          <w:szCs w:val="32"/>
        </w:rPr>
        <w:t xml:space="preserve">市审计局          </w:t>
      </w:r>
      <w:r>
        <w:rPr>
          <w:rFonts w:ascii="仿宋" w:hAnsi="仿宋" w:eastAsia="仿宋"/>
          <w:sz w:val="32"/>
          <w:szCs w:val="32"/>
        </w:rPr>
        <w:t>达州市公共资源交易服务中心</w:t>
      </w:r>
    </w:p>
    <w:p>
      <w:pPr>
        <w:pStyle w:val="8"/>
        <w:widowControl w:val="0"/>
        <w:wordWrap w:val="0"/>
        <w:snapToGrid w:val="0"/>
        <w:spacing w:before="0" w:beforeAutospacing="0" w:after="0" w:afterAutospacing="0" w:line="578" w:lineRule="exact"/>
        <w:jc w:val="both"/>
        <w:rPr>
          <w:rFonts w:ascii="Times New Roman" w:hAnsi="Times New Roman" w:eastAsia="黑体" w:cs="Times New Roman"/>
          <w:sz w:val="32"/>
          <w:szCs w:val="32"/>
        </w:rPr>
      </w:pPr>
      <w:r>
        <w:rPr>
          <w:rFonts w:ascii="Times New Roman" w:hAnsi="Times New Roman" w:eastAsia="仿宋" w:cs="Times New Roman"/>
          <w:kern w:val="2"/>
          <w:sz w:val="32"/>
          <w:szCs w:val="32"/>
        </w:rPr>
        <w:t> </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 xml:space="preserve">    </w:t>
      </w:r>
      <w:r>
        <w:rPr>
          <w:rFonts w:ascii="仿宋" w:hAnsi="仿宋" w:eastAsia="仿宋" w:cs="Times New Roman"/>
          <w:kern w:val="2"/>
          <w:sz w:val="32"/>
          <w:szCs w:val="32"/>
        </w:rPr>
        <w:t xml:space="preserve"> 2023年</w:t>
      </w:r>
      <w:r>
        <w:rPr>
          <w:rFonts w:hint="eastAsia" w:ascii="仿宋" w:hAnsi="仿宋" w:eastAsia="仿宋" w:cs="Times New Roman"/>
          <w:kern w:val="2"/>
          <w:sz w:val="32"/>
          <w:szCs w:val="32"/>
        </w:rPr>
        <w:t>3</w:t>
      </w:r>
      <w:r>
        <w:rPr>
          <w:rFonts w:ascii="仿宋" w:hAnsi="仿宋" w:eastAsia="仿宋" w:cs="Times New Roman"/>
          <w:kern w:val="2"/>
          <w:sz w:val="32"/>
          <w:szCs w:val="32"/>
        </w:rPr>
        <w:t>月</w:t>
      </w:r>
      <w:r>
        <w:rPr>
          <w:rFonts w:hint="eastAsia" w:ascii="仿宋" w:hAnsi="仿宋" w:eastAsia="仿宋" w:cs="Times New Roman"/>
          <w:kern w:val="2"/>
          <w:sz w:val="32"/>
          <w:szCs w:val="32"/>
        </w:rPr>
        <w:t>20</w:t>
      </w:r>
      <w:r>
        <w:rPr>
          <w:rFonts w:ascii="仿宋" w:hAnsi="仿宋" w:eastAsia="仿宋" w:cs="Times New Roman"/>
          <w:kern w:val="2"/>
          <w:sz w:val="32"/>
          <w:szCs w:val="32"/>
        </w:rPr>
        <w:t>日</w:t>
      </w:r>
      <w:bookmarkEnd w:id="0"/>
      <w:bookmarkEnd w:id="1"/>
      <w:r>
        <w:rPr>
          <w:rFonts w:ascii="Times New Roman" w:hAnsi="Times New Roman" w:eastAsia="方正仿宋简体" w:cs="Times New Roman"/>
          <w:kern w:val="2"/>
          <w:sz w:val="32"/>
          <w:szCs w:val="32"/>
        </w:rPr>
        <w:br w:type="page"/>
      </w:r>
      <w:r>
        <w:rPr>
          <w:rFonts w:ascii="Times New Roman" w:hAnsi="Times New Roman" w:eastAsia="黑体" w:cs="Times New Roman"/>
          <w:color w:val="333333"/>
          <w:sz w:val="32"/>
          <w:szCs w:val="32"/>
        </w:rPr>
        <w:t>附件1</w:t>
      </w:r>
    </w:p>
    <w:p>
      <w:pPr>
        <w:pStyle w:val="8"/>
        <w:widowControl w:val="0"/>
        <w:wordWrap w:val="0"/>
        <w:snapToGrid w:val="0"/>
        <w:spacing w:beforeAutospacing="0" w:afterAutospacing="0" w:line="578" w:lineRule="atLeast"/>
        <w:ind w:firstLine="470"/>
        <w:jc w:val="center"/>
        <w:rPr>
          <w:rFonts w:ascii="Times New Roman" w:hAnsi="Times New Roman" w:cs="Times New Roman"/>
          <w:sz w:val="21"/>
          <w:szCs w:val="21"/>
        </w:rPr>
      </w:pPr>
      <w:r>
        <w:rPr>
          <w:rFonts w:ascii="Times New Roman" w:hAnsi="Times New Roman" w:eastAsia="方正小标宋简体" w:cs="Times New Roman"/>
          <w:color w:val="333333"/>
          <w:sz w:val="44"/>
          <w:szCs w:val="44"/>
        </w:rPr>
        <w:t>竞价申请书（样本）</w:t>
      </w:r>
    </w:p>
    <w:p>
      <w:pPr>
        <w:pStyle w:val="8"/>
        <w:widowControl w:val="0"/>
        <w:wordWrap w:val="0"/>
        <w:snapToGrid w:val="0"/>
        <w:spacing w:beforeAutospacing="0" w:afterAutospacing="0" w:line="578" w:lineRule="atLeast"/>
        <w:ind w:firstLine="470"/>
        <w:jc w:val="center"/>
        <w:rPr>
          <w:rFonts w:ascii="Times New Roman" w:hAnsi="Times New Roman" w:cs="Times New Roman"/>
          <w:sz w:val="21"/>
          <w:szCs w:val="21"/>
        </w:rPr>
      </w:pPr>
    </w:p>
    <w:p>
      <w:pPr>
        <w:wordWrap w:val="0"/>
        <w:spacing w:line="578" w:lineRule="exact"/>
        <w:rPr>
          <w:rFonts w:ascii="Times New Roman" w:hAnsi="Times New Roman" w:eastAsia="方正仿宋简体"/>
          <w:sz w:val="32"/>
          <w:szCs w:val="32"/>
        </w:rPr>
      </w:pPr>
      <w:r>
        <w:rPr>
          <w:rFonts w:ascii="Times New Roman" w:hAnsi="Times New Roman" w:eastAsia="方正仿宋简体"/>
          <w:sz w:val="32"/>
          <w:szCs w:val="32"/>
        </w:rPr>
        <w:t>达州市公共资源交易服务中心：</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经认真阅读关于标的公开竞价相关资料，我方完全接受并愿意遵守公告中的规定和要求，对公告及标的现状无异议。</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我方已按要求登录达州市公共资源交易服务中心网完成网上注册、网上报名</w:t>
      </w:r>
      <w:r>
        <w:rPr>
          <w:rFonts w:hint="eastAsia" w:ascii="Times New Roman" w:hAnsi="Times New Roman" w:eastAsia="方正仿宋简体"/>
          <w:sz w:val="32"/>
          <w:szCs w:val="32"/>
        </w:rPr>
        <w:t>，</w:t>
      </w:r>
      <w:r>
        <w:rPr>
          <w:rFonts w:ascii="Times New Roman" w:hAnsi="Times New Roman" w:eastAsia="方正仿宋简体"/>
          <w:sz w:val="32"/>
          <w:szCs w:val="32"/>
        </w:rPr>
        <w:t>我方愿意按竞价公告的规定，交纳资产的竞价保证金￥    万元</w:t>
      </w:r>
      <w:r>
        <w:rPr>
          <w:rFonts w:hint="eastAsia" w:ascii="Times New Roman" w:hAnsi="Times New Roman" w:eastAsia="方正仿宋简体"/>
          <w:sz w:val="32"/>
          <w:szCs w:val="32"/>
        </w:rPr>
        <w:t>（</w:t>
      </w:r>
      <w:r>
        <w:rPr>
          <w:rFonts w:ascii="Times New Roman" w:hAnsi="Times New Roman" w:eastAsia="方正仿宋简体"/>
          <w:sz w:val="32"/>
          <w:szCs w:val="32"/>
        </w:rPr>
        <w:t>大写人民币     万元整</w:t>
      </w:r>
      <w:r>
        <w:rPr>
          <w:rFonts w:hint="eastAsia" w:ascii="Times New Roman" w:hAnsi="Times New Roman" w:eastAsia="方正仿宋简体"/>
          <w:sz w:val="32"/>
          <w:szCs w:val="32"/>
        </w:rPr>
        <w:t>）</w:t>
      </w:r>
      <w:r>
        <w:rPr>
          <w:rFonts w:ascii="Times New Roman" w:hAnsi="Times New Roman" w:eastAsia="方正仿宋简体"/>
          <w:sz w:val="32"/>
          <w:szCs w:val="32"/>
        </w:rPr>
        <w:t>。现我方正式申请参加于  年 月  日上午时分（北京时间）在举行的公开竞价电子竞价会。</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我方保证严格遵守电子竞价会场纪律和完全履行竞价公告所载意向竞价人的全部义务。若我方在公开竞价中以及电子竞价成交后，出现不能按期付款或有其他违约行为，我方愿意承担全部法律责任，并赔偿由此产生的全部损失。</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特此申请。</w:t>
      </w:r>
    </w:p>
    <w:p>
      <w:pPr>
        <w:wordWrap w:val="0"/>
        <w:spacing w:line="578" w:lineRule="exact"/>
        <w:ind w:firstLine="640" w:firstLineChars="200"/>
        <w:rPr>
          <w:rFonts w:ascii="Times New Roman" w:hAnsi="Times New Roman" w:eastAsia="方正仿宋简体"/>
          <w:sz w:val="32"/>
          <w:szCs w:val="32"/>
        </w:rPr>
      </w:pP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意向竞价人：（签章）         </w:t>
      </w: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联系电话：                    </w:t>
      </w:r>
    </w:p>
    <w:p>
      <w:pPr>
        <w:wordWrap w:val="0"/>
        <w:spacing w:line="578" w:lineRule="exact"/>
        <w:ind w:firstLine="640" w:firstLineChars="200"/>
        <w:rPr>
          <w:rFonts w:ascii="Times New Roman" w:hAnsi="Times New Roman" w:eastAsia="方正仿宋简体"/>
          <w:sz w:val="32"/>
          <w:szCs w:val="32"/>
        </w:rPr>
      </w:pPr>
    </w:p>
    <w:p>
      <w:pPr>
        <w:wordWrap w:val="0"/>
        <w:spacing w:line="578"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 xml:space="preserve">                                            年   月   日    </w:t>
      </w:r>
    </w:p>
    <w:p>
      <w:pPr>
        <w:pStyle w:val="8"/>
        <w:widowControl w:val="0"/>
        <w:wordWrap w:val="0"/>
        <w:snapToGrid w:val="0"/>
        <w:spacing w:beforeAutospacing="0" w:afterAutospacing="0" w:line="578" w:lineRule="atLeast"/>
        <w:jc w:val="both"/>
        <w:rPr>
          <w:rFonts w:ascii="Times New Roman" w:hAnsi="Times New Roman" w:cs="Times New Roman"/>
          <w:sz w:val="32"/>
          <w:szCs w:val="32"/>
        </w:rPr>
      </w:pPr>
      <w:r>
        <w:rPr>
          <w:rFonts w:ascii="Times New Roman" w:hAnsi="Times New Roman" w:eastAsia="黑体" w:cs="Times New Roman"/>
          <w:color w:val="333333"/>
          <w:sz w:val="32"/>
          <w:szCs w:val="32"/>
        </w:rPr>
        <w:t>附件2</w:t>
      </w:r>
      <w:r>
        <w:rPr>
          <w:rFonts w:ascii="Times New Roman" w:hAnsi="Times New Roman" w:eastAsia="微软雅黑" w:cs="Times New Roman"/>
          <w:color w:val="333333"/>
          <w:sz w:val="32"/>
          <w:szCs w:val="32"/>
        </w:rPr>
        <w:t> </w:t>
      </w:r>
    </w:p>
    <w:p>
      <w:pPr>
        <w:pStyle w:val="8"/>
        <w:widowControl w:val="0"/>
        <w:shd w:val="clear" w:color="auto" w:fill="FFFFFF"/>
        <w:wordWrap w:val="0"/>
        <w:snapToGrid w:val="0"/>
        <w:spacing w:beforeAutospacing="0" w:afterAutospacing="0" w:line="480" w:lineRule="atLeast"/>
        <w:jc w:val="center"/>
        <w:rPr>
          <w:rFonts w:ascii="Times New Roman" w:hAnsi="Times New Roman" w:eastAsia="方正小标宋简体" w:cs="Times New Roman"/>
          <w:color w:val="000000"/>
          <w:spacing w:val="-5"/>
          <w:sz w:val="44"/>
          <w:szCs w:val="44"/>
          <w:shd w:val="clear" w:color="auto" w:fill="FFFFFF"/>
        </w:rPr>
      </w:pPr>
    </w:p>
    <w:p>
      <w:pPr>
        <w:pStyle w:val="8"/>
        <w:widowControl w:val="0"/>
        <w:shd w:val="clear" w:color="auto" w:fill="FFFFFF"/>
        <w:wordWrap w:val="0"/>
        <w:snapToGrid w:val="0"/>
        <w:spacing w:beforeAutospacing="0" w:afterAutospacing="0" w:line="480" w:lineRule="atLeast"/>
        <w:jc w:val="center"/>
        <w:rPr>
          <w:rFonts w:ascii="Times New Roman" w:hAnsi="Times New Roman" w:cs="Times New Roman"/>
        </w:rPr>
      </w:pPr>
      <w:r>
        <w:rPr>
          <w:rFonts w:ascii="Times New Roman" w:hAnsi="Times New Roman" w:eastAsia="方正小标宋简体" w:cs="Times New Roman"/>
          <w:color w:val="000000"/>
          <w:spacing w:val="-5"/>
          <w:sz w:val="44"/>
          <w:szCs w:val="44"/>
          <w:shd w:val="clear" w:color="auto" w:fill="FFFFFF"/>
        </w:rPr>
        <w:t>授 权 委 托 书</w:t>
      </w:r>
    </w:p>
    <w:p>
      <w:pPr>
        <w:pStyle w:val="8"/>
        <w:widowControl w:val="0"/>
        <w:shd w:val="clear" w:color="auto" w:fill="FFFFFF"/>
        <w:wordWrap w:val="0"/>
        <w:snapToGrid w:val="0"/>
        <w:spacing w:beforeAutospacing="0" w:afterAutospacing="0" w:line="480" w:lineRule="atLeast"/>
        <w:jc w:val="center"/>
        <w:rPr>
          <w:rFonts w:ascii="Times New Roman" w:hAnsi="Times New Roman" w:cs="Times New Roman"/>
        </w:rPr>
      </w:pPr>
      <w:r>
        <w:rPr>
          <w:rFonts w:ascii="Times New Roman" w:hAnsi="Times New Roman" w:eastAsia="方正小标宋简体" w:cs="Times New Roman"/>
          <w:color w:val="333333"/>
          <w:sz w:val="44"/>
          <w:szCs w:val="44"/>
          <w:shd w:val="clear" w:color="auto" w:fill="FFFFFF"/>
        </w:rPr>
        <w:t> </w:t>
      </w:r>
    </w:p>
    <w:p>
      <w:pPr>
        <w:pStyle w:val="8"/>
        <w:widowControl w:val="0"/>
        <w:shd w:val="clear" w:color="auto" w:fill="FFFFFF"/>
        <w:wordWrap w:val="0"/>
        <w:snapToGrid w:val="0"/>
        <w:spacing w:beforeAutospacing="0" w:afterAutospacing="0" w:line="480" w:lineRule="atLeast"/>
        <w:rPr>
          <w:rFonts w:ascii="Times New Roman" w:hAnsi="Times New Roman" w:cs="Times New Roman"/>
        </w:rPr>
      </w:pP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 xml:space="preserve">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本授权声明：</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（意向竞价人名称）</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（法定代表人（负责人）姓名、职务）授权</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（被授权人姓名、职务）为我方</w:t>
      </w:r>
      <w:r>
        <w:rPr>
          <w:rFonts w:ascii="Times New Roman" w:hAnsi="Times New Roman" w:cs="Times New Roman"/>
          <w:color w:val="000000"/>
          <w:sz w:val="28"/>
          <w:szCs w:val="28"/>
          <w:shd w:val="clear" w:color="auto" w:fill="FFFFFF"/>
        </w:rPr>
        <w:t> </w:t>
      </w:r>
      <w:r>
        <w:rPr>
          <w:rFonts w:ascii="Times New Roman" w:hAnsi="Times New Roman" w:eastAsia="仿宋"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shd w:val="clear" w:color="auto" w:fill="FFFFFF"/>
        </w:rPr>
        <w:t>” 项目中的资产电子竞价的合法代表，以我方名义全权处理该项目有关电子竞价、签订成交确认书、合同以及执行合同等一切事宜。</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特此声明。</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法定代表人（负责人）</w:t>
      </w:r>
      <w:r>
        <w:rPr>
          <w:rFonts w:ascii="Times New Roman" w:hAnsi="Times New Roman" w:eastAsia="仿宋" w:cs="Times New Roman"/>
          <w:color w:val="000000"/>
          <w:sz w:val="28"/>
          <w:szCs w:val="28"/>
          <w:u w:val="single"/>
          <w:shd w:val="clear" w:color="auto" w:fill="FFFFFF"/>
        </w:rPr>
        <w:t>：</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（签章）</w:t>
      </w:r>
      <w:r>
        <w:rPr>
          <w:rFonts w:ascii="Times New Roman" w:hAnsi="Times New Roman" w:cs="Times New Roman"/>
          <w:color w:val="000000"/>
          <w:sz w:val="28"/>
          <w:szCs w:val="28"/>
          <w:u w:val="single"/>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eastAsia="仿宋" w:cs="Times New Roman"/>
          <w:color w:val="000000"/>
          <w:sz w:val="28"/>
          <w:szCs w:val="28"/>
          <w:shd w:val="clear" w:color="auto" w:fill="FFFFFF"/>
        </w:rPr>
        <w:t>授权代表：</w:t>
      </w:r>
      <w:r>
        <w:rPr>
          <w:rFonts w:ascii="Times New Roman" w:hAnsi="Times New Roman" w:cs="Times New Roman"/>
          <w:color w:val="000000"/>
          <w:sz w:val="28"/>
          <w:szCs w:val="28"/>
          <w:u w:val="single"/>
          <w:shd w:val="clear" w:color="auto" w:fill="FFFFFF"/>
        </w:rPr>
        <w:t>     </w:t>
      </w:r>
      <w:r>
        <w:rPr>
          <w:rFonts w:ascii="Times New Roman" w:hAnsi="Times New Roman" w:eastAsia="仿宋" w:cs="Times New Roman"/>
          <w:color w:val="000000"/>
          <w:sz w:val="28"/>
          <w:szCs w:val="28"/>
          <w:u w:val="single"/>
          <w:shd w:val="clear" w:color="auto" w:fill="FFFFFF"/>
        </w:rPr>
        <w:t>（签章）</w:t>
      </w:r>
      <w:r>
        <w:rPr>
          <w:rFonts w:ascii="Times New Roman" w:hAnsi="Times New Roman" w:cs="Times New Roman"/>
          <w:color w:val="000000"/>
          <w:sz w:val="28"/>
          <w:szCs w:val="28"/>
          <w:u w:val="single"/>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480"/>
        <w:rPr>
          <w:rFonts w:ascii="Times New Roman" w:hAnsi="Times New Roman" w:cs="Times New Roman"/>
        </w:rPr>
      </w:pPr>
      <w:r>
        <w:rPr>
          <w:rFonts w:ascii="Times New Roman" w:hAnsi="Times New Roman" w:cs="Times New Roman"/>
          <w:color w:val="000000"/>
          <w:sz w:val="28"/>
          <w:szCs w:val="28"/>
          <w:shd w:val="clear" w:color="auto" w:fill="FFFFFF"/>
        </w:rPr>
        <w:t> </w:t>
      </w:r>
    </w:p>
    <w:p>
      <w:pPr>
        <w:pStyle w:val="8"/>
        <w:widowControl w:val="0"/>
        <w:shd w:val="clear" w:color="auto" w:fill="FFFFFF"/>
        <w:wordWrap w:val="0"/>
        <w:snapToGrid w:val="0"/>
        <w:spacing w:beforeAutospacing="0" w:afterAutospacing="0" w:line="480" w:lineRule="atLeast"/>
        <w:ind w:firstLine="1920"/>
        <w:rPr>
          <w:rFonts w:ascii="Times New Roman" w:hAnsi="Times New Roman" w:eastAsia="仿宋" w:cs="Times New Roman"/>
          <w:color w:val="000000"/>
          <w:sz w:val="28"/>
          <w:szCs w:val="28"/>
          <w:shd w:val="clear" w:color="auto" w:fill="FFFFFF"/>
        </w:rPr>
      </w:pPr>
      <w:r>
        <w:rPr>
          <w:rFonts w:ascii="Times New Roman" w:hAnsi="Times New Roman" w:eastAsia="仿宋" w:cs="Times New Roman"/>
          <w:color w:val="000000"/>
          <w:sz w:val="28"/>
          <w:szCs w:val="28"/>
          <w:shd w:val="clear" w:color="auto" w:fill="FFFFFF"/>
        </w:rPr>
        <w:t>         日</w:t>
      </w:r>
      <w:r>
        <w:rPr>
          <w:rFonts w:ascii="Times New Roman" w:hAnsi="Times New Roman" w:cs="Times New Roman"/>
          <w:color w:val="000000"/>
          <w:sz w:val="28"/>
          <w:szCs w:val="28"/>
          <w:shd w:val="clear" w:color="auto" w:fill="FFFFFF"/>
        </w:rPr>
        <w:t>  </w:t>
      </w:r>
      <w:r>
        <w:rPr>
          <w:rFonts w:ascii="Times New Roman" w:hAnsi="Times New Roman" w:eastAsia="仿宋" w:cs="Times New Roman"/>
          <w:color w:val="000000"/>
          <w:sz w:val="28"/>
          <w:szCs w:val="28"/>
          <w:shd w:val="clear" w:color="auto" w:fill="FFFFFF"/>
        </w:rPr>
        <w:t>期：    年   月   日</w:t>
      </w:r>
      <w:bookmarkEnd w:id="2"/>
      <w:bookmarkEnd w:id="3"/>
      <w:bookmarkEnd w:id="4"/>
      <w:bookmarkEnd w:id="5"/>
      <w:bookmarkEnd w:id="6"/>
      <w:bookmarkEnd w:id="7"/>
      <w:bookmarkEnd w:id="8"/>
      <w:bookmarkEnd w:id="9"/>
      <w:bookmarkEnd w:id="10"/>
      <w:bookmarkEnd w:id="11"/>
    </w:p>
    <w:p>
      <w:pPr>
        <w:rPr>
          <w:rFonts w:ascii="Times New Roman" w:hAnsi="Times New Roman" w:eastAsia="仿宋"/>
          <w:color w:val="000000"/>
          <w:sz w:val="28"/>
          <w:szCs w:val="28"/>
          <w:shd w:val="clear" w:color="auto" w:fill="FFFFFF"/>
        </w:rPr>
      </w:pPr>
      <w:r>
        <w:rPr>
          <w:rFonts w:ascii="Times New Roman" w:hAnsi="Times New Roman" w:eastAsia="仿宋"/>
          <w:color w:val="000000"/>
          <w:sz w:val="28"/>
          <w:szCs w:val="28"/>
          <w:shd w:val="clear" w:color="auto" w:fill="FFFFFF"/>
        </w:rPr>
        <w:br w:type="page"/>
      </w:r>
    </w:p>
    <w:p>
      <w:pPr>
        <w:rPr>
          <w:rFonts w:ascii="Times New Roman" w:hAnsi="Times New Roman" w:eastAsia="方正黑体简体"/>
          <w:sz w:val="32"/>
          <w:szCs w:val="32"/>
        </w:rPr>
      </w:pPr>
      <w:r>
        <w:rPr>
          <w:rFonts w:ascii="Times New Roman" w:hAnsi="Times New Roman" w:eastAsia="方正黑体简体"/>
          <w:sz w:val="32"/>
          <w:szCs w:val="32"/>
        </w:rPr>
        <w:t>附件3</w:t>
      </w:r>
    </w:p>
    <w:p>
      <w:pPr>
        <w:spacing w:line="500" w:lineRule="exact"/>
        <w:jc w:val="center"/>
        <w:rPr>
          <w:rFonts w:ascii="仿宋" w:hAnsi="仿宋" w:eastAsia="仿宋"/>
          <w:b/>
          <w:sz w:val="32"/>
          <w:szCs w:val="32"/>
        </w:rPr>
      </w:pPr>
      <w:r>
        <w:rPr>
          <w:rFonts w:hint="eastAsia" w:ascii="仿宋" w:hAnsi="仿宋" w:eastAsia="仿宋"/>
          <w:b/>
          <w:sz w:val="32"/>
          <w:szCs w:val="32"/>
        </w:rPr>
        <w:t>达州市审计局报废资产处置合同</w:t>
      </w:r>
    </w:p>
    <w:p>
      <w:pPr>
        <w:spacing w:line="500" w:lineRule="exact"/>
        <w:jc w:val="center"/>
        <w:rPr>
          <w:rFonts w:ascii="仿宋" w:hAnsi="仿宋" w:eastAsia="仿宋"/>
          <w:b/>
          <w:sz w:val="32"/>
          <w:szCs w:val="32"/>
        </w:rPr>
      </w:pPr>
    </w:p>
    <w:p>
      <w:pPr>
        <w:spacing w:line="500" w:lineRule="exact"/>
        <w:jc w:val="left"/>
        <w:rPr>
          <w:rFonts w:ascii="仿宋" w:hAnsi="仿宋" w:eastAsia="仿宋"/>
          <w:b/>
          <w:sz w:val="32"/>
          <w:szCs w:val="32"/>
        </w:rPr>
      </w:pPr>
      <w:r>
        <w:rPr>
          <w:rFonts w:hint="eastAsia" w:ascii="仿宋" w:hAnsi="仿宋" w:eastAsia="仿宋"/>
          <w:b/>
          <w:sz w:val="32"/>
          <w:szCs w:val="32"/>
        </w:rPr>
        <w:t>甲方：达州市审计局</w:t>
      </w:r>
    </w:p>
    <w:p>
      <w:pPr>
        <w:spacing w:line="500" w:lineRule="exact"/>
        <w:jc w:val="left"/>
        <w:rPr>
          <w:rFonts w:ascii="仿宋" w:hAnsi="仿宋" w:eastAsia="仿宋"/>
          <w:b/>
          <w:sz w:val="32"/>
          <w:szCs w:val="32"/>
        </w:rPr>
      </w:pPr>
      <w:r>
        <w:rPr>
          <w:rFonts w:hint="eastAsia" w:ascii="仿宋" w:hAnsi="仿宋" w:eastAsia="仿宋"/>
          <w:b/>
          <w:sz w:val="32"/>
          <w:szCs w:val="32"/>
        </w:rPr>
        <w:t>乙方：</w:t>
      </w:r>
    </w:p>
    <w:p>
      <w:pPr>
        <w:spacing w:line="500" w:lineRule="exact"/>
        <w:jc w:val="left"/>
        <w:rPr>
          <w:rFonts w:ascii="仿宋" w:hAnsi="仿宋" w:eastAsia="仿宋"/>
          <w:sz w:val="32"/>
          <w:szCs w:val="32"/>
        </w:rPr>
      </w:pPr>
      <w:r>
        <w:rPr>
          <w:rFonts w:hint="eastAsia" w:ascii="仿宋" w:hAnsi="仿宋" w:eastAsia="仿宋"/>
          <w:b/>
          <w:sz w:val="32"/>
          <w:szCs w:val="32"/>
        </w:rPr>
        <w:t xml:space="preserve">  </w:t>
      </w:r>
      <w:r>
        <w:rPr>
          <w:rFonts w:hint="eastAsia" w:ascii="仿宋" w:hAnsi="仿宋" w:eastAsia="仿宋"/>
          <w:sz w:val="32"/>
          <w:szCs w:val="32"/>
        </w:rPr>
        <w:t xml:space="preserve"> 按照《中华人民共和国合同法</w:t>
      </w:r>
      <w:bookmarkStart w:id="12" w:name="_GoBack"/>
      <w:bookmarkEnd w:id="12"/>
      <w:r>
        <w:rPr>
          <w:rFonts w:hint="eastAsia" w:ascii="仿宋" w:hAnsi="仿宋" w:eastAsia="仿宋"/>
          <w:sz w:val="32"/>
          <w:szCs w:val="32"/>
        </w:rPr>
        <w:t>》有关规定，根据2023年3月 日公开竞价结果，甲、乙双方按照平等互利的原则，就乙方向甲方采购国有资产报废一事，双方协商一致同意签订本合同。具体内容如下：</w:t>
      </w:r>
    </w:p>
    <w:p>
      <w:pPr>
        <w:spacing w:line="500" w:lineRule="exact"/>
        <w:ind w:firstLine="630" w:firstLineChars="196"/>
        <w:jc w:val="left"/>
        <w:rPr>
          <w:rFonts w:ascii="仿宋" w:hAnsi="仿宋" w:eastAsia="仿宋"/>
          <w:sz w:val="32"/>
          <w:szCs w:val="32"/>
        </w:rPr>
      </w:pPr>
      <w:r>
        <w:rPr>
          <w:rFonts w:hint="eastAsia" w:ascii="仿宋" w:hAnsi="仿宋" w:eastAsia="仿宋"/>
          <w:b/>
          <w:sz w:val="32"/>
          <w:szCs w:val="32"/>
        </w:rPr>
        <w:t>一、处置资产：</w:t>
      </w:r>
      <w:r>
        <w:rPr>
          <w:rFonts w:hint="eastAsia" w:ascii="仿宋" w:hAnsi="仿宋" w:eastAsia="仿宋"/>
          <w:sz w:val="32"/>
          <w:szCs w:val="32"/>
        </w:rPr>
        <w:t>详见合同附件《达州市财政局关于达州市审计局固定资产报废处置的通知》达市财资产</w:t>
      </w:r>
      <w:r>
        <w:rPr>
          <w:rFonts w:hint="eastAsia" w:ascii="仿宋" w:hAnsi="仿宋" w:eastAsia="仿宋" w:cs="宋体"/>
          <w:sz w:val="32"/>
          <w:szCs w:val="32"/>
        </w:rPr>
        <w:t>﹝</w:t>
      </w:r>
      <w:r>
        <w:rPr>
          <w:rFonts w:hint="eastAsia" w:ascii="仿宋" w:hAnsi="仿宋" w:eastAsia="仿宋"/>
          <w:sz w:val="32"/>
          <w:szCs w:val="32"/>
        </w:rPr>
        <w:t>2023</w:t>
      </w:r>
      <w:r>
        <w:rPr>
          <w:rFonts w:hint="eastAsia" w:ascii="仿宋" w:hAnsi="仿宋" w:eastAsia="仿宋" w:cs="宋体"/>
          <w:sz w:val="32"/>
          <w:szCs w:val="32"/>
        </w:rPr>
        <w:t>﹞</w:t>
      </w:r>
      <w:r>
        <w:rPr>
          <w:rFonts w:hint="eastAsia" w:ascii="仿宋" w:hAnsi="仿宋" w:eastAsia="仿宋"/>
          <w:sz w:val="32"/>
          <w:szCs w:val="32"/>
        </w:rPr>
        <w:t>116号。</w:t>
      </w:r>
    </w:p>
    <w:p>
      <w:pPr>
        <w:spacing w:line="500" w:lineRule="exact"/>
        <w:ind w:firstLine="630" w:firstLineChars="196"/>
        <w:jc w:val="left"/>
        <w:rPr>
          <w:rFonts w:ascii="仿宋" w:hAnsi="仿宋" w:eastAsia="仿宋"/>
          <w:sz w:val="32"/>
          <w:szCs w:val="32"/>
        </w:rPr>
      </w:pPr>
      <w:r>
        <w:rPr>
          <w:rFonts w:hint="eastAsia" w:ascii="仿宋" w:hAnsi="仿宋" w:eastAsia="仿宋"/>
          <w:b/>
          <w:sz w:val="32"/>
          <w:szCs w:val="32"/>
        </w:rPr>
        <w:t>二、合同价款：</w:t>
      </w:r>
      <w:r>
        <w:rPr>
          <w:rFonts w:hint="eastAsia" w:ascii="仿宋" w:hAnsi="仿宋" w:eastAsia="仿宋"/>
          <w:sz w:val="32"/>
          <w:szCs w:val="32"/>
        </w:rPr>
        <w:t>甲方本合同一条范围内的报废固定资产作价    元（大写）人民币，乙方必须支付全部价款后才可搬运处置报废资产。</w:t>
      </w:r>
    </w:p>
    <w:p>
      <w:pPr>
        <w:spacing w:line="500" w:lineRule="exact"/>
        <w:ind w:firstLine="630" w:firstLineChars="196"/>
        <w:jc w:val="left"/>
        <w:rPr>
          <w:rFonts w:ascii="仿宋" w:hAnsi="仿宋" w:eastAsia="仿宋"/>
          <w:sz w:val="32"/>
          <w:szCs w:val="32"/>
        </w:rPr>
      </w:pPr>
      <w:r>
        <w:rPr>
          <w:rFonts w:hint="eastAsia" w:ascii="仿宋" w:hAnsi="仿宋" w:eastAsia="仿宋"/>
          <w:b/>
          <w:sz w:val="32"/>
          <w:szCs w:val="32"/>
        </w:rPr>
        <w:t>三、合同变更方式：</w:t>
      </w:r>
      <w:r>
        <w:rPr>
          <w:rFonts w:hint="eastAsia" w:ascii="仿宋" w:hAnsi="仿宋" w:eastAsia="仿宋"/>
          <w:sz w:val="32"/>
          <w:szCs w:val="32"/>
        </w:rPr>
        <w:t>经甲、乙双方同意，可以就本合同部分内容进行变更。</w:t>
      </w:r>
    </w:p>
    <w:p>
      <w:pPr>
        <w:spacing w:line="500" w:lineRule="exact"/>
        <w:ind w:firstLine="630" w:firstLineChars="196"/>
        <w:jc w:val="left"/>
        <w:rPr>
          <w:rFonts w:ascii="仿宋" w:hAnsi="仿宋" w:eastAsia="仿宋"/>
          <w:b/>
          <w:sz w:val="32"/>
          <w:szCs w:val="32"/>
        </w:rPr>
      </w:pPr>
      <w:r>
        <w:rPr>
          <w:rFonts w:hint="eastAsia" w:ascii="仿宋" w:hAnsi="仿宋" w:eastAsia="仿宋"/>
          <w:b/>
          <w:sz w:val="32"/>
          <w:szCs w:val="32"/>
        </w:rPr>
        <w:t>四、违约责任及争议解决：</w:t>
      </w:r>
      <w:r>
        <w:rPr>
          <w:rFonts w:hint="eastAsia" w:ascii="仿宋" w:hAnsi="仿宋" w:eastAsia="仿宋"/>
          <w:sz w:val="32"/>
          <w:szCs w:val="32"/>
        </w:rPr>
        <w:t>按《合同法》有关规定执行。</w:t>
      </w:r>
    </w:p>
    <w:p>
      <w:pPr>
        <w:spacing w:line="500" w:lineRule="exact"/>
        <w:ind w:firstLine="630" w:firstLineChars="196"/>
        <w:jc w:val="left"/>
        <w:rPr>
          <w:rFonts w:ascii="仿宋" w:hAnsi="仿宋" w:eastAsia="仿宋"/>
          <w:b/>
          <w:sz w:val="32"/>
          <w:szCs w:val="32"/>
        </w:rPr>
      </w:pPr>
      <w:r>
        <w:rPr>
          <w:rFonts w:hint="eastAsia" w:ascii="仿宋" w:hAnsi="仿宋" w:eastAsia="仿宋"/>
          <w:b/>
          <w:sz w:val="32"/>
          <w:szCs w:val="32"/>
        </w:rPr>
        <w:t>五、其他约定事项：</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1、本批次全部报废资产的搬运、运输及后续处置等费用由乙方自行承担。</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2、本合同未尽事宜，应由甲、乙双方协商后以书面形生效。</w:t>
      </w:r>
    </w:p>
    <w:p>
      <w:pPr>
        <w:spacing w:line="500" w:lineRule="exact"/>
        <w:ind w:firstLine="630" w:firstLineChars="196"/>
        <w:jc w:val="left"/>
        <w:rPr>
          <w:rFonts w:ascii="仿宋" w:hAnsi="仿宋" w:eastAsia="仿宋"/>
          <w:b/>
          <w:sz w:val="32"/>
          <w:szCs w:val="32"/>
        </w:rPr>
      </w:pPr>
      <w:r>
        <w:rPr>
          <w:rFonts w:hint="eastAsia" w:ascii="仿宋" w:hAnsi="仿宋" w:eastAsia="仿宋"/>
          <w:b/>
          <w:sz w:val="32"/>
          <w:szCs w:val="32"/>
        </w:rPr>
        <w:t>六、本合同经甲、乙双方单位及法定代表人或委托代理人签章后即行生效，本合同一式两份，甲乙双方各执一份，具同等法律效力。</w:t>
      </w:r>
    </w:p>
    <w:p>
      <w:pPr>
        <w:spacing w:line="500" w:lineRule="exact"/>
        <w:jc w:val="left"/>
        <w:rPr>
          <w:rFonts w:ascii="仿宋" w:hAnsi="仿宋" w:eastAsia="仿宋"/>
          <w:b/>
          <w:sz w:val="32"/>
          <w:szCs w:val="32"/>
        </w:rPr>
      </w:pPr>
    </w:p>
    <w:p>
      <w:pPr>
        <w:spacing w:line="500" w:lineRule="exact"/>
        <w:jc w:val="left"/>
        <w:rPr>
          <w:rFonts w:ascii="仿宋" w:hAnsi="仿宋" w:eastAsia="仿宋"/>
          <w:b/>
          <w:sz w:val="32"/>
          <w:szCs w:val="32"/>
        </w:rPr>
      </w:pPr>
    </w:p>
    <w:p>
      <w:pPr>
        <w:spacing w:line="800" w:lineRule="exact"/>
        <w:ind w:firstLine="640" w:firstLineChars="200"/>
        <w:jc w:val="left"/>
        <w:rPr>
          <w:rFonts w:ascii="仿宋" w:hAnsi="仿宋" w:eastAsia="仿宋"/>
          <w:sz w:val="32"/>
          <w:szCs w:val="32"/>
        </w:rPr>
      </w:pPr>
      <w:r>
        <w:rPr>
          <w:rFonts w:hint="eastAsia" w:ascii="仿宋" w:hAnsi="仿宋" w:eastAsia="仿宋"/>
          <w:sz w:val="32"/>
          <w:szCs w:val="32"/>
        </w:rPr>
        <w:t>甲方名称：                  乙方名称：</w:t>
      </w:r>
    </w:p>
    <w:p>
      <w:pPr>
        <w:spacing w:line="800" w:lineRule="exact"/>
        <w:ind w:firstLine="640" w:firstLineChars="200"/>
        <w:jc w:val="left"/>
        <w:rPr>
          <w:rFonts w:ascii="仿宋" w:hAnsi="仿宋" w:eastAsia="仿宋"/>
          <w:sz w:val="32"/>
          <w:szCs w:val="32"/>
        </w:rPr>
      </w:pPr>
      <w:r>
        <w:rPr>
          <w:rFonts w:hint="eastAsia" w:ascii="仿宋" w:hAnsi="仿宋" w:eastAsia="仿宋"/>
          <w:sz w:val="32"/>
          <w:szCs w:val="32"/>
        </w:rPr>
        <w:t>法定代表人：                法定代表人：</w:t>
      </w:r>
    </w:p>
    <w:p>
      <w:pPr>
        <w:spacing w:line="800" w:lineRule="exact"/>
        <w:ind w:firstLine="640" w:firstLineChars="200"/>
        <w:jc w:val="left"/>
        <w:rPr>
          <w:rFonts w:ascii="仿宋" w:hAnsi="仿宋" w:eastAsia="仿宋"/>
          <w:sz w:val="32"/>
          <w:szCs w:val="32"/>
        </w:rPr>
      </w:pPr>
      <w:r>
        <w:rPr>
          <w:rFonts w:hint="eastAsia" w:ascii="仿宋" w:hAnsi="仿宋" w:eastAsia="仿宋"/>
          <w:sz w:val="32"/>
          <w:szCs w:val="32"/>
        </w:rPr>
        <w:t>签定时间：                  签定时间：</w:t>
      </w:r>
    </w:p>
    <w:p>
      <w:pPr>
        <w:pStyle w:val="2"/>
        <w:rPr>
          <w:rFonts w:ascii="仿宋" w:hAnsi="仿宋" w:eastAsia="仿宋"/>
          <w:sz w:val="32"/>
          <w:szCs w:val="32"/>
        </w:rPr>
      </w:pPr>
    </w:p>
    <w:p>
      <w:pPr>
        <w:rPr>
          <w:rFonts w:ascii="仿宋" w:hAnsi="仿宋" w:eastAsia="仿宋"/>
          <w:sz w:val="32"/>
          <w:szCs w:val="32"/>
        </w:rPr>
      </w:pPr>
    </w:p>
    <w:sectPr>
      <w:footerReference r:id="rId3" w:type="default"/>
      <w:pgSz w:w="11906" w:h="16838"/>
      <w:pgMar w:top="2098" w:right="1474" w:bottom="1985" w:left="1588" w:header="851" w:footer="140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v:fill on="f" focussize="0,0"/>
              <v:stroke on="f"/>
              <v:imagedata o:title=""/>
              <o:lock v:ext="edit" aspectratio="f"/>
              <v:textbox inset="0mm,0mm,0mm,0mm" style="mso-fit-shape-to-text:t;">
                <w:txbxContent>
                  <w:p>
                    <w:pPr>
                      <w:pStyle w:val="6"/>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WUzOTliOTg3MDUyZmUyMjI2M2E0Y2YyZjg0MDIifQ=="/>
  </w:docVars>
  <w:rsids>
    <w:rsidRoot w:val="3E4F00B8"/>
    <w:rsid w:val="000507B0"/>
    <w:rsid w:val="00064173"/>
    <w:rsid w:val="000B3401"/>
    <w:rsid w:val="000C4578"/>
    <w:rsid w:val="000F19BA"/>
    <w:rsid w:val="000F38CD"/>
    <w:rsid w:val="00111652"/>
    <w:rsid w:val="0015269D"/>
    <w:rsid w:val="00156BC3"/>
    <w:rsid w:val="00162A51"/>
    <w:rsid w:val="001668B4"/>
    <w:rsid w:val="00171166"/>
    <w:rsid w:val="00173832"/>
    <w:rsid w:val="00180C60"/>
    <w:rsid w:val="0018299B"/>
    <w:rsid w:val="00183A4D"/>
    <w:rsid w:val="001A1519"/>
    <w:rsid w:val="001F15AE"/>
    <w:rsid w:val="001F41FB"/>
    <w:rsid w:val="001F4B95"/>
    <w:rsid w:val="001F50E2"/>
    <w:rsid w:val="0025060C"/>
    <w:rsid w:val="002750DF"/>
    <w:rsid w:val="0028548B"/>
    <w:rsid w:val="00293B96"/>
    <w:rsid w:val="002A427D"/>
    <w:rsid w:val="002B5113"/>
    <w:rsid w:val="002B616F"/>
    <w:rsid w:val="00331879"/>
    <w:rsid w:val="00367CA7"/>
    <w:rsid w:val="00463D90"/>
    <w:rsid w:val="00466145"/>
    <w:rsid w:val="004D02CD"/>
    <w:rsid w:val="004E0762"/>
    <w:rsid w:val="00506E91"/>
    <w:rsid w:val="00506F73"/>
    <w:rsid w:val="005A083F"/>
    <w:rsid w:val="005C183C"/>
    <w:rsid w:val="005D03FC"/>
    <w:rsid w:val="00607ADE"/>
    <w:rsid w:val="00621C02"/>
    <w:rsid w:val="0062413E"/>
    <w:rsid w:val="00631C42"/>
    <w:rsid w:val="006441CA"/>
    <w:rsid w:val="00647409"/>
    <w:rsid w:val="00652CA4"/>
    <w:rsid w:val="00695710"/>
    <w:rsid w:val="006B6C6E"/>
    <w:rsid w:val="00734706"/>
    <w:rsid w:val="00741D2A"/>
    <w:rsid w:val="007778CB"/>
    <w:rsid w:val="007B0D8E"/>
    <w:rsid w:val="007C4F05"/>
    <w:rsid w:val="00830E36"/>
    <w:rsid w:val="00943EC7"/>
    <w:rsid w:val="00953C64"/>
    <w:rsid w:val="00956E1C"/>
    <w:rsid w:val="009630D3"/>
    <w:rsid w:val="009D3E13"/>
    <w:rsid w:val="009F04F1"/>
    <w:rsid w:val="00A3507B"/>
    <w:rsid w:val="00A35EBA"/>
    <w:rsid w:val="00A551C3"/>
    <w:rsid w:val="00A84187"/>
    <w:rsid w:val="00AA2392"/>
    <w:rsid w:val="00AF7351"/>
    <w:rsid w:val="00B0676D"/>
    <w:rsid w:val="00B51202"/>
    <w:rsid w:val="00B6118A"/>
    <w:rsid w:val="00B64F56"/>
    <w:rsid w:val="00BB495D"/>
    <w:rsid w:val="00BC3800"/>
    <w:rsid w:val="00BD4555"/>
    <w:rsid w:val="00BE22EA"/>
    <w:rsid w:val="00BE5570"/>
    <w:rsid w:val="00C06823"/>
    <w:rsid w:val="00C23CAA"/>
    <w:rsid w:val="00C24855"/>
    <w:rsid w:val="00C54C99"/>
    <w:rsid w:val="00C6390F"/>
    <w:rsid w:val="00CB2947"/>
    <w:rsid w:val="00CD069A"/>
    <w:rsid w:val="00CD3D16"/>
    <w:rsid w:val="00D22202"/>
    <w:rsid w:val="00D419BF"/>
    <w:rsid w:val="00D45563"/>
    <w:rsid w:val="00D65EB4"/>
    <w:rsid w:val="00D6603C"/>
    <w:rsid w:val="00D950B9"/>
    <w:rsid w:val="00DC7970"/>
    <w:rsid w:val="00DD5005"/>
    <w:rsid w:val="00DF1A55"/>
    <w:rsid w:val="00DF25A9"/>
    <w:rsid w:val="00E1077D"/>
    <w:rsid w:val="00E35D81"/>
    <w:rsid w:val="00E4181B"/>
    <w:rsid w:val="00E6025A"/>
    <w:rsid w:val="00EA5C0B"/>
    <w:rsid w:val="00ED3BD8"/>
    <w:rsid w:val="00F33A5C"/>
    <w:rsid w:val="00F54D2E"/>
    <w:rsid w:val="00F601E6"/>
    <w:rsid w:val="00F921BA"/>
    <w:rsid w:val="00F932C8"/>
    <w:rsid w:val="00FC35BF"/>
    <w:rsid w:val="019F33EB"/>
    <w:rsid w:val="02A0574E"/>
    <w:rsid w:val="06977CA7"/>
    <w:rsid w:val="074455BF"/>
    <w:rsid w:val="08825F6E"/>
    <w:rsid w:val="09442D1E"/>
    <w:rsid w:val="15E57CA6"/>
    <w:rsid w:val="17DC1BFC"/>
    <w:rsid w:val="19055226"/>
    <w:rsid w:val="1981616C"/>
    <w:rsid w:val="1CD04BA2"/>
    <w:rsid w:val="1E0F36AA"/>
    <w:rsid w:val="1E500645"/>
    <w:rsid w:val="1EA07420"/>
    <w:rsid w:val="20440674"/>
    <w:rsid w:val="20AF7162"/>
    <w:rsid w:val="23416FBC"/>
    <w:rsid w:val="234E498E"/>
    <w:rsid w:val="246C1C9B"/>
    <w:rsid w:val="29392D80"/>
    <w:rsid w:val="2AEC1510"/>
    <w:rsid w:val="2CCB7085"/>
    <w:rsid w:val="2E221CCA"/>
    <w:rsid w:val="31F96BB9"/>
    <w:rsid w:val="32E6563C"/>
    <w:rsid w:val="344649FF"/>
    <w:rsid w:val="373C784D"/>
    <w:rsid w:val="38915C68"/>
    <w:rsid w:val="38F72A1F"/>
    <w:rsid w:val="3BA90FC1"/>
    <w:rsid w:val="3CCB2182"/>
    <w:rsid w:val="3E4F00B8"/>
    <w:rsid w:val="413C57C4"/>
    <w:rsid w:val="41AA2E44"/>
    <w:rsid w:val="429A4C67"/>
    <w:rsid w:val="43FD19B4"/>
    <w:rsid w:val="44184CA3"/>
    <w:rsid w:val="449A30F8"/>
    <w:rsid w:val="4596751F"/>
    <w:rsid w:val="45973540"/>
    <w:rsid w:val="461C687A"/>
    <w:rsid w:val="49881EB4"/>
    <w:rsid w:val="49F128B3"/>
    <w:rsid w:val="4DF678D9"/>
    <w:rsid w:val="4EEE5791"/>
    <w:rsid w:val="59CA6DFB"/>
    <w:rsid w:val="59E3160A"/>
    <w:rsid w:val="5B394BC5"/>
    <w:rsid w:val="5B3D2BF4"/>
    <w:rsid w:val="5BA1276A"/>
    <w:rsid w:val="5BB76C60"/>
    <w:rsid w:val="5C7230D7"/>
    <w:rsid w:val="5DD1730E"/>
    <w:rsid w:val="5EA510F1"/>
    <w:rsid w:val="5F7B4836"/>
    <w:rsid w:val="63151549"/>
    <w:rsid w:val="655A0916"/>
    <w:rsid w:val="6642161F"/>
    <w:rsid w:val="669029B9"/>
    <w:rsid w:val="689D2AE5"/>
    <w:rsid w:val="6AD06536"/>
    <w:rsid w:val="6C271881"/>
    <w:rsid w:val="6CA15392"/>
    <w:rsid w:val="6E642C35"/>
    <w:rsid w:val="6F666C59"/>
    <w:rsid w:val="71600475"/>
    <w:rsid w:val="72F409BA"/>
    <w:rsid w:val="7579340C"/>
    <w:rsid w:val="775A1CF3"/>
    <w:rsid w:val="78386930"/>
    <w:rsid w:val="79471339"/>
    <w:rsid w:val="796927DE"/>
    <w:rsid w:val="79EB5784"/>
    <w:rsid w:val="7AAD1D53"/>
    <w:rsid w:val="7C6D24C9"/>
    <w:rsid w:val="7CEE79B4"/>
    <w:rsid w:val="7E7C30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next w:val="1"/>
    <w:link w:val="21"/>
    <w:qFormat/>
    <w:uiPriority w:val="99"/>
    <w:pPr>
      <w:spacing w:after="120"/>
    </w:pPr>
  </w:style>
  <w:style w:type="paragraph" w:styleId="4">
    <w:name w:val="Body Text Indent"/>
    <w:basedOn w:val="1"/>
    <w:link w:val="18"/>
    <w:unhideWhenUsed/>
    <w:qFormat/>
    <w:uiPriority w:val="99"/>
    <w:pPr>
      <w:spacing w:line="500" w:lineRule="exact"/>
      <w:ind w:firstLine="600" w:firstLineChars="200"/>
    </w:pPr>
    <w:rPr>
      <w:rFonts w:ascii="宋体" w:hAnsi="宋体"/>
      <w:sz w:val="30"/>
    </w:rPr>
  </w:style>
  <w:style w:type="paragraph" w:styleId="5">
    <w:name w:val="Balloon Text"/>
    <w:basedOn w:val="1"/>
    <w:link w:val="20"/>
    <w:qFormat/>
    <w:uiPriority w:val="0"/>
    <w:rPr>
      <w:sz w:val="18"/>
      <w:szCs w:val="18"/>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color w:val="333333"/>
      <w:u w:val="none"/>
    </w:rPr>
  </w:style>
  <w:style w:type="character" w:styleId="13">
    <w:name w:val="HTML Variable"/>
    <w:basedOn w:val="11"/>
    <w:uiPriority w:val="0"/>
  </w:style>
  <w:style w:type="character" w:styleId="14">
    <w:name w:val="Hyperlink"/>
    <w:basedOn w:val="11"/>
    <w:qFormat/>
    <w:uiPriority w:val="99"/>
    <w:rPr>
      <w:color w:val="333333"/>
      <w:u w:val="none"/>
    </w:rPr>
  </w:style>
  <w:style w:type="paragraph" w:styleId="15">
    <w:name w:val="List Paragraph"/>
    <w:basedOn w:val="1"/>
    <w:unhideWhenUsed/>
    <w:qFormat/>
    <w:uiPriority w:val="99"/>
    <w:pPr>
      <w:ind w:firstLine="420" w:firstLineChars="200"/>
    </w:pPr>
  </w:style>
  <w:style w:type="character" w:customStyle="1" w:styleId="16">
    <w:name w:val="页眉 Char"/>
    <w:basedOn w:val="11"/>
    <w:link w:val="7"/>
    <w:qFormat/>
    <w:uiPriority w:val="0"/>
    <w:rPr>
      <w:rFonts w:ascii="Calibri" w:hAnsi="Calibri" w:eastAsia="宋体" w:cs="Times New Roman"/>
      <w:kern w:val="2"/>
      <w:sz w:val="18"/>
      <w:szCs w:val="18"/>
    </w:rPr>
  </w:style>
  <w:style w:type="character" w:customStyle="1" w:styleId="17">
    <w:name w:val="font11"/>
    <w:basedOn w:val="11"/>
    <w:qFormat/>
    <w:uiPriority w:val="0"/>
    <w:rPr>
      <w:rFonts w:hint="eastAsia" w:ascii="宋体" w:hAnsi="宋体" w:eastAsia="宋体" w:cs="宋体"/>
      <w:color w:val="000000"/>
      <w:sz w:val="24"/>
      <w:szCs w:val="24"/>
      <w:u w:val="none"/>
    </w:rPr>
  </w:style>
  <w:style w:type="character" w:customStyle="1" w:styleId="18">
    <w:name w:val="正文文本缩进 Char"/>
    <w:basedOn w:val="11"/>
    <w:link w:val="4"/>
    <w:qFormat/>
    <w:uiPriority w:val="99"/>
    <w:rPr>
      <w:rFonts w:ascii="宋体" w:hAnsi="宋体" w:eastAsia="宋体" w:cs="Times New Roman"/>
      <w:kern w:val="2"/>
      <w:sz w:val="30"/>
      <w:szCs w:val="24"/>
    </w:rPr>
  </w:style>
  <w:style w:type="character" w:customStyle="1" w:styleId="19">
    <w:name w:val="页脚 Char"/>
    <w:basedOn w:val="11"/>
    <w:link w:val="6"/>
    <w:qFormat/>
    <w:uiPriority w:val="99"/>
    <w:rPr>
      <w:rFonts w:ascii="Calibri" w:hAnsi="Calibri" w:eastAsia="宋体" w:cs="Times New Roman"/>
      <w:kern w:val="2"/>
      <w:sz w:val="18"/>
      <w:szCs w:val="18"/>
    </w:rPr>
  </w:style>
  <w:style w:type="character" w:customStyle="1" w:styleId="20">
    <w:name w:val="批注框文本 Char"/>
    <w:basedOn w:val="11"/>
    <w:link w:val="5"/>
    <w:qFormat/>
    <w:uiPriority w:val="0"/>
    <w:rPr>
      <w:rFonts w:ascii="Calibri" w:hAnsi="Calibri" w:eastAsia="宋体" w:cs="Times New Roman"/>
      <w:kern w:val="2"/>
      <w:sz w:val="18"/>
      <w:szCs w:val="18"/>
    </w:rPr>
  </w:style>
  <w:style w:type="character" w:customStyle="1" w:styleId="21">
    <w:name w:val="正文文本 Char"/>
    <w:basedOn w:val="11"/>
    <w:link w:val="3"/>
    <w:qFormat/>
    <w:uiPriority w:val="99"/>
    <w:rPr>
      <w:rFonts w:ascii="Calibri" w:hAnsi="Calibri" w:eastAsia="宋体" w:cs="Times New Roman"/>
      <w:kern w:val="2"/>
      <w:sz w:val="21"/>
      <w:szCs w:val="24"/>
    </w:rPr>
  </w:style>
  <w:style w:type="character" w:customStyle="1" w:styleId="22">
    <w:name w:val="font91"/>
    <w:basedOn w:val="11"/>
    <w:qFormat/>
    <w:uiPriority w:val="0"/>
    <w:rPr>
      <w:rFonts w:hint="eastAsia" w:ascii="宋体" w:hAnsi="宋体" w:eastAsia="宋体" w:cs="宋体"/>
      <w:color w:val="000000"/>
      <w:sz w:val="20"/>
      <w:szCs w:val="20"/>
      <w:u w:val="none"/>
    </w:rPr>
  </w:style>
  <w:style w:type="paragraph" w:customStyle="1" w:styleId="23">
    <w:name w:val="font5"/>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24">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7">
    <w:name w:val="font9"/>
    <w:basedOn w:val="1"/>
    <w:qFormat/>
    <w:uiPriority w:val="0"/>
    <w:pPr>
      <w:widowControl/>
      <w:spacing w:before="100" w:beforeAutospacing="1" w:after="100" w:afterAutospacing="1"/>
      <w:jc w:val="left"/>
    </w:pPr>
    <w:rPr>
      <w:rFonts w:ascii="黑体" w:hAnsi="黑体" w:eastAsia="黑体" w:cs="宋体"/>
      <w:kern w:val="0"/>
      <w:sz w:val="48"/>
      <w:szCs w:val="48"/>
    </w:rPr>
  </w:style>
  <w:style w:type="paragraph" w:customStyle="1" w:styleId="28">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1">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8">
    <w:name w:val="xl7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9">
    <w:name w:val="xl73"/>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0">
    <w:name w:val="xl74"/>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1">
    <w:name w:val="xl75"/>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2">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4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9">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xl84"/>
    <w:basedOn w:val="1"/>
    <w:qFormat/>
    <w:uiPriority w:val="0"/>
    <w:pPr>
      <w:widowControl/>
      <w:spacing w:before="100" w:beforeAutospacing="1" w:after="100" w:afterAutospacing="1"/>
      <w:jc w:val="right"/>
    </w:pPr>
    <w:rPr>
      <w:rFonts w:ascii="宋体" w:hAnsi="宋体" w:cs="宋体"/>
      <w:kern w:val="0"/>
      <w:sz w:val="28"/>
      <w:szCs w:val="28"/>
    </w:rPr>
  </w:style>
  <w:style w:type="paragraph" w:customStyle="1" w:styleId="51">
    <w:name w:val="xl85"/>
    <w:basedOn w:val="1"/>
    <w:qFormat/>
    <w:uiPriority w:val="0"/>
    <w:pPr>
      <w:widowControl/>
      <w:spacing w:before="100" w:beforeAutospacing="1" w:after="100" w:afterAutospacing="1"/>
      <w:jc w:val="center"/>
    </w:pPr>
    <w:rPr>
      <w:rFonts w:ascii="宋体" w:hAnsi="宋体" w:cs="宋体"/>
      <w:kern w:val="0"/>
      <w:sz w:val="28"/>
      <w:szCs w:val="28"/>
    </w:rPr>
  </w:style>
  <w:style w:type="paragraph" w:customStyle="1" w:styleId="5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5">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6">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57">
    <w:name w:val="xl91"/>
    <w:basedOn w:val="1"/>
    <w:qFormat/>
    <w:uiPriority w:val="0"/>
    <w:pPr>
      <w:widowControl/>
      <w:spacing w:before="100" w:beforeAutospacing="1" w:after="100" w:afterAutospacing="1"/>
      <w:jc w:val="center"/>
    </w:pPr>
    <w:rPr>
      <w:rFonts w:ascii="Times New Roman" w:hAnsi="Times New Roman"/>
      <w:kern w:val="0"/>
      <w:sz w:val="48"/>
      <w:szCs w:val="48"/>
    </w:rPr>
  </w:style>
  <w:style w:type="paragraph" w:customStyle="1" w:styleId="58">
    <w:name w:val="xl92"/>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59">
    <w:name w:val="xl93"/>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character" w:customStyle="1" w:styleId="63">
    <w:name w:val="font01"/>
    <w:basedOn w:val="11"/>
    <w:uiPriority w:val="0"/>
    <w:rPr>
      <w:rFonts w:hint="eastAsia" w:ascii="宋体" w:hAnsi="宋体" w:eastAsia="宋体" w:cs="宋体"/>
      <w:b/>
      <w:bCs/>
      <w:color w:val="000000"/>
      <w:sz w:val="20"/>
      <w:szCs w:val="20"/>
      <w:u w:val="none"/>
    </w:rPr>
  </w:style>
  <w:style w:type="character" w:customStyle="1" w:styleId="64">
    <w:name w:val="font51"/>
    <w:basedOn w:val="1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B7BB7A-A0BB-4DEF-A510-33D1429446E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14</Pages>
  <Words>2982</Words>
  <Characters>3610</Characters>
  <Lines>902</Lines>
  <Paragraphs>823</Paragraphs>
  <TotalTime>173</TotalTime>
  <ScaleCrop>false</ScaleCrop>
  <LinksUpToDate>false</LinksUpToDate>
  <CharactersWithSpaces>5769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Wak</cp:lastModifiedBy>
  <cp:lastPrinted>2023-03-16T07:41:00Z</cp:lastPrinted>
  <dcterms:modified xsi:type="dcterms:W3CDTF">2023-08-15T02:00:18Z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BF62E638355248F783A6C48CB205DBC1_13</vt:lpwstr>
  </property>
</Properties>
</file>