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mc:AlternateContent>
          <mc:Choice Requires="wps">
            <w:drawing>
              <wp:anchor distT="0" distB="0" distL="114300" distR="114300" simplePos="0" relativeHeight="251656192" behindDoc="0" locked="0" layoutInCell="0" allowOverlap="1">
                <wp:simplePos x="0" y="0"/>
                <wp:positionH relativeFrom="page">
                  <wp:posOffset>853440</wp:posOffset>
                </wp:positionH>
                <wp:positionV relativeFrom="page">
                  <wp:posOffset>1583055</wp:posOffset>
                </wp:positionV>
                <wp:extent cx="6286500" cy="396240"/>
                <wp:effectExtent l="0" t="0" r="0" b="0"/>
                <wp:wrapNone/>
                <wp:docPr id="3"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微软雅黑" w:hAnsi="微软雅黑" w:eastAsia="微软雅黑" w:cs="微软雅黑"/>
                                <w:color w:val="000000" w:themeColor="text1"/>
                                <w:sz w:val="21"/>
                                <w:szCs w:val="21"/>
                                <w:bdr w:val="none" w:color="auto" w:sz="0" w:space="0"/>
                                <w14:textFill>
                                  <w14:solidFill>
                                    <w14:schemeClr w14:val="tx1"/>
                                  </w14:solidFill>
                                </w14:textFill>
                              </w:rPr>
                              <w:t>DST(P)[2021]7号</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67.2pt;margin-top:124.65pt;height:31.2pt;width:495pt;mso-position-horizontal-relative:page;mso-position-vertical-relative:page;z-index:251656192;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微软雅黑" w:hAnsi="微软雅黑" w:eastAsia="微软雅黑" w:cs="微软雅黑"/>
                          <w:color w:val="000000" w:themeColor="text1"/>
                          <w:sz w:val="21"/>
                          <w:szCs w:val="21"/>
                          <w:bdr w:val="none" w:color="auto" w:sz="0" w:space="0"/>
                          <w14:textFill>
                            <w14:solidFill>
                              <w14:schemeClr w14:val="tx1"/>
                            </w14:solidFill>
                          </w14:textFill>
                        </w:rPr>
                        <w:t>DST(P)[2021]7号</w:t>
                      </w:r>
                    </w:p>
                    <w:p>
                      <w:pPr>
                        <w:snapToGrid w:val="0"/>
                        <w:spacing w:line="289" w:lineRule="atLeast"/>
                      </w:pPr>
                    </w:p>
                    <w:p>
                      <w:pPr>
                        <w:snapToGrid w:val="0"/>
                        <w:spacing w:line="538" w:lineRule="atLeast"/>
                      </w:pPr>
                    </w:p>
                    <w:p/>
                  </w:txbxContent>
                </v:textbox>
              </v:shape>
            </w:pict>
          </mc:Fallback>
        </mc:AlternateContent>
      </w: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bookmarkStart w:id="21" w:name="_GoBack"/>
      <w:r>
        <w:rPr>
          <w:rFonts w:hint="eastAsia" w:ascii="方正小标宋简体" w:hAnsi="微软雅黑" w:eastAsia="方正小标宋简体"/>
          <w:color w:val="000000" w:themeColor="text1"/>
          <w:sz w:val="52"/>
          <w:szCs w:val="52"/>
        </w:rPr>
        <w:t>马踏洞片区中心服务区04-04a地块</w:t>
      </w:r>
      <w:bookmarkEnd w:id="21"/>
      <w:r>
        <w:rPr>
          <w:rFonts w:hint="eastAsia" w:ascii="方正小标宋简体" w:hAnsi="微软雅黑"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6"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5926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6</w:t>
      </w:r>
      <w:r>
        <w:rPr>
          <w:rFonts w:ascii="宋体"/>
          <w:color w:val="000000" w:themeColor="text1"/>
          <w:sz w:val="32"/>
          <w:szCs w:val="32"/>
        </w:rPr>
        <w:t>-</w:t>
      </w:r>
      <w:r>
        <w:rPr>
          <w:rFonts w:ascii="宋体" w:hAnsi="宋体"/>
          <w:color w:val="000000" w:themeColor="text1"/>
          <w:sz w:val="32"/>
          <w:szCs w:val="32"/>
        </w:rPr>
        <w:t>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18-21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29-43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44-48</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5"/>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970"/>
      <w:bookmarkStart w:id="1" w:name="_Toc3391741"/>
      <w:r>
        <w:rPr>
          <w:rFonts w:hint="eastAsia" w:ascii="方正小标宋简体" w:hAnsi="宋体" w:eastAsia="方正小标宋简体" w:cs="宋体"/>
          <w:color w:val="000000" w:themeColor="text1"/>
          <w:sz w:val="44"/>
          <w:szCs w:val="44"/>
        </w:rPr>
        <w:t>达州市自然资源和规划局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ascii="宋体" w:hAnsi="宋体" w:cs="宋体"/>
          <w:color w:val="FF0000"/>
          <w:sz w:val="28"/>
          <w:szCs w:val="28"/>
        </w:rPr>
        <w:t>DST(P)[2021]7号</w:t>
      </w: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，达州市自然资源和规划局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u w:val="single"/>
        </w:rPr>
        <w:t>马踏洞片区中心服务区04-04a地块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kern w:val="0"/>
          <w:sz w:val="28"/>
          <w:szCs w:val="28"/>
        </w:rPr>
        <w:t>该地块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4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6"/>
        <w:gridCol w:w="590"/>
        <w:gridCol w:w="338"/>
        <w:gridCol w:w="488"/>
        <w:gridCol w:w="472"/>
        <w:gridCol w:w="420"/>
        <w:gridCol w:w="401"/>
        <w:gridCol w:w="470"/>
        <w:gridCol w:w="401"/>
        <w:gridCol w:w="1503"/>
        <w:gridCol w:w="2306"/>
        <w:gridCol w:w="549"/>
        <w:gridCol w:w="442"/>
        <w:gridCol w:w="505"/>
        <w:gridCol w:w="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59"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07"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17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254"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24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866"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28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23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263"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213"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59"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07"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17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54"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4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19"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209"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45"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209"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783"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1201"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286"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3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6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21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59"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07"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马踏洞片区中心服务区 </w:t>
            </w:r>
          </w:p>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04-04a 地块</w:t>
            </w:r>
          </w:p>
          <w:p>
            <w:pPr>
              <w:snapToGrid w:val="0"/>
              <w:spacing w:line="289" w:lineRule="atLeast"/>
              <w:jc w:val="center"/>
              <w:rPr>
                <w:rFonts w:ascii="黑体" w:hAnsi="黑体" w:eastAsia="黑体" w:cs="宋体"/>
                <w:color w:val="000000" w:themeColor="text1"/>
                <w:sz w:val="13"/>
                <w:szCs w:val="13"/>
              </w:rPr>
            </w:pPr>
          </w:p>
        </w:tc>
        <w:tc>
          <w:tcPr>
            <w:tcW w:w="17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凤凰大道西延线南侧 </w:t>
            </w:r>
          </w:p>
          <w:p>
            <w:pPr>
              <w:snapToGrid w:val="0"/>
              <w:spacing w:line="289" w:lineRule="atLeast"/>
              <w:jc w:val="center"/>
              <w:rPr>
                <w:rFonts w:ascii="黑体" w:hAnsi="黑体" w:eastAsia="黑体" w:cs="宋体"/>
                <w:color w:val="000000" w:themeColor="text1"/>
                <w:sz w:val="13"/>
                <w:szCs w:val="13"/>
              </w:rPr>
            </w:pPr>
          </w:p>
        </w:tc>
        <w:tc>
          <w:tcPr>
            <w:tcW w:w="254"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127992</w:t>
            </w:r>
            <w:r>
              <w:rPr>
                <w:rFonts w:hint="eastAsia" w:ascii="黑体" w:hAnsi="黑体" w:eastAsia="黑体" w:cs="宋体"/>
                <w:color w:val="000000" w:themeColor="text1"/>
                <w:sz w:val="13"/>
                <w:szCs w:val="13"/>
              </w:rPr>
              <w:t>平方米(191.99亩）</w:t>
            </w:r>
          </w:p>
        </w:tc>
        <w:tc>
          <w:tcPr>
            <w:tcW w:w="24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 </w:t>
            </w:r>
          </w:p>
          <w:p>
            <w:pPr>
              <w:snapToGrid w:val="0"/>
              <w:spacing w:line="289" w:lineRule="atLeast"/>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住宅用地（兼容商业用地）</w:t>
            </w:r>
            <w:r>
              <w:rPr>
                <w:rFonts w:ascii="黑体" w:hAnsi="黑体" w:eastAsia="黑体" w:cs="宋体"/>
                <w:color w:val="000000" w:themeColor="text1"/>
                <w:sz w:val="13"/>
                <w:szCs w:val="13"/>
              </w:rPr>
              <w:t xml:space="preserve"> </w:t>
            </w:r>
          </w:p>
          <w:p>
            <w:pPr>
              <w:snapToGrid w:val="0"/>
              <w:spacing w:line="289" w:lineRule="atLeast"/>
              <w:jc w:val="center"/>
              <w:rPr>
                <w:rFonts w:ascii="黑体" w:hAnsi="黑体" w:eastAsia="黑体" w:cs="宋体"/>
                <w:color w:val="000000" w:themeColor="text1"/>
                <w:sz w:val="13"/>
                <w:szCs w:val="13"/>
              </w:rPr>
            </w:pPr>
          </w:p>
        </w:tc>
        <w:tc>
          <w:tcPr>
            <w:tcW w:w="219"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F≤3.5</w:t>
            </w:r>
          </w:p>
          <w:p>
            <w:pPr>
              <w:snapToGrid w:val="0"/>
              <w:spacing w:line="289" w:lineRule="atLeast"/>
              <w:jc w:val="center"/>
              <w:rPr>
                <w:rFonts w:ascii="黑体" w:hAnsi="黑体" w:eastAsia="黑体" w:cs="宋体"/>
                <w:color w:val="000000" w:themeColor="text1"/>
                <w:sz w:val="13"/>
                <w:szCs w:val="13"/>
              </w:rPr>
            </w:pPr>
          </w:p>
        </w:tc>
        <w:tc>
          <w:tcPr>
            <w:tcW w:w="209" w:type="pct"/>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B≤30% </w:t>
            </w:r>
          </w:p>
          <w:p>
            <w:pPr>
              <w:snapToGrid w:val="0"/>
              <w:spacing w:line="289" w:lineRule="atLeast"/>
              <w:jc w:val="center"/>
              <w:rPr>
                <w:rFonts w:ascii="黑体" w:hAnsi="黑体" w:eastAsia="黑体" w:cs="宋体"/>
                <w:color w:val="000000" w:themeColor="text1"/>
                <w:sz w:val="13"/>
                <w:szCs w:val="13"/>
              </w:rPr>
            </w:pPr>
          </w:p>
        </w:tc>
        <w:tc>
          <w:tcPr>
            <w:tcW w:w="245" w:type="pct"/>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G≥30% </w:t>
            </w:r>
          </w:p>
          <w:p>
            <w:pPr>
              <w:snapToGrid w:val="0"/>
              <w:spacing w:line="289" w:lineRule="atLeast"/>
              <w:jc w:val="center"/>
              <w:rPr>
                <w:rFonts w:ascii="黑体" w:hAnsi="黑体" w:eastAsia="黑体" w:cs="宋体"/>
                <w:color w:val="000000" w:themeColor="text1"/>
                <w:sz w:val="13"/>
                <w:szCs w:val="13"/>
              </w:rPr>
            </w:pPr>
          </w:p>
        </w:tc>
        <w:tc>
          <w:tcPr>
            <w:tcW w:w="209" w:type="pct"/>
            <w:vAlign w:val="center"/>
          </w:tcPr>
          <w:p>
            <w:pPr>
              <w:widowControl/>
              <w:jc w:val="left"/>
            </w:pPr>
            <w:r>
              <w:rPr>
                <w:rFonts w:ascii="黑体" w:hAnsi="黑体" w:eastAsia="黑体" w:cs="宋体"/>
                <w:color w:val="000000" w:themeColor="text1"/>
                <w:sz w:val="13"/>
                <w:szCs w:val="13"/>
              </w:rPr>
              <w:t>HL≤100 米</w:t>
            </w:r>
            <w:r>
              <w:rPr>
                <w:rFonts w:ascii="仿宋_GB2312" w:hAnsi="宋体" w:eastAsia="仿宋_GB2312" w:cs="仿宋_GB2312"/>
                <w:color w:val="000000"/>
                <w:kern w:val="0"/>
                <w:sz w:val="22"/>
                <w:szCs w:val="22"/>
              </w:rPr>
              <w:t xml:space="preserve"> </w:t>
            </w:r>
          </w:p>
          <w:p>
            <w:pPr>
              <w:snapToGrid w:val="0"/>
              <w:spacing w:line="289" w:lineRule="atLeast"/>
              <w:jc w:val="center"/>
              <w:rPr>
                <w:rFonts w:ascii="黑体" w:hAnsi="黑体" w:eastAsia="黑体" w:cs="宋体"/>
                <w:color w:val="000000" w:themeColor="text1"/>
                <w:sz w:val="13"/>
                <w:szCs w:val="13"/>
              </w:rPr>
            </w:pPr>
          </w:p>
        </w:tc>
        <w:tc>
          <w:tcPr>
            <w:tcW w:w="783" w:type="pct"/>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按照总计容住宅建筑面积 3‰的比例无偿配建一个或多个社区</w:t>
            </w:r>
            <w:r>
              <w:rPr>
                <w:rFonts w:hint="eastAsia" w:ascii="黑体" w:hAnsi="黑体" w:eastAsia="黑体" w:cs="宋体"/>
                <w:color w:val="000000" w:themeColor="text1"/>
                <w:sz w:val="13"/>
                <w:szCs w:val="13"/>
              </w:rPr>
              <w:t>综</w:t>
            </w:r>
            <w:r>
              <w:rPr>
                <w:rFonts w:ascii="黑体" w:hAnsi="黑体" w:eastAsia="黑体" w:cs="宋体"/>
                <w:color w:val="000000" w:themeColor="text1"/>
                <w:sz w:val="13"/>
                <w:szCs w:val="13"/>
              </w:rPr>
              <w:t>合服务设施，社区综合服务设施的建筑面积不计入项目容积率</w:t>
            </w:r>
            <w:r>
              <w:rPr>
                <w:rFonts w:hint="eastAsia" w:ascii="黑体" w:hAnsi="黑体" w:eastAsia="黑体" w:cs="宋体"/>
                <w:color w:val="000000" w:themeColor="text1"/>
                <w:sz w:val="13"/>
                <w:szCs w:val="13"/>
              </w:rPr>
              <w:t>，</w:t>
            </w:r>
            <w:r>
              <w:rPr>
                <w:rFonts w:ascii="黑体" w:hAnsi="黑体" w:eastAsia="黑体" w:cs="宋体"/>
                <w:color w:val="000000" w:themeColor="text1"/>
                <w:sz w:val="13"/>
                <w:szCs w:val="13"/>
              </w:rPr>
              <w:t>其不动产权和使用权归地方政府。</w:t>
            </w:r>
          </w:p>
          <w:p>
            <w:pPr>
              <w:snapToGrid w:val="0"/>
              <w:spacing w:line="289" w:lineRule="atLeast"/>
              <w:jc w:val="center"/>
              <w:rPr>
                <w:rFonts w:ascii="黑体" w:hAnsi="黑体" w:eastAsia="黑体" w:cs="宋体"/>
                <w:color w:val="000000" w:themeColor="text1"/>
                <w:sz w:val="13"/>
                <w:szCs w:val="13"/>
              </w:rPr>
            </w:pPr>
          </w:p>
        </w:tc>
        <w:tc>
          <w:tcPr>
            <w:tcW w:w="1201"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详见《</w:t>
            </w:r>
            <w:r>
              <w:rPr>
                <w:rFonts w:ascii="黑体" w:hAnsi="黑体" w:eastAsia="黑体" w:cs="宋体"/>
                <w:color w:val="000000" w:themeColor="text1"/>
                <w:sz w:val="13"/>
                <w:szCs w:val="13"/>
              </w:rPr>
              <w:t xml:space="preserve">马踏洞片区中心服务区 </w:t>
            </w:r>
          </w:p>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04-04a 地块</w:t>
            </w:r>
            <w:r>
              <w:rPr>
                <w:rFonts w:hint="eastAsia" w:ascii="黑体" w:hAnsi="黑体" w:eastAsia="黑体" w:cs="宋体"/>
                <w:color w:val="000000" w:themeColor="text1"/>
                <w:sz w:val="13"/>
                <w:szCs w:val="13"/>
              </w:rPr>
              <w:t>规划条件》</w:t>
            </w:r>
            <w:r>
              <w:rPr>
                <w:rFonts w:ascii="黑体" w:hAnsi="黑体" w:eastAsia="黑体" w:cs="宋体"/>
                <w:color w:val="000000" w:themeColor="text1"/>
                <w:sz w:val="13"/>
                <w:szCs w:val="13"/>
              </w:rPr>
              <w:t xml:space="preserve">。 </w:t>
            </w:r>
          </w:p>
          <w:p>
            <w:pPr>
              <w:snapToGrid w:val="0"/>
              <w:spacing w:line="289" w:lineRule="atLeast"/>
              <w:jc w:val="center"/>
              <w:rPr>
                <w:rFonts w:ascii="黑体" w:hAnsi="黑体" w:eastAsia="黑体" w:cs="宋体"/>
                <w:color w:val="000000" w:themeColor="text1"/>
                <w:sz w:val="13"/>
                <w:szCs w:val="13"/>
              </w:rPr>
            </w:pPr>
          </w:p>
        </w:tc>
        <w:tc>
          <w:tcPr>
            <w:tcW w:w="286"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住宅用地70年，商业用地40年</w:t>
            </w:r>
          </w:p>
        </w:tc>
        <w:tc>
          <w:tcPr>
            <w:tcW w:w="230"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478 万元/亩 </w:t>
            </w:r>
          </w:p>
          <w:p>
            <w:pPr>
              <w:snapToGrid w:val="0"/>
              <w:spacing w:line="289" w:lineRule="atLeast"/>
              <w:jc w:val="center"/>
              <w:rPr>
                <w:rFonts w:ascii="黑体" w:hAnsi="黑体" w:eastAsia="黑体" w:cs="宋体"/>
                <w:color w:val="000000" w:themeColor="text1"/>
                <w:sz w:val="13"/>
                <w:szCs w:val="13"/>
              </w:rPr>
            </w:pPr>
          </w:p>
        </w:tc>
        <w:tc>
          <w:tcPr>
            <w:tcW w:w="263"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 xml:space="preserve">5 万元/亩或 5 万元/亩 </w:t>
            </w:r>
          </w:p>
          <w:p>
            <w:pPr>
              <w:snapToGrid w:val="0"/>
              <w:spacing w:line="289" w:lineRule="atLeast"/>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的整数倍</w:t>
            </w:r>
          </w:p>
          <w:p>
            <w:pPr>
              <w:snapToGrid w:val="0"/>
              <w:spacing w:line="289" w:lineRule="atLeast"/>
              <w:jc w:val="center"/>
              <w:rPr>
                <w:rFonts w:ascii="黑体" w:hAnsi="黑体" w:eastAsia="黑体" w:cs="宋体"/>
                <w:color w:val="000000" w:themeColor="text1"/>
                <w:sz w:val="13"/>
                <w:szCs w:val="13"/>
              </w:rPr>
            </w:pPr>
          </w:p>
        </w:tc>
        <w:tc>
          <w:tcPr>
            <w:tcW w:w="213" w:type="pct"/>
            <w:tcBorders>
              <w:right w:val="single" w:color="000000" w:sz="4" w:space="0"/>
            </w:tcBorders>
            <w:vAlign w:val="center"/>
          </w:tcPr>
          <w:p>
            <w:pPr>
              <w:snapToGrid w:val="0"/>
              <w:spacing w:line="289" w:lineRule="atLeast"/>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18400万元</w:t>
            </w:r>
          </w:p>
        </w:tc>
      </w:tr>
    </w:tbl>
    <w:p>
      <w:pPr>
        <w:snapToGrid w:val="0"/>
        <w:spacing w:line="600" w:lineRule="exact"/>
        <w:rPr>
          <w:rFonts w:ascii="宋体" w:hAnsi="宋体" w:cs="宋体"/>
          <w:color w:val="000000" w:themeColor="text1"/>
          <w:sz w:val="28"/>
          <w:szCs w:val="28"/>
        </w:rPr>
      </w:pPr>
    </w:p>
    <w:p>
      <w:pPr>
        <w:snapToGrid w:val="0"/>
        <w:spacing w:line="600" w:lineRule="exact"/>
        <w:ind w:firstLine="700" w:firstLineChars="250"/>
        <w:rPr>
          <w:rFonts w:asci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17"/>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17"/>
          <w:rFonts w:asciiTheme="minorEastAsia" w:hAnsiTheme="minorEastAsia" w:eastAsiaTheme="minorEastAsia"/>
          <w:b/>
          <w:color w:val="FF0000"/>
          <w:sz w:val="28"/>
          <w:szCs w:val="28"/>
        </w:rPr>
      </w:pPr>
      <w:r>
        <w:rPr>
          <w:rStyle w:val="17"/>
          <w:rFonts w:hint="eastAsia" w:cs="宋体" w:asciiTheme="minorEastAsia" w:hAnsiTheme="minorEastAsia" w:eastAsiaTheme="minorEastAsia"/>
          <w:color w:val="000000" w:themeColor="text1"/>
          <w:sz w:val="28"/>
          <w:szCs w:val="28"/>
          <w:u w:val="none"/>
        </w:rPr>
        <w:t>已完成用户注册的竞买申请人须在</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1年4月27日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17"/>
          <w:rFonts w:ascii="仿宋" w:hAnsi="仿宋" w:eastAsia="仿宋" w:cs="宋体"/>
          <w:color w:val="FF0000"/>
          <w:sz w:val="28"/>
          <w:szCs w:val="28"/>
        </w:rPr>
        <w:t>202</w:t>
      </w:r>
      <w:r>
        <w:rPr>
          <w:rStyle w:val="17"/>
          <w:rFonts w:hint="eastAsia" w:ascii="仿宋" w:hAnsi="仿宋" w:eastAsia="仿宋" w:cs="宋体"/>
          <w:color w:val="FF0000"/>
          <w:sz w:val="28"/>
          <w:szCs w:val="28"/>
        </w:rPr>
        <w:t>1年4月27日</w:t>
      </w:r>
      <w:r>
        <w:rPr>
          <w:rStyle w:val="17"/>
          <w:rFonts w:ascii="仿宋" w:hAnsi="仿宋" w:eastAsia="仿宋" w:cs="宋体"/>
          <w:color w:val="FF0000"/>
          <w:sz w:val="28"/>
          <w:szCs w:val="28"/>
        </w:rPr>
        <w:t>17:00</w:t>
      </w:r>
      <w:r>
        <w:rPr>
          <w:rStyle w:val="17"/>
          <w:rFonts w:hint="eastAsia" w:cs="宋体" w:asciiTheme="minorEastAsia" w:hAnsiTheme="minorEastAsia" w:eastAsiaTheme="minorEastAsia"/>
          <w:b/>
          <w:color w:val="FF0000"/>
          <w:sz w:val="28"/>
          <w:szCs w:val="28"/>
        </w:rPr>
        <w:t>时</w:t>
      </w:r>
      <w:r>
        <w:rPr>
          <w:rStyle w:val="17"/>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年4月28日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1年4月28日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17"/>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 4月28日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w:t>
      </w:r>
      <w:r>
        <w:rPr>
          <w:rFonts w:hint="eastAsia" w:asciiTheme="minorEastAsia" w:hAnsiTheme="minorEastAsia" w:eastAsiaTheme="minorEastAsia"/>
          <w:color w:val="FF0000"/>
          <w:sz w:val="28"/>
          <w:szCs w:val="28"/>
          <w:u w:val="single"/>
          <w:lang w:val="en-US" w:eastAsia="zh-CN"/>
        </w:rPr>
        <w:t>二</w:t>
      </w:r>
      <w:r>
        <w:rPr>
          <w:rFonts w:hint="eastAsia" w:asciiTheme="minorEastAsia" w:hAnsiTheme="minorEastAsia" w:eastAsiaTheme="minorEastAsia"/>
          <w:color w:val="FF0000"/>
          <w:sz w:val="28"/>
          <w:szCs w:val="28"/>
          <w:u w:val="single"/>
        </w:rPr>
        <w:t>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出让人：达州市自然资源和规划局</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联系地址：达州市通川区白塔路243号</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0818-2377534</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3699</w:t>
      </w: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达州市自然资源和规划局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right"/>
        <w:rPr>
          <w:rFonts w:ascii="仿宋" w:hAnsi="仿宋" w:eastAsia="仿宋" w:cs="宋体"/>
          <w:b/>
          <w:color w:val="FF0000"/>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FF0000"/>
          <w:sz w:val="28"/>
          <w:szCs w:val="28"/>
        </w:rPr>
        <w:t>202</w:t>
      </w:r>
      <w:r>
        <w:rPr>
          <w:rFonts w:hint="eastAsia" w:ascii="仿宋" w:hAnsi="仿宋" w:eastAsia="仿宋" w:cs="宋体"/>
          <w:b/>
          <w:color w:val="FF0000"/>
          <w:sz w:val="28"/>
          <w:szCs w:val="28"/>
        </w:rPr>
        <w:t>1年4月7日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971"/>
      <w:bookmarkStart w:id="3" w:name="_Toc3391742"/>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达州市自然资源和规划局</w:t>
      </w:r>
      <w:r>
        <w:rPr>
          <w:rFonts w:hint="eastAsia" w:ascii="宋体" w:hAnsi="宋体"/>
          <w:color w:val="000000" w:themeColor="text1"/>
          <w:sz w:val="28"/>
          <w:szCs w:val="28"/>
        </w:rPr>
        <w:t>决定拍卖出让</w:t>
      </w:r>
      <w:r>
        <w:rPr>
          <w:rFonts w:hint="eastAsia" w:ascii="宋体" w:hAnsi="宋体"/>
          <w:color w:val="000000" w:themeColor="text1"/>
          <w:sz w:val="28"/>
          <w:szCs w:val="28"/>
          <w:u w:val="single"/>
        </w:rPr>
        <w:t>马踏洞片区中心服务区04-04a地块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达州市自然资源和规划局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（一）地块位置：凤凰大道西延线南侧 ；</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（二）地块范围： 详见《马踏洞片区中心服务区04-04a地块勘界图》；</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（三）出让面积：127992平方米（191.99亩）；</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（四）土地用途：住宅用地（兼容商业用地）</w:t>
      </w:r>
      <w:r>
        <w:rPr>
          <w:rFonts w:ascii="宋体" w:hAnsi="宋体"/>
          <w:color w:val="000000" w:themeColor="text1"/>
          <w:sz w:val="28"/>
          <w:szCs w:val="28"/>
        </w:rPr>
        <w:t xml:space="preserve"> </w:t>
      </w:r>
      <w:r>
        <w:rPr>
          <w:rFonts w:hint="eastAsia" w:ascii="宋体" w:hAnsi="宋体"/>
          <w:color w:val="000000" w:themeColor="text1"/>
          <w:sz w:val="28"/>
          <w:szCs w:val="28"/>
        </w:rPr>
        <w:t xml:space="preserve"> ；</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（六）规划条件：详见《马踏洞片区中心服务区04-04a地块规划条件》</w:t>
      </w:r>
      <w:r>
        <w:rPr>
          <w:rFonts w:ascii="宋体" w:hAnsi="宋体"/>
          <w:color w:val="000000" w:themeColor="text1"/>
          <w:sz w:val="28"/>
          <w:szCs w:val="28"/>
        </w:rPr>
        <w:t xml:space="preserve">。 </w:t>
      </w:r>
    </w:p>
    <w:p>
      <w:pPr>
        <w:spacing w:line="600" w:lineRule="exact"/>
        <w:ind w:firstLine="560" w:firstLineChars="200"/>
        <w:jc w:val="left"/>
        <w:rPr>
          <w:rFonts w:hint="eastAsia" w:ascii="宋体" w:hAnsi="宋体"/>
          <w:color w:val="000000" w:themeColor="text1"/>
          <w:sz w:val="28"/>
          <w:szCs w:val="28"/>
          <w:lang w:val="en-US" w:eastAsia="zh-CN"/>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七）地块可配建不大于计容总建筑面积 10%的商业服务用房（且商业</w:t>
      </w:r>
    </w:p>
    <w:p>
      <w:pPr>
        <w:spacing w:line="600" w:lineRule="exact"/>
        <w:ind w:firstLine="560" w:firstLineChars="200"/>
        <w:jc w:val="left"/>
        <w:rPr>
          <w:rFonts w:hint="eastAsia" w:ascii="宋体" w:hAnsi="宋体"/>
          <w:color w:val="000000" w:themeColor="text1"/>
          <w:sz w:val="28"/>
          <w:szCs w:val="28"/>
          <w:lang w:val="en-US" w:eastAsia="zh-CN"/>
        </w:rPr>
      </w:pPr>
      <w:r>
        <w:rPr>
          <w:rFonts w:hint="eastAsia" w:ascii="宋体" w:hAnsi="宋体"/>
          <w:color w:val="000000" w:themeColor="text1"/>
          <w:sz w:val="28"/>
          <w:szCs w:val="28"/>
          <w:lang w:val="en-US" w:eastAsia="zh-CN"/>
        </w:rPr>
        <w:t>用房在设计方案中应设置商业专用烟道）。其设计方案中商业、居</w:t>
      </w:r>
    </w:p>
    <w:p>
      <w:pPr>
        <w:spacing w:line="600" w:lineRule="exact"/>
        <w:ind w:firstLine="560" w:firstLineChars="200"/>
        <w:jc w:val="left"/>
        <w:rPr>
          <w:rFonts w:hint="eastAsia" w:ascii="宋体" w:hAnsi="宋体"/>
          <w:color w:val="000000" w:themeColor="text1"/>
          <w:sz w:val="28"/>
          <w:szCs w:val="28"/>
          <w:lang w:val="en-US" w:eastAsia="zh-CN"/>
        </w:rPr>
      </w:pPr>
      <w:r>
        <w:rPr>
          <w:rFonts w:hint="eastAsia" w:ascii="宋体" w:hAnsi="宋体"/>
          <w:color w:val="000000" w:themeColor="text1"/>
          <w:sz w:val="28"/>
          <w:szCs w:val="28"/>
          <w:lang w:val="en-US" w:eastAsia="zh-CN"/>
        </w:rPr>
        <w:t>住须分离布局，且临凤凰大道西延线一侧的建筑外立面应作公建化</w:t>
      </w:r>
    </w:p>
    <w:p>
      <w:pPr>
        <w:spacing w:line="600" w:lineRule="exact"/>
        <w:ind w:firstLine="560" w:firstLineChars="200"/>
        <w:jc w:val="left"/>
        <w:rPr>
          <w:rFonts w:hint="default" w:ascii="宋体" w:hAnsi="宋体" w:eastAsia="宋体"/>
          <w:color w:val="000000" w:themeColor="text1"/>
          <w:sz w:val="28"/>
          <w:szCs w:val="28"/>
          <w:lang w:val="en-US" w:eastAsia="zh-CN"/>
        </w:rPr>
      </w:pPr>
      <w:r>
        <w:rPr>
          <w:rFonts w:hint="eastAsia" w:ascii="宋体" w:hAnsi="宋体"/>
          <w:color w:val="000000" w:themeColor="text1"/>
          <w:sz w:val="28"/>
          <w:szCs w:val="28"/>
          <w:lang w:val="en-US" w:eastAsia="zh-CN"/>
        </w:rPr>
        <w:t>设计，且连续界面不超过 30 米。</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val="en-US" w:eastAsia="zh-CN"/>
        </w:rPr>
        <w:t>八</w:t>
      </w:r>
      <w:r>
        <w:rPr>
          <w:rFonts w:hint="eastAsia" w:ascii="宋体" w:hAnsi="宋体"/>
          <w:color w:val="000000" w:themeColor="text1"/>
          <w:sz w:val="28"/>
          <w:szCs w:val="28"/>
        </w:rPr>
        <w:t>）配套服务设施：</w:t>
      </w:r>
    </w:p>
    <w:p>
      <w:pPr>
        <w:spacing w:line="578" w:lineRule="exact"/>
        <w:ind w:firstLine="560" w:firstLineChars="200"/>
        <w:rPr>
          <w:rFonts w:eastAsia="仿宋_GB2312"/>
          <w:color w:val="000000"/>
          <w:sz w:val="32"/>
          <w:szCs w:val="32"/>
        </w:rPr>
      </w:pPr>
      <w:r>
        <w:rPr>
          <w:rFonts w:hint="eastAsia" w:ascii="宋体" w:hAnsi="宋体"/>
          <w:color w:val="000000" w:themeColor="text1"/>
          <w:sz w:val="28"/>
          <w:szCs w:val="28"/>
        </w:rPr>
        <w:t xml:space="preserve">1. </w:t>
      </w:r>
      <w:r>
        <w:rPr>
          <w:rFonts w:eastAsia="仿宋_GB2312"/>
          <w:color w:val="000000"/>
          <w:sz w:val="32"/>
          <w:szCs w:val="32"/>
        </w:rPr>
        <w:t>根据《达州市人民政府办公室关于印发达州市中心城区新建住宅小区配套建设社区综合服务设施实施办法的通知》（达市府办〔2018〕57号）精神，按照总</w:t>
      </w:r>
      <w:r>
        <w:rPr>
          <w:rFonts w:eastAsia="仿宋_GB2312"/>
          <w:bCs/>
          <w:color w:val="000000"/>
          <w:sz w:val="32"/>
          <w:szCs w:val="32"/>
        </w:rPr>
        <w:t>计容住宅建筑面积3‰的比例无偿配建一个或多个社区综合服务设施</w:t>
      </w:r>
      <w:r>
        <w:rPr>
          <w:rFonts w:hint="eastAsia" w:eastAsia="仿宋_GB2312"/>
          <w:bCs/>
          <w:color w:val="000000"/>
          <w:sz w:val="32"/>
          <w:szCs w:val="32"/>
        </w:rPr>
        <w:t>，</w:t>
      </w:r>
      <w:r>
        <w:rPr>
          <w:rFonts w:eastAsia="仿宋_GB2312"/>
          <w:color w:val="000000"/>
          <w:sz w:val="32"/>
          <w:szCs w:val="32"/>
        </w:rPr>
        <w:t>社区综合服务设施的建筑面积不计入项目容积率，其不动产权和使用权归地方政府。</w:t>
      </w:r>
    </w:p>
    <w:p>
      <w:pPr>
        <w:spacing w:line="578" w:lineRule="exact"/>
        <w:ind w:firstLine="640" w:firstLineChars="200"/>
        <w:jc w:val="left"/>
        <w:rPr>
          <w:rFonts w:ascii="仿宋" w:hAnsi="仿宋" w:eastAsia="仿宋" w:cs="仿宋"/>
          <w:color w:val="000000"/>
          <w:sz w:val="32"/>
          <w:szCs w:val="32"/>
        </w:rPr>
      </w:pPr>
      <w:r>
        <w:rPr>
          <w:rFonts w:hint="eastAsia" w:ascii="仿宋" w:hAnsi="仿宋" w:eastAsia="仿宋" w:cs="仿宋"/>
          <w:color w:val="000000" w:themeColor="text1"/>
          <w:sz w:val="32"/>
          <w:szCs w:val="32"/>
        </w:rPr>
        <w:t>2.项目排水实行雨污分流，生活污水应接入市政污水管网排放。地块内建筑间距、退用地界线距离、停车泊位等应满足《城市居住区规划设计标准》（GB50180-2018）、《达州市城市规划管理技术规定》（2019 版）及其补充规定、《达州市城市道路两侧绿带控制规划》、《达州市马踏洞中心服务区控制性详细规划》（2018 年版）等相关规定。</w:t>
      </w:r>
    </w:p>
    <w:p>
      <w:pPr>
        <w:spacing w:line="600" w:lineRule="exact"/>
        <w:ind w:firstLine="560" w:firstLineChars="200"/>
        <w:rPr>
          <w:rFonts w:ascii="宋体"/>
          <w:b/>
          <w:color w:val="FF0000"/>
          <w:sz w:val="28"/>
          <w:szCs w:val="28"/>
          <w:u w:val="single"/>
        </w:rPr>
      </w:pPr>
      <w:r>
        <w:rPr>
          <w:rFonts w:hint="eastAsia" w:ascii="宋体" w:hAnsi="宋体"/>
          <w:sz w:val="28"/>
          <w:szCs w:val="28"/>
        </w:rPr>
        <w:t>（</w:t>
      </w:r>
      <w:r>
        <w:rPr>
          <w:rFonts w:hint="eastAsia" w:ascii="宋体" w:hAnsi="宋体"/>
          <w:sz w:val="28"/>
          <w:szCs w:val="28"/>
          <w:lang w:val="en-US" w:eastAsia="zh-CN"/>
        </w:rPr>
        <w:t>九</w:t>
      </w:r>
      <w:r>
        <w:rPr>
          <w:rFonts w:hint="eastAsia" w:ascii="宋体" w:hAnsi="宋体"/>
          <w:sz w:val="28"/>
          <w:szCs w:val="28"/>
        </w:rPr>
        <w:t>）本宗地实行现状出让：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地面构建筑物的拆除由竞得人实施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十</w:t>
      </w:r>
      <w:r>
        <w:rPr>
          <w:rFonts w:hint="eastAsia" w:ascii="宋体" w:hAnsi="宋体"/>
          <w:sz w:val="28"/>
          <w:szCs w:val="28"/>
        </w:rPr>
        <w:t>）动工及竣工期限：受让人须自交地之日起 1 年内开工，自开工之日起 3 年内建成；受让人不能按</w:t>
      </w:r>
      <w:r>
        <w:rPr>
          <w:rFonts w:ascii="宋体" w:hAnsi="宋体"/>
          <w:sz w:val="28"/>
          <w:szCs w:val="28"/>
        </w:rPr>
        <w:t>期开工，应提前 30 日向出让人提出延建申请，经出让人同意延建的，其项目竣工时间相应顺延，但延建期限不得超过一年</w:t>
      </w:r>
      <w:r>
        <w:rPr>
          <w:rFonts w:hint="eastAsia" w:ascii="宋体" w:hAnsi="宋体"/>
          <w:sz w:val="28"/>
          <w:szCs w:val="28"/>
        </w:rPr>
        <w:t>。</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w:t>
      </w:r>
      <w:r>
        <w:rPr>
          <w:rFonts w:hint="eastAsia" w:eastAsia="仿宋_GB2312"/>
          <w:color w:val="000000" w:themeColor="text1"/>
          <w:sz w:val="32"/>
          <w:szCs w:val="32"/>
          <w:lang w:val="en-US" w:eastAsia="zh-CN"/>
        </w:rPr>
        <w:t>一</w:t>
      </w:r>
      <w:r>
        <w:rPr>
          <w:rFonts w:hint="eastAsia" w:eastAsia="仿宋_GB2312"/>
          <w:color w:val="000000" w:themeColor="text1"/>
          <w:sz w:val="32"/>
          <w:szCs w:val="32"/>
        </w:rPr>
        <w:t>）土地竞得人须严格按照马踏洞片区中心服务区 04-04a 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ascii="仿宋" w:hAnsi="仿宋" w:eastAsia="仿宋" w:cs="仿宋_GB2312"/>
          <w:b/>
          <w:color w:val="000000" w:themeColor="text1"/>
          <w:sz w:val="28"/>
          <w:szCs w:val="28"/>
          <w:u w:val="single"/>
        </w:rPr>
        <w:t xml:space="preserve">0818-2377534  </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拍卖人电话0818-3333699）。</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3.土地所在辖区外的竞买申请人须承诺，若竞得土地使用权后，须在土地所在辖区成立一家新公司对竞得土地进行开发建设。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25"/>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ascii="仿宋" w:hAnsi="仿宋" w:eastAsia="仿宋" w:cs="宋体"/>
          <w:b/>
          <w:color w:val="000000" w:themeColor="text1"/>
          <w:sz w:val="28"/>
          <w:szCs w:val="28"/>
          <w:u w:val="single"/>
        </w:rPr>
        <w:t>2</w:t>
      </w:r>
      <w:r>
        <w:rPr>
          <w:rFonts w:ascii="仿宋" w:hAnsi="仿宋" w:eastAsia="仿宋" w:cs="宋体"/>
          <w:b/>
          <w:color w:val="FF0000"/>
          <w:sz w:val="28"/>
          <w:szCs w:val="28"/>
          <w:u w:val="single"/>
        </w:rPr>
        <w:t>02</w:t>
      </w:r>
      <w:r>
        <w:rPr>
          <w:rFonts w:hint="eastAsia" w:ascii="仿宋" w:hAnsi="仿宋" w:eastAsia="仿宋" w:cs="宋体"/>
          <w:b/>
          <w:color w:val="FF0000"/>
          <w:sz w:val="28"/>
          <w:szCs w:val="28"/>
          <w:u w:val="single"/>
        </w:rPr>
        <w:t>1年4月8日至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1年4月27日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25"/>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1年4月8日至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1年4月27日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000000" w:themeColor="text1"/>
          <w:sz w:val="28"/>
          <w:szCs w:val="28"/>
        </w:rPr>
        <w:t>资</w:t>
      </w:r>
      <w:r>
        <w:rPr>
          <w:rFonts w:hint="eastAsia" w:ascii="仿宋" w:hAnsi="仿宋" w:eastAsia="仿宋" w:cs="宋体"/>
          <w:b/>
          <w:color w:val="FF0000"/>
          <w:sz w:val="28"/>
          <w:szCs w:val="28"/>
        </w:rPr>
        <w:t>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1年4月28日）</w:t>
      </w:r>
      <w:r>
        <w:rPr>
          <w:rFonts w:ascii="仿宋" w:hAnsi="仿宋" w:eastAsia="仿宋" w:cs="宋体"/>
          <w:b/>
          <w:color w:val="FF0000"/>
          <w:sz w:val="28"/>
          <w:szCs w:val="28"/>
          <w:u w:val="single"/>
        </w:rPr>
        <w:t xml:space="preserve"> </w:t>
      </w:r>
      <w:r>
        <w:rPr>
          <w:rFonts w:ascii="仿宋" w:hAnsi="仿宋" w:eastAsia="仿宋" w:cs="宋体"/>
          <w:b/>
          <w:color w:val="000000" w:themeColor="text1"/>
          <w:sz w:val="28"/>
          <w:szCs w:val="28"/>
          <w:u w:val="single"/>
        </w:rPr>
        <w:t>8:30</w:t>
      </w:r>
      <w:r>
        <w:rPr>
          <w:rFonts w:hint="eastAsia" w:eastAsia="仿宋_GB2312"/>
          <w:color w:val="000000" w:themeColor="text1"/>
          <w:sz w:val="32"/>
          <w:szCs w:val="32"/>
        </w:rPr>
        <w:t>之前将竞买申请文件原件提交至4B-17，未按时提交原件的视为自行放弃竞买资格。</w:t>
      </w:r>
    </w:p>
    <w:p>
      <w:pPr>
        <w:pStyle w:val="25"/>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25"/>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25"/>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25"/>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25"/>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25"/>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1年4月28日</w:t>
      </w:r>
      <w:r>
        <w:rPr>
          <w:rFonts w:ascii="仿宋" w:hAnsi="仿宋" w:eastAsia="仿宋" w:cs="宋体"/>
          <w:b/>
          <w:color w:val="FF0000"/>
          <w:sz w:val="28"/>
          <w:szCs w:val="28"/>
          <w:u w:val="single"/>
        </w:rPr>
        <w:t xml:space="preserve"> 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本次拍卖会地点为：达州市公共资源交易中心开标五厅举行。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1年4月28日上午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起叫价478万元/亩,增价幅度为5万元/亩或5万元/亩的整倍数。成交总地价=拍卖成交最高亩价×出让面积191.99亩。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 xml:space="preserve"> 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9.拍卖主持人报出起叫价，宣布竞价开始；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10.竞买人举牌应价或者报价，首轮竞价完毕后须宣布首轮竞价结束并转为自由竞价；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11.拍卖主持人确认该竞买人应价或者报价后继续竞价；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14.公证员现场致公证词；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15.拍卖主持人主持拍卖人与竞得人在现场签订《成交确认书》。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即从起叫价(478万元/亩）+最低增价幅度（5万元/亩）=483万元/亩的价格确认，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pacing w:line="600" w:lineRule="exact"/>
        <w:ind w:firstLine="640" w:firstLineChars="200"/>
        <w:rPr>
          <w:rFonts w:ascii="仿宋" w:hAnsi="仿宋" w:eastAsia="仿宋"/>
          <w:color w:val="FF0000"/>
          <w:sz w:val="28"/>
          <w:szCs w:val="28"/>
        </w:rPr>
      </w:pPr>
      <w:r>
        <w:rPr>
          <w:rFonts w:hint="eastAsia" w:eastAsia="仿宋_GB2312"/>
          <w:color w:val="FF0000"/>
          <w:sz w:val="32"/>
          <w:szCs w:val="32"/>
        </w:rPr>
        <w:t>（九）</w:t>
      </w:r>
      <w:r>
        <w:rPr>
          <w:rFonts w:hint="eastAsia" w:eastAsia="仿宋_GB2312"/>
          <w:color w:val="000000" w:themeColor="text1"/>
          <w:sz w:val="32"/>
          <w:szCs w:val="32"/>
        </w:rPr>
        <w:t>出让合同签订时间及价款支付：</w:t>
      </w:r>
      <w:r>
        <w:rPr>
          <w:rFonts w:hint="eastAsia" w:eastAsia="仿宋_GB2312"/>
          <w:color w:val="FF0000"/>
          <w:sz w:val="32"/>
          <w:szCs w:val="32"/>
        </w:rPr>
        <w:t>土地拍卖出让成交后须当场签订《成交确认书》，自成交之日起10个工作日内须签订《国有建设用地使用权出让合同》，在出让合同签订之日起1个月内缴纳成交价总额50%的首付款，</w:t>
      </w:r>
      <w:r>
        <w:rPr>
          <w:rFonts w:eastAsia="仿宋_GB2312"/>
          <w:color w:val="FF0000"/>
          <w:sz w:val="32"/>
          <w:szCs w:val="32"/>
        </w:rPr>
        <w:t>7</w:t>
      </w:r>
      <w:r>
        <w:rPr>
          <w:rFonts w:hint="eastAsia" w:eastAsia="仿宋_GB2312"/>
          <w:color w:val="FF0000"/>
          <w:sz w:val="32"/>
          <w:szCs w:val="32"/>
        </w:rPr>
        <w:t>个月内缴至 70%，12 个月内全部缴清（不计息）。</w:t>
      </w:r>
      <w:r>
        <w:rPr>
          <w:rFonts w:hint="eastAsia" w:ascii="仿宋" w:hAnsi="仿宋" w:eastAsia="仿宋"/>
          <w:color w:val="FF0000"/>
          <w:sz w:val="28"/>
          <w:szCs w:val="28"/>
        </w:rPr>
        <w:t>否则</w:t>
      </w:r>
      <w:r>
        <w:rPr>
          <w:rFonts w:ascii="仿宋" w:hAnsi="仿宋" w:eastAsia="仿宋"/>
          <w:color w:val="FF0000"/>
          <w:sz w:val="28"/>
          <w:szCs w:val="28"/>
        </w:rPr>
        <w:t>，视为违约</w:t>
      </w:r>
      <w:r>
        <w:rPr>
          <w:rFonts w:hint="eastAsia" w:ascii="仿宋" w:hAnsi="仿宋" w:eastAsia="仿宋"/>
          <w:color w:val="FF0000"/>
          <w:sz w:val="28"/>
          <w:szCs w:val="28"/>
        </w:rPr>
        <w:t>。</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（十)土地交付条件及时间：在受让人缴清全部土地价款（含违约金）后30日内，</w:t>
      </w:r>
      <w:r>
        <w:rPr>
          <w:rFonts w:hint="eastAsia" w:ascii="仿宋" w:hAnsi="仿宋" w:eastAsia="仿宋" w:cs="宋体"/>
          <w:b/>
          <w:color w:val="000000" w:themeColor="text1"/>
          <w:sz w:val="28"/>
          <w:szCs w:val="28"/>
          <w:u w:val="single"/>
        </w:rPr>
        <w:t>达州市自然资源和规划局</w:t>
      </w:r>
      <w:r>
        <w:rPr>
          <w:rFonts w:hint="eastAsia" w:eastAsia="仿宋_GB2312"/>
          <w:color w:val="000000" w:themeColor="text1"/>
          <w:sz w:val="32"/>
          <w:szCs w:val="32"/>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（十五）达州市自然资源和规划局、达州市公共资源交易服务中心对本《须知》有解释权。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themeColor="text1"/>
          <w:sz w:val="44"/>
          <w:szCs w:val="44"/>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r>
        <w:drawing>
          <wp:inline distT="0" distB="0" distL="114300" distR="114300">
            <wp:extent cx="5274310" cy="7262495"/>
            <wp:effectExtent l="0" t="0" r="254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74310" cy="7262495"/>
                    </a:xfrm>
                    <a:prstGeom prst="rect">
                      <a:avLst/>
                    </a:prstGeom>
                    <a:noFill/>
                    <a:ln>
                      <a:noFill/>
                    </a:ln>
                  </pic:spPr>
                </pic:pic>
              </a:graphicData>
            </a:graphic>
          </wp:inline>
        </w:drawing>
      </w: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r>
        <w:drawing>
          <wp:inline distT="0" distB="0" distL="114300" distR="114300">
            <wp:extent cx="5270500" cy="6424295"/>
            <wp:effectExtent l="0" t="0" r="635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6"/>
                    <a:stretch>
                      <a:fillRect/>
                    </a:stretch>
                  </pic:blipFill>
                  <pic:spPr>
                    <a:xfrm>
                      <a:off x="0" y="0"/>
                      <a:ext cx="5270500" cy="6424295"/>
                    </a:xfrm>
                    <a:prstGeom prst="rect">
                      <a:avLst/>
                    </a:prstGeom>
                    <a:noFill/>
                    <a:ln>
                      <a:noFill/>
                    </a:ln>
                  </pic:spPr>
                </pic:pic>
              </a:graphicData>
            </a:graphic>
          </wp:inline>
        </w:drawing>
      </w:r>
    </w:p>
    <w:p>
      <w:pPr>
        <w:widowControl/>
        <w:jc w:val="left"/>
        <w:rPr>
          <w:rFonts w:ascii="宋体" w:hAnsi="宋体" w:cs="宋体"/>
          <w:color w:val="000000" w:themeColor="text1"/>
          <w:kern w:val="0"/>
          <w:sz w:val="24"/>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6" w:name="_Toc3391973"/>
      <w:bookmarkStart w:id="7" w:name="_Toc3391744"/>
      <w:r>
        <w:rPr>
          <w:rFonts w:hint="eastAsia" w:ascii="黑体" w:eastAsia="黑体"/>
          <w:color w:val="000000" w:themeColor="text1"/>
          <w:sz w:val="44"/>
          <w:szCs w:val="44"/>
        </w:rPr>
        <w:t>用地红线图</w:t>
      </w:r>
      <w:bookmarkEnd w:id="6"/>
      <w:bookmarkEnd w:id="7"/>
    </w:p>
    <w:p/>
    <w:p>
      <w:pPr>
        <w:widowControl/>
        <w:jc w:val="left"/>
        <w:rPr>
          <w:rFonts w:ascii="宋体" w:cs="宋体"/>
          <w:color w:val="000000" w:themeColor="text1"/>
          <w:sz w:val="28"/>
          <w:szCs w:val="28"/>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r>
        <w:drawing>
          <wp:inline distT="0" distB="0" distL="114300" distR="114300">
            <wp:extent cx="5270500" cy="5395595"/>
            <wp:effectExtent l="0" t="0" r="6350" b="146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270500" cy="5395595"/>
                    </a:xfrm>
                    <a:prstGeom prst="rect">
                      <a:avLst/>
                    </a:prstGeom>
                    <a:noFill/>
                    <a:ln>
                      <a:noFill/>
                    </a:ln>
                  </pic:spPr>
                </pic:pic>
              </a:graphicData>
            </a:graphic>
          </wp:inline>
        </w:drawing>
      </w:r>
    </w:p>
    <w:p>
      <w:pPr>
        <w:pStyle w:val="12"/>
        <w:rPr>
          <w:rFonts w:ascii="黑体" w:eastAsia="黑体"/>
          <w:color w:val="000000" w:themeColor="text1"/>
          <w:sz w:val="44"/>
          <w:szCs w:val="44"/>
        </w:rPr>
      </w:pPr>
      <w:bookmarkStart w:id="8" w:name="_Toc3391974"/>
      <w:bookmarkStart w:id="9" w:name="_Toc3391745"/>
      <w:r>
        <w:rPr>
          <w:rFonts w:hint="eastAsia" w:ascii="黑体" w:eastAsia="黑体"/>
          <w:color w:val="000000" w:themeColor="text1"/>
          <w:sz w:val="44"/>
          <w:szCs w:val="44"/>
        </w:rPr>
        <w:t>地块勘界图</w:t>
      </w:r>
      <w:bookmarkEnd w:id="8"/>
      <w:bookmarkEnd w:id="9"/>
    </w:p>
    <w:p>
      <w:pPr>
        <w:rPr>
          <w:color w:val="000000" w:themeColor="text1"/>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r>
        <w:drawing>
          <wp:inline distT="0" distB="0" distL="114300" distR="114300">
            <wp:extent cx="5272405" cy="7544435"/>
            <wp:effectExtent l="0" t="0" r="4445" b="184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8"/>
                    <a:stretch>
                      <a:fillRect/>
                    </a:stretch>
                  </pic:blipFill>
                  <pic:spPr>
                    <a:xfrm>
                      <a:off x="0" y="0"/>
                      <a:ext cx="5272405" cy="7544435"/>
                    </a:xfrm>
                    <a:prstGeom prst="rect">
                      <a:avLst/>
                    </a:prstGeom>
                    <a:noFill/>
                    <a:ln>
                      <a:noFill/>
                    </a:ln>
                  </pic:spPr>
                </pic:pic>
              </a:graphicData>
            </a:graphic>
          </wp:inline>
        </w:drawing>
      </w:r>
    </w:p>
    <w:p>
      <w:pPr>
        <w:pStyle w:val="12"/>
        <w:spacing w:before="0" w:after="0" w:line="500" w:lineRule="exact"/>
        <w:rPr>
          <w:rFonts w:ascii="黑体" w:hAnsi="宋体" w:eastAsia="黑体"/>
          <w:color w:val="000000" w:themeColor="text1"/>
          <w:sz w:val="44"/>
          <w:szCs w:val="44"/>
        </w:rPr>
      </w:pPr>
      <w:bookmarkStart w:id="10" w:name="_Toc3391746"/>
      <w:bookmarkStart w:id="11" w:name="_Toc3391975"/>
      <w:r>
        <w:rPr>
          <w:rFonts w:hint="eastAsia" w:ascii="黑体" w:eastAsia="黑体"/>
          <w:color w:val="000000" w:themeColor="text1"/>
          <w:sz w:val="44"/>
          <w:szCs w:val="44"/>
        </w:rPr>
        <w:t>竞买申请书</w:t>
      </w:r>
      <w:bookmarkEnd w:id="10"/>
      <w:bookmarkEnd w:id="11"/>
    </w:p>
    <w:p>
      <w:pPr>
        <w:pStyle w:val="25"/>
        <w:spacing w:line="420" w:lineRule="exact"/>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25"/>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w:t>
      </w:r>
      <w:r>
        <w:rPr>
          <w:rFonts w:hint="eastAsia" w:ascii="仿宋_GB2312" w:hAnsi="仿宋" w:eastAsia="仿宋_GB2312"/>
          <w:color w:val="000000" w:themeColor="text1"/>
          <w:w w:val="90"/>
          <w:sz w:val="24"/>
          <w:szCs w:val="24"/>
        </w:rPr>
        <w:t>￥</w:t>
      </w:r>
      <w:r>
        <w:rPr>
          <w:rFonts w:hint="eastAsia" w:ascii="仿宋_GB2312" w:hAnsi="仿宋" w:eastAsia="仿宋_GB2312"/>
          <w:color w:val="000000" w:themeColor="text1"/>
          <w:w w:val="90"/>
          <w:sz w:val="24"/>
          <w:szCs w:val="24"/>
          <w:u w:val="single"/>
        </w:rPr>
        <w:t xml:space="preserve">         </w:t>
      </w:r>
      <w:r>
        <w:rPr>
          <w:rFonts w:hint="eastAsia" w:ascii="宋体" w:hAnsi="宋体"/>
          <w:color w:val="000000" w:themeColor="text1"/>
          <w:sz w:val="24"/>
          <w:szCs w:val="24"/>
        </w:rPr>
        <w:t>万元）。</w:t>
      </w:r>
    </w:p>
    <w:p>
      <w:pPr>
        <w:pStyle w:val="25"/>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5"/>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注册成立一家新公司对竞得土地进行开发建设，新公司出资构成为</w:t>
      </w:r>
      <w:r>
        <w:rPr>
          <w:rFonts w:hint="eastAsia" w:ascii="宋体" w:hAnsi="宋体"/>
          <w:b/>
          <w:color w:val="000000" w:themeColor="text1"/>
          <w:sz w:val="24"/>
          <w:szCs w:val="24"/>
          <w:u w:val="single"/>
        </w:rPr>
        <w:t xml:space="preserve">              </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25"/>
        <w:spacing w:line="420" w:lineRule="exact"/>
        <w:ind w:firstLine="470" w:firstLineChars="196"/>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25"/>
        <w:spacing w:line="420" w:lineRule="exact"/>
        <w:ind w:left="0" w:firstLine="510"/>
        <w:rPr>
          <w:rFonts w:ascii="宋体"/>
          <w:color w:val="000000" w:themeColor="text1"/>
          <w:sz w:val="24"/>
          <w:szCs w:val="24"/>
        </w:rPr>
      </w:pPr>
    </w:p>
    <w:p>
      <w:pPr>
        <w:pStyle w:val="25"/>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747"/>
      <w:bookmarkStart w:id="13" w:name="_Toc3391976"/>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sz w:val="44"/>
          <w:szCs w:val="44"/>
        </w:rPr>
        <w:t>法定代表人身份证明书</w:t>
      </w:r>
      <w:bookmarkEnd w:id="14"/>
      <w:bookmarkEnd w:id="15"/>
    </w:p>
    <w:p>
      <w:pPr>
        <w:pStyle w:val="25"/>
        <w:spacing w:line="627" w:lineRule="atLeast"/>
        <w:ind w:left="0"/>
        <w:jc w:val="left"/>
        <w:rPr>
          <w:rFonts w:ascii="黑体" w:eastAsia="黑体"/>
          <w:color w:val="000000" w:themeColor="text1"/>
          <w:sz w:val="36"/>
          <w:szCs w:val="36"/>
        </w:rPr>
      </w:pPr>
    </w:p>
    <w:p>
      <w:pPr>
        <w:pStyle w:val="25"/>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left"/>
        <w:rPr>
          <w:rFonts w:ascii="宋体"/>
          <w:color w:val="000000" w:themeColor="text1"/>
          <w:sz w:val="28"/>
          <w:szCs w:val="28"/>
        </w:rPr>
      </w:pPr>
    </w:p>
    <w:p>
      <w:pPr>
        <w:pStyle w:val="25"/>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25"/>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5"/>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749"/>
      <w:bookmarkStart w:id="17" w:name="_Toc3391978"/>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仿宋_GB2312" w:eastAsia="仿宋_GB2312"/>
                <w:color w:val="000000" w:themeColor="text1"/>
                <w:kern w:val="0"/>
                <w:sz w:val="24"/>
                <w:u w:val="single"/>
              </w:rPr>
              <w:t xml:space="preserve">         </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hint="eastAsia" w:ascii="仿宋_GB2312" w:hAnsi="宋体" w:eastAsia="仿宋_GB2312"/>
          <w:color w:val="000000" w:themeColor="text1"/>
          <w:sz w:val="30"/>
          <w:szCs w:val="30"/>
          <w:u w:val="single"/>
        </w:rPr>
        <w:t xml:space="preserve">          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25"/>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rPr>
      </w:pPr>
    </w:p>
    <w:p>
      <w:pPr>
        <w:pStyle w:val="25"/>
        <w:spacing w:line="600" w:lineRule="exact"/>
        <w:rPr>
          <w:rFonts w:ascii="宋体"/>
          <w:color w:val="000000" w:themeColor="text1"/>
          <w:w w:val="90"/>
          <w:sz w:val="32"/>
          <w:szCs w:val="32"/>
        </w:rPr>
      </w:pPr>
      <w:r>
        <w:rPr>
          <w:color w:val="000000" w:themeColor="text1"/>
        </w:rPr>
        <mc:AlternateContent>
          <mc:Choice Requires="wps">
            <w:drawing>
              <wp:anchor distT="0" distB="0" distL="114300" distR="114300" simplePos="0" relativeHeight="25165721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5721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19"/>
          <w:rFonts w:hAnsi="宋体" w:cs="宋体"/>
          <w:color w:val="000000" w:themeColor="text1"/>
        </w:rPr>
      </w:pPr>
    </w:p>
    <w:p>
      <w:pPr>
        <w:pStyle w:val="4"/>
        <w:rPr>
          <w:rStyle w:val="19"/>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mc:AlternateContent>
          <mc:Choice Requires="wps">
            <w:drawing>
              <wp:anchor distT="0" distB="0" distL="114300" distR="114300" simplePos="0" relativeHeight="25165824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5824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5824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4340" w:firstLineChars="1550"/>
        <w:rPr>
          <w:rFonts w:hAnsi="宋体"/>
          <w:color w:val="000000" w:themeColor="text1"/>
        </w:rPr>
      </w:pPr>
      <w:r>
        <w:rPr>
          <w:rFonts w:hint="eastAsia" w:hAnsi="宋体" w:cs="仿宋_GB2312"/>
          <w:color w:val="000000" w:themeColor="text1"/>
          <w:sz w:val="28"/>
          <w:szCs w:val="28"/>
        </w:rPr>
        <w:t>二〇二〇年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w:t>
      </w:r>
      <w:r>
        <w:rPr>
          <w:rFonts w:hint="eastAsia" w:ascii="仿宋" w:hAnsi="仿宋" w:eastAsia="仿宋" w:cs="仿宋"/>
          <w:b/>
          <w:color w:val="000000" w:themeColor="text1"/>
          <w:sz w:val="32"/>
          <w:szCs w:val="32"/>
          <w:u w:val="single"/>
        </w:rPr>
        <w:t xml:space="preserve">       </w:t>
      </w:r>
      <w:r>
        <w:rPr>
          <w:rFonts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交地方：            </w:t>
      </w:r>
      <w:r>
        <w:rPr>
          <w:rFonts w:ascii="仿宋" w:hAnsi="仿宋" w:eastAsia="仿宋" w:cs="仿宋"/>
          <w:b/>
          <w:color w:val="000000" w:themeColor="text1"/>
          <w:sz w:val="32"/>
          <w:szCs w:val="32"/>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EFF" w:usb1="C0007843" w:usb2="00000009" w:usb3="00000000" w:csb0="400001FF" w:csb1="FFFF0000"/>
  </w:font>
  <w:font w:name="Cambria">
    <w:altName w:val="Segoe Print"/>
    <w:panose1 w:val="02040503050406030204"/>
    <w:charset w:val="00"/>
    <w:family w:val="roman"/>
    <w:pitch w:val="default"/>
    <w:sig w:usb0="00000000" w:usb1="00000000" w:usb2="02000000" w:usb3="00000000" w:csb0="0000019F" w:csb1="00000000"/>
  </w:font>
  <w:font w:name="方正小标宋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Times New Roman"/>
    <w:panose1 w:val="020B0600000101010101"/>
    <w:charset w:val="81"/>
    <w:family w:val="modern"/>
    <w:pitch w:val="default"/>
    <w:sig w:usb0="00000000" w:usb1="00000000" w:usb2="00000010" w:usb3="00000000" w:csb0="0008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0</wp:posOffset>
              </wp:positionV>
              <wp:extent cx="57785" cy="131445"/>
              <wp:effectExtent l="0" t="0" r="0" b="0"/>
              <wp:wrapNone/>
              <wp:docPr id="8"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6" o:spid="_x0000_s1026" o:spt="202" type="#_x0000_t202" style="position:absolute;left:0pt;margin-top:0pt;height:10.35pt;width:4.55pt;mso-position-horizontal:right;mso-position-horizontal-relative:margin;mso-wrap-style:none;z-index:25165619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7785" cy="131445"/>
              <wp:effectExtent l="0" t="0" r="0" b="0"/>
              <wp:wrapNone/>
              <wp:docPr id="15"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5</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0.35pt;width:4.55pt;mso-position-horizontal:right;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5</w:t>
                    </w:r>
                    <w:r>
                      <w:rPr>
                        <w:lang w:val="zh-CN"/>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14935" cy="131445"/>
              <wp:effectExtent l="0" t="0" r="0" b="0"/>
              <wp:wrapNone/>
              <wp:docPr id="9"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17</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8" o:spid="_x0000_s1026" o:spt="202" type="#_x0000_t202" style="position:absolute;left:0pt;margin-top:0pt;height:10.35pt;width:9.05pt;mso-position-horizontal:right;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17</w:t>
                    </w:r>
                    <w:r>
                      <w:rPr>
                        <w:lang w:val="zh-CN"/>
                      </w:rPr>
                      <w:fldChar w:fldCharType="end"/>
                    </w:r>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14935" cy="131445"/>
              <wp:effectExtent l="0" t="0" r="0" b="0"/>
              <wp:wrapNone/>
              <wp:docPr id="14"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6"/>
                          </w:pPr>
                          <w:r>
                            <w:fldChar w:fldCharType="begin"/>
                          </w:r>
                          <w:r>
                            <w:instrText xml:space="preserve"> PAGE  \* MERGEFORMAT </w:instrText>
                          </w:r>
                          <w:r>
                            <w:fldChar w:fldCharType="separate"/>
                          </w:r>
                          <w:r>
                            <w:t>46</w:t>
                          </w:r>
                          <w:r>
                            <w:fldChar w:fldCharType="end"/>
                          </w:r>
                        </w:p>
                      </w:txbxContent>
                    </wps:txbx>
                    <wps:bodyPr rot="0" vert="horz" wrap="none" lIns="0" tIns="0" rIns="0" bIns="0" anchor="t" anchorCtr="0" upright="1">
                      <a:spAutoFit/>
                    </wps:bodyPr>
                  </wps:wsp>
                </a:graphicData>
              </a:graphic>
            </wp:anchor>
          </w:drawing>
        </mc:Choice>
        <mc:Fallback>
          <w:pict>
            <v:shape id="文本框 19" o:spid="_x0000_s1026" o:spt="202" type="#_x0000_t202" style="position:absolute;left:0pt;margin-top:0pt;height:10.35pt;width:9.05pt;mso-position-horizontal:right;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313"/>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29972DE"/>
    <w:rsid w:val="03AA19C7"/>
    <w:rsid w:val="03B74AF0"/>
    <w:rsid w:val="03DE645D"/>
    <w:rsid w:val="05E1083F"/>
    <w:rsid w:val="06FA7189"/>
    <w:rsid w:val="07C85206"/>
    <w:rsid w:val="09563133"/>
    <w:rsid w:val="0B1A4AB9"/>
    <w:rsid w:val="0C497608"/>
    <w:rsid w:val="0CD833D2"/>
    <w:rsid w:val="0E2D6DD1"/>
    <w:rsid w:val="0E5731F5"/>
    <w:rsid w:val="10C679D7"/>
    <w:rsid w:val="11797BE6"/>
    <w:rsid w:val="132F26C0"/>
    <w:rsid w:val="13ED13EF"/>
    <w:rsid w:val="14E16390"/>
    <w:rsid w:val="16801789"/>
    <w:rsid w:val="1DCF1CAD"/>
    <w:rsid w:val="1EAE1A51"/>
    <w:rsid w:val="202662CF"/>
    <w:rsid w:val="20C02E3B"/>
    <w:rsid w:val="20E5353A"/>
    <w:rsid w:val="21300BE1"/>
    <w:rsid w:val="21916B72"/>
    <w:rsid w:val="21AD621F"/>
    <w:rsid w:val="22B4258F"/>
    <w:rsid w:val="249F1FCC"/>
    <w:rsid w:val="250840B1"/>
    <w:rsid w:val="26AF0309"/>
    <w:rsid w:val="28AF3A48"/>
    <w:rsid w:val="2959300C"/>
    <w:rsid w:val="2D2B72D6"/>
    <w:rsid w:val="2DAB3E8A"/>
    <w:rsid w:val="2DFB7CF8"/>
    <w:rsid w:val="2F246B5F"/>
    <w:rsid w:val="2F3436B1"/>
    <w:rsid w:val="31070868"/>
    <w:rsid w:val="327B74C9"/>
    <w:rsid w:val="33853158"/>
    <w:rsid w:val="35D85810"/>
    <w:rsid w:val="365111B7"/>
    <w:rsid w:val="37DA4387"/>
    <w:rsid w:val="3B373BF0"/>
    <w:rsid w:val="3BF5424D"/>
    <w:rsid w:val="3CAC0CBC"/>
    <w:rsid w:val="3CED456F"/>
    <w:rsid w:val="3D1179C2"/>
    <w:rsid w:val="3DF86F11"/>
    <w:rsid w:val="3E4C593B"/>
    <w:rsid w:val="3E637C3C"/>
    <w:rsid w:val="3EB30628"/>
    <w:rsid w:val="40C32B14"/>
    <w:rsid w:val="44036F51"/>
    <w:rsid w:val="44336E6F"/>
    <w:rsid w:val="452C62DB"/>
    <w:rsid w:val="47EF2633"/>
    <w:rsid w:val="48000CA4"/>
    <w:rsid w:val="48C65B68"/>
    <w:rsid w:val="49862F88"/>
    <w:rsid w:val="49E179D3"/>
    <w:rsid w:val="4A3D01D8"/>
    <w:rsid w:val="4A985E05"/>
    <w:rsid w:val="4CBB71D4"/>
    <w:rsid w:val="4CC20504"/>
    <w:rsid w:val="4D692582"/>
    <w:rsid w:val="503B5814"/>
    <w:rsid w:val="507D52C1"/>
    <w:rsid w:val="51C06615"/>
    <w:rsid w:val="536415F1"/>
    <w:rsid w:val="544A2F78"/>
    <w:rsid w:val="55253541"/>
    <w:rsid w:val="55BA7C2C"/>
    <w:rsid w:val="55E81647"/>
    <w:rsid w:val="5F5C11C0"/>
    <w:rsid w:val="5FBF30CA"/>
    <w:rsid w:val="5FCD01EE"/>
    <w:rsid w:val="601B7A0C"/>
    <w:rsid w:val="62F8125D"/>
    <w:rsid w:val="64A518E4"/>
    <w:rsid w:val="67B25079"/>
    <w:rsid w:val="67ED50B4"/>
    <w:rsid w:val="687E1002"/>
    <w:rsid w:val="692D7E27"/>
    <w:rsid w:val="69784A22"/>
    <w:rsid w:val="6BFF4848"/>
    <w:rsid w:val="72997548"/>
    <w:rsid w:val="745C561E"/>
    <w:rsid w:val="745D03BD"/>
    <w:rsid w:val="75493809"/>
    <w:rsid w:val="772C4780"/>
    <w:rsid w:val="7B0074E6"/>
    <w:rsid w:val="7B256E54"/>
    <w:rsid w:val="7B3D5FC0"/>
    <w:rsid w:val="7B5363E1"/>
    <w:rsid w:val="7BE65DC2"/>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Char"/>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Char"/>
    <w:link w:val="5"/>
    <w:qFormat/>
    <w:locked/>
    <w:uiPriority w:val="99"/>
    <w:rPr>
      <w:rFonts w:cs="Times New Roman"/>
      <w:kern w:val="2"/>
      <w:sz w:val="18"/>
      <w:szCs w:val="18"/>
    </w:rPr>
  </w:style>
  <w:style w:type="character" w:customStyle="1" w:styleId="21">
    <w:name w:val="页脚 Char"/>
    <w:link w:val="6"/>
    <w:qFormat/>
    <w:locked/>
    <w:uiPriority w:val="99"/>
    <w:rPr>
      <w:rFonts w:eastAsia="宋体" w:cs="Times New Roman"/>
      <w:kern w:val="2"/>
      <w:sz w:val="18"/>
      <w:lang w:val="en-US" w:eastAsia="zh-CN"/>
    </w:rPr>
  </w:style>
  <w:style w:type="character" w:customStyle="1" w:styleId="22">
    <w:name w:val="页眉 Char"/>
    <w:link w:val="7"/>
    <w:qFormat/>
    <w:locked/>
    <w:uiPriority w:val="99"/>
    <w:rPr>
      <w:rFonts w:eastAsia="宋体" w:cs="Times New Roman"/>
      <w:kern w:val="2"/>
      <w:sz w:val="18"/>
      <w:lang w:val="en-US" w:eastAsia="zh-CN"/>
    </w:rPr>
  </w:style>
  <w:style w:type="character" w:customStyle="1" w:styleId="23">
    <w:name w:val="副标题 Char"/>
    <w:link w:val="9"/>
    <w:qFormat/>
    <w:locked/>
    <w:uiPriority w:val="99"/>
    <w:rPr>
      <w:rFonts w:ascii="Calibri" w:hAnsi="Calibri" w:eastAsia="宋体" w:cs="Times New Roman"/>
      <w:b/>
      <w:bCs/>
      <w:kern w:val="28"/>
      <w:sz w:val="32"/>
      <w:szCs w:val="32"/>
    </w:rPr>
  </w:style>
  <w:style w:type="character" w:customStyle="1" w:styleId="24">
    <w:name w:val="标题 Char"/>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Char"/>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46</Pages>
  <Words>15759</Words>
  <Characters>2462</Characters>
  <Lines>20</Lines>
  <Paragraphs>36</Paragraphs>
  <TotalTime>33</TotalTime>
  <ScaleCrop>false</ScaleCrop>
  <LinksUpToDate>false</LinksUpToDate>
  <CharactersWithSpaces>18185</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NTKO</cp:lastModifiedBy>
  <cp:lastPrinted>2021-04-07T09:05:50Z</cp:lastPrinted>
  <dcterms:modified xsi:type="dcterms:W3CDTF">2021-04-07T09:35:05Z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