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44"/>
        </w:rPr>
      </w:pPr>
    </w:p>
    <w:p>
      <w:pPr>
        <w:rPr>
          <w:color w:val="000000" w:themeColor="text1"/>
          <w:sz w:val="44"/>
        </w:rPr>
      </w:pPr>
      <w:r>
        <w:rPr>
          <w:color w:val="000000" w:themeColor="text1"/>
        </w:rPr>
        <w:pict>
          <v:shape id="Text Box 4" o:spid="_x0000_s1026" o:spt="202" type="#_x0000_t202" style="position:absolute;left:0pt;margin-left:67.2pt;margin-top:129.65pt;height:38pt;width:495pt;mso-position-horizontal-relative:page;mso-position-vertical-relative:page;z-index:251659264;mso-width-relative:page;mso-height-relative:page;" filled="f" stroked="f" coordsize="21600,21600" o:allowincell="f" o:gfxdata="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WWRMjXAAAADAEAAA8AAAAAAAAAAQAgAAAAIgAAAGRycy9kb3ducmV2LnhtbFBLAQIU&#10;ABQAAAAIAIdO4kAiSPBxuwEAAJEDAAAOAAAAAAAAAAEAIAAAACYBAABkcnMvZTJvRG9jLnhtbFBL&#10;BQYAAAAABgAGAFkBAABT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jc w:val="right"/>
                  </w:pPr>
                  <w:r>
                    <w:rPr>
                      <w:rFonts w:ascii="微软雅黑" w:hAnsi="微软雅黑" w:eastAsia="微软雅黑" w:cs="微软雅黑"/>
                      <w:szCs w:val="21"/>
                    </w:rPr>
                    <w:t>DSTT（P）[2021]1号</w:t>
                  </w:r>
                </w:p>
                <w:p>
                  <w:pPr>
                    <w:snapToGrid w:val="0"/>
                    <w:spacing w:line="538" w:lineRule="atLeast"/>
                  </w:pPr>
                </w:p>
                <w:p/>
              </w:txbxContent>
            </v:textbox>
          </v:shape>
        </w:pict>
      </w:r>
    </w:p>
    <w:p>
      <w:pPr>
        <w:jc w:val="left"/>
        <w:rPr>
          <w:color w:val="000000" w:themeColor="text1"/>
          <w:sz w:val="44"/>
        </w:rPr>
      </w:pPr>
    </w:p>
    <w:p>
      <w:pPr>
        <w:rPr>
          <w:color w:val="000000" w:themeColor="text1"/>
          <w:sz w:val="44"/>
        </w:rPr>
      </w:pPr>
    </w:p>
    <w:p>
      <w:pPr>
        <w:ind w:left="260" w:hanging="260" w:hangingChars="50"/>
        <w:jc w:val="center"/>
        <w:rPr>
          <w:rFonts w:ascii="方正小标宋简体" w:hAnsi="微软雅黑" w:eastAsia="方正小标宋简体"/>
          <w:color w:val="000000" w:themeColor="text1"/>
          <w:sz w:val="52"/>
          <w:szCs w:val="52"/>
        </w:rPr>
      </w:pPr>
      <w:r>
        <w:rPr>
          <w:rFonts w:hint="eastAsia" w:ascii="方正小标宋简体" w:hAnsi="微软雅黑" w:eastAsia="方正小标宋简体"/>
          <w:color w:val="000000" w:themeColor="text1"/>
          <w:sz w:val="52"/>
          <w:szCs w:val="52"/>
        </w:rPr>
        <w:t>通川区双龙镇A-04-01、A-04-02、A-04-03等三宗国有建设用地使用权拍卖出让文件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30" o:spt="202" type="#_x0000_t202" style="position:absolute;left:0pt;margin-left:55.85pt;margin-top:0.65pt;height:101.55pt;width:339.2pt;z-index:251662336;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G2iLq8b&#10;AgAAYAQAAA4AAAAAAAAAAQAgAAAAKAEAAGRycy9lMm9Eb2MueG1sUEsFBgAAAAAGAAYAWQEAALUF&#10;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达州市通川区自然资源局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ascii="黑体" w:hAnsi="黑体" w:eastAsia="黑体"/>
          <w:bCs/>
          <w:color w:val="000000" w:themeColor="text1"/>
          <w:w w:val="80"/>
          <w:sz w:val="44"/>
        </w:rPr>
      </w:pPr>
      <w:r>
        <w:rPr>
          <w:color w:val="000000" w:themeColor="text1"/>
          <w:sz w:val="44"/>
        </w:rPr>
        <w:br w:type="page"/>
      </w:r>
      <w:r>
        <w:rPr>
          <w:rFonts w:hint="eastAsia" w:ascii="黑体" w:hAnsi="黑体" w:eastAsia="黑体"/>
          <w:bCs/>
          <w:color w:val="000000" w:themeColor="text1"/>
          <w:w w:val="80"/>
          <w:sz w:val="44"/>
        </w:rPr>
        <w:t>目录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r>
        <w:fldChar w:fldCharType="begin"/>
      </w:r>
      <w:r>
        <w:instrText xml:space="preserve"> HYPERLINK \l "_Toc3391970" </w:instrText>
      </w:r>
      <w:r>
        <w:fldChar w:fldCharType="separate"/>
      </w:r>
      <w:r>
        <w:rPr>
          <w:rFonts w:hint="eastAsia" w:ascii="宋体" w:hAnsi="宋体"/>
          <w:color w:val="000000" w:themeColor="text1"/>
          <w:w w:val="66"/>
          <w:sz w:val="32"/>
          <w:szCs w:val="32"/>
        </w:rPr>
        <w:t>拍卖出让公告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fldChar w:fldCharType="separate"/>
      </w:r>
      <w:r>
        <w:rPr>
          <w:rFonts w:ascii="宋体" w:hAnsi="宋体"/>
          <w:color w:val="000000" w:themeColor="text1"/>
          <w:w w:val="66"/>
          <w:sz w:val="32"/>
          <w:szCs w:val="32"/>
        </w:rPr>
        <w:t>3</w:t>
      </w:r>
      <w:r>
        <w:rPr>
          <w:rFonts w:ascii="宋体" w:hAnsi="宋体"/>
          <w:color w:val="000000" w:themeColor="text1"/>
          <w:w w:val="66"/>
          <w:sz w:val="32"/>
          <w:szCs w:val="32"/>
        </w:rPr>
        <w:fldChar w:fldCharType="end"/>
      </w:r>
      <w:r>
        <w:rPr>
          <w:rFonts w:ascii="宋体" w:hAnsi="宋体"/>
          <w:color w:val="000000" w:themeColor="text1"/>
          <w:w w:val="66"/>
          <w:sz w:val="32"/>
          <w:szCs w:val="32"/>
        </w:rPr>
        <w:fldChar w:fldCharType="end"/>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"_Toc3391971" </w:instrText>
      </w:r>
      <w:r>
        <w:fldChar w:fldCharType="separate"/>
      </w:r>
      <w:r>
        <w:rPr>
          <w:rFonts w:hint="eastAsia" w:ascii="宋体" w:hAnsi="宋体"/>
          <w:color w:val="000000" w:themeColor="text1"/>
          <w:w w:val="66"/>
          <w:sz w:val="32"/>
          <w:szCs w:val="32"/>
        </w:rPr>
        <w:t>国有建设用地使用权拍卖出让须知</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"_Toc3391972" </w:instrText>
      </w:r>
      <w:r>
        <w:fldChar w:fldCharType="separate"/>
      </w:r>
      <w:r>
        <w:rPr>
          <w:rFonts w:hint="eastAsia" w:ascii="宋体" w:hAnsi="宋体"/>
          <w:color w:val="000000" w:themeColor="text1"/>
          <w:w w:val="66"/>
          <w:sz w:val="32"/>
          <w:szCs w:val="32"/>
        </w:rPr>
        <w:t>地块规划条件相关资料</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color w:val="000000" w:themeColor="text1"/>
          <w:w w:val="66"/>
          <w:sz w:val="32"/>
          <w:szCs w:val="32"/>
        </w:rPr>
        <w:t>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"_Toc3391973" </w:instrText>
      </w:r>
      <w:r>
        <w:fldChar w:fldCharType="separate"/>
      </w:r>
      <w:r>
        <w:rPr>
          <w:rFonts w:hint="eastAsia" w:ascii="宋体" w:hAnsi="宋体"/>
          <w:color w:val="000000" w:themeColor="text1"/>
          <w:w w:val="66"/>
          <w:sz w:val="32"/>
          <w:szCs w:val="32"/>
        </w:rPr>
        <w:t>用地红线图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2</w:t>
      </w:r>
      <w:r>
        <w:rPr>
          <w:rFonts w:hint="eastAsia" w:ascii="宋体"/>
          <w:color w:val="000000" w:themeColor="text1"/>
          <w:w w:val="66"/>
          <w:sz w:val="32"/>
          <w:szCs w:val="32"/>
        </w:rPr>
        <w:t>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"_Toc3391974" </w:instrText>
      </w:r>
      <w:r>
        <w:fldChar w:fldCharType="separate"/>
      </w:r>
      <w:r>
        <w:rPr>
          <w:rFonts w:hint="eastAsia" w:ascii="宋体" w:hAnsi="宋体"/>
          <w:color w:val="000000" w:themeColor="text1"/>
          <w:w w:val="66"/>
          <w:sz w:val="32"/>
          <w:szCs w:val="32"/>
        </w:rPr>
        <w:t>宗地平面界址图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2</w:t>
      </w:r>
      <w:r>
        <w:rPr>
          <w:rFonts w:hint="eastAsia" w:ascii="宋体" w:hAnsi="宋体"/>
          <w:color w:val="000000" w:themeColor="text1"/>
          <w:w w:val="66"/>
          <w:sz w:val="32"/>
          <w:szCs w:val="32"/>
        </w:rPr>
        <w:t>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"_Toc3391975" </w:instrText>
      </w:r>
      <w:r>
        <w:fldChar w:fldCharType="separate"/>
      </w:r>
      <w:r>
        <w:rPr>
          <w:rFonts w:hint="eastAsia" w:ascii="宋体" w:hAnsi="宋体"/>
          <w:color w:val="000000" w:themeColor="text1"/>
          <w:w w:val="66"/>
          <w:sz w:val="32"/>
          <w:szCs w:val="32"/>
        </w:rPr>
        <w:t>竞买申请书（样本）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"_Toc3391976" </w:instrText>
      </w:r>
      <w:r>
        <w:fldChar w:fldCharType="separate"/>
      </w:r>
      <w:r>
        <w:rPr>
          <w:rFonts w:hint="eastAsia" w:ascii="宋体" w:hAnsi="宋体"/>
          <w:color w:val="000000" w:themeColor="text1"/>
          <w:w w:val="66"/>
          <w:sz w:val="32"/>
          <w:szCs w:val="32"/>
        </w:rPr>
        <w:t>保证金承诺书（样本）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"_Toc3391977" </w:instrText>
      </w:r>
      <w:r>
        <w:fldChar w:fldCharType="separate"/>
      </w:r>
      <w:r>
        <w:rPr>
          <w:rFonts w:hint="eastAsia" w:ascii="宋体" w:hAnsi="宋体"/>
          <w:color w:val="000000" w:themeColor="text1"/>
          <w:w w:val="66"/>
          <w:sz w:val="32"/>
          <w:szCs w:val="32"/>
        </w:rPr>
        <w:t>法定代表人身份证明书（样本）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"_Toc3391978" </w:instrText>
      </w:r>
      <w:r>
        <w:fldChar w:fldCharType="separate"/>
      </w:r>
      <w:r>
        <w:rPr>
          <w:rFonts w:hint="eastAsia" w:ascii="宋体" w:hAnsi="宋体"/>
          <w:color w:val="000000" w:themeColor="text1"/>
          <w:w w:val="66"/>
          <w:sz w:val="32"/>
          <w:szCs w:val="32"/>
        </w:rPr>
        <w:t>授权委托书（样本）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8</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"_Toc3391979" </w:instrText>
      </w:r>
      <w:r>
        <w:fldChar w:fldCharType="separate"/>
      </w:r>
      <w:r>
        <w:rPr>
          <w:rFonts w:hint="eastAsia" w:ascii="宋体" w:hAnsi="宋体"/>
          <w:color w:val="000000" w:themeColor="text1"/>
          <w:w w:val="66"/>
          <w:sz w:val="32"/>
          <w:szCs w:val="32"/>
        </w:rPr>
        <w:t>成交确认书（样本）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9</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"_Toc3391980" </w:instrText>
      </w:r>
      <w:r>
        <w:fldChar w:fldCharType="separate"/>
      </w:r>
      <w:r>
        <w:rPr>
          <w:rFonts w:hint="eastAsia" w:ascii="宋体" w:hAnsi="宋体"/>
          <w:color w:val="000000" w:themeColor="text1"/>
          <w:w w:val="66"/>
          <w:sz w:val="32"/>
          <w:szCs w:val="32"/>
        </w:rPr>
        <w:t>国有建设用地使用权出让合同（样本）</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hAnsi="宋体"/>
          <w:color w:val="000000" w:themeColor="text1"/>
          <w:w w:val="66"/>
          <w:sz w:val="32"/>
          <w:szCs w:val="32"/>
        </w:rPr>
        <w:t>30</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"_Toc3391981" </w:instrText>
      </w:r>
      <w:r>
        <w:fldChar w:fldCharType="separate"/>
      </w:r>
      <w:r>
        <w:rPr>
          <w:rFonts w:hint="eastAsia" w:ascii="宋体" w:hAnsi="宋体"/>
          <w:color w:val="000000" w:themeColor="text1"/>
          <w:w w:val="66"/>
          <w:sz w:val="32"/>
          <w:szCs w:val="32"/>
        </w:rPr>
        <w:t>其他相关文件</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hAnsi="宋体"/>
          <w:color w:val="000000" w:themeColor="text1"/>
          <w:w w:val="66"/>
          <w:sz w:val="32"/>
          <w:szCs w:val="32"/>
        </w:rPr>
        <w:t>44</w:t>
      </w:r>
    </w:p>
    <w:p>
      <w:pPr>
        <w:rPr>
          <w:rFonts w:ascii="黑体" w:eastAsia="黑体"/>
          <w:color w:val="000000" w:themeColor="text1"/>
          <w:sz w:val="48"/>
          <w:szCs w:val="48"/>
        </w:rPr>
      </w:pPr>
      <w:r>
        <w:rPr>
          <w:rFonts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33"/>
        <w:spacing w:line="492" w:lineRule="atLeast"/>
        <w:ind w:left="0"/>
        <w:rPr>
          <w:rFonts w:ascii="Dotum" w:eastAsia="Dotum" w:cs="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rPr>
      </w:pPr>
      <w:bookmarkStart w:id="0" w:name="_Toc3391741"/>
      <w:bookmarkStart w:id="1" w:name="_Toc3391970"/>
      <w:r>
        <w:rPr>
          <w:rFonts w:hint="eastAsia" w:ascii="方正小标宋简体" w:hAnsi="宋体" w:eastAsia="方正小标宋简体" w:cs="宋体"/>
          <w:color w:val="000000" w:themeColor="text1"/>
          <w:sz w:val="44"/>
          <w:szCs w:val="44"/>
        </w:rPr>
        <w:t>达州市通川区自然资源局</w:t>
      </w:r>
    </w:p>
    <w:p>
      <w:pPr>
        <w:snapToGrid w:val="0"/>
        <w:spacing w:line="600" w:lineRule="exact"/>
        <w:jc w:val="center"/>
        <w:rPr>
          <w:rFonts w:ascii="方正小标宋简体" w:hAnsi="宋体" w:eastAsia="方正小标宋简体" w:cs="宋体"/>
          <w:color w:val="000000" w:themeColor="text1"/>
          <w:sz w:val="44"/>
          <w:szCs w:val="44"/>
        </w:rPr>
      </w:pPr>
      <w:r>
        <w:rPr>
          <w:rFonts w:hint="eastAsia" w:ascii="方正小标宋简体" w:hAnsi="宋体" w:eastAsia="方正小标宋简体" w:cs="宋体"/>
          <w:color w:val="000000" w:themeColor="text1"/>
          <w:sz w:val="44"/>
          <w:szCs w:val="44"/>
        </w:rPr>
        <w:t>达州市公共资源交易服务中心</w:t>
      </w:r>
    </w:p>
    <w:p>
      <w:pPr>
        <w:pStyle w:val="12"/>
        <w:spacing w:before="0" w:after="0" w:line="600" w:lineRule="exact"/>
        <w:rPr>
          <w:rFonts w:ascii="方正小标宋简体" w:eastAsia="方正小标宋简体"/>
          <w:b w:val="0"/>
          <w:color w:val="000000" w:themeColor="text1"/>
          <w:sz w:val="44"/>
          <w:szCs w:val="44"/>
        </w:rPr>
      </w:pPr>
      <w:r>
        <w:rPr>
          <w:rFonts w:hint="eastAsia" w:ascii="方正小标宋简体" w:eastAsia="方正小标宋简体"/>
          <w:b w:val="0"/>
          <w:color w:val="000000" w:themeColor="text1"/>
          <w:sz w:val="44"/>
          <w:szCs w:val="44"/>
        </w:rPr>
        <w:t>国有建设用地使用权拍卖出让公告</w:t>
      </w:r>
      <w:bookmarkEnd w:id="0"/>
      <w:bookmarkEnd w:id="1"/>
    </w:p>
    <w:p>
      <w:pPr>
        <w:snapToGrid w:val="0"/>
        <w:spacing w:line="600" w:lineRule="exact"/>
        <w:jc w:val="center"/>
        <w:rPr>
          <w:rFonts w:ascii="宋体" w:cs="宋体"/>
          <w:color w:val="000000" w:themeColor="text1"/>
          <w:sz w:val="28"/>
          <w:szCs w:val="28"/>
        </w:rPr>
      </w:pPr>
    </w:p>
    <w:p>
      <w:pPr>
        <w:snapToGrid w:val="0"/>
        <w:spacing w:line="600" w:lineRule="exact"/>
        <w:jc w:val="center"/>
        <w:rPr>
          <w:rFonts w:ascii="宋体" w:hAnsi="宋体" w:cs="宋体"/>
          <w:color w:val="FF0000"/>
          <w:sz w:val="28"/>
          <w:szCs w:val="28"/>
        </w:rPr>
      </w:pPr>
      <w:r>
        <w:rPr>
          <w:rFonts w:ascii="微软雅黑" w:hAnsi="微软雅黑" w:eastAsia="微软雅黑" w:cs="微软雅黑"/>
          <w:szCs w:val="21"/>
        </w:rPr>
        <w:t>DSTT（P）[2021]1号</w:t>
      </w:r>
    </w:p>
    <w:p>
      <w:pPr>
        <w:widowControl/>
        <w:wordWrap w:val="0"/>
        <w:ind w:firstLine="560" w:firstLineChars="200"/>
        <w:jc w:val="left"/>
        <w:rPr>
          <w:rFonts w:ascii="微软雅黑" w:hAnsi="微软雅黑" w:eastAsia="微软雅黑" w:cs="宋体"/>
          <w:color w:val="333333"/>
          <w:kern w:val="0"/>
          <w:sz w:val="19"/>
          <w:szCs w:val="19"/>
        </w:rPr>
      </w:pPr>
      <w:r>
        <w:rPr>
          <w:rFonts w:hint="eastAsia" w:ascii="宋体" w:hAnsi="宋体" w:cs="宋体"/>
          <w:color w:val="000000" w:themeColor="text1"/>
          <w:sz w:val="28"/>
          <w:szCs w:val="28"/>
        </w:rPr>
        <w:t>经</w:t>
      </w:r>
      <w:r>
        <w:rPr>
          <w:rFonts w:hint="eastAsia" w:ascii="宋体" w:hAnsi="宋体" w:cs="宋体"/>
          <w:color w:val="000000" w:themeColor="text1"/>
          <w:sz w:val="28"/>
          <w:szCs w:val="28"/>
          <w:u w:val="single"/>
        </w:rPr>
        <w:t>达州市通川区人民政府</w:t>
      </w:r>
      <w:r>
        <w:rPr>
          <w:rFonts w:hint="eastAsia" w:ascii="宋体" w:hAnsi="宋体" w:cs="宋体"/>
          <w:color w:val="000000" w:themeColor="text1"/>
          <w:sz w:val="28"/>
          <w:szCs w:val="28"/>
        </w:rPr>
        <w:t>批准</w:t>
      </w:r>
      <w:r>
        <w:rPr>
          <w:rFonts w:hint="eastAsia" w:ascii="宋体" w:hAnsi="宋体" w:cs="宋体"/>
          <w:color w:val="000000" w:themeColor="text1"/>
          <w:sz w:val="28"/>
          <w:szCs w:val="28"/>
          <w:u w:val="single"/>
        </w:rPr>
        <w:t>，达州市通川区自然资源局</w:t>
      </w:r>
      <w:r>
        <w:rPr>
          <w:rFonts w:hint="eastAsia" w:ascii="宋体" w:hAnsi="宋体" w:cs="宋体"/>
          <w:color w:val="000000" w:themeColor="text1"/>
          <w:sz w:val="28"/>
          <w:szCs w:val="28"/>
        </w:rPr>
        <w:t>决定以拍卖方式出让</w:t>
      </w:r>
      <w:r>
        <w:rPr>
          <w:rFonts w:hint="eastAsia" w:ascii="宋体" w:hAnsi="宋体" w:cs="宋体"/>
          <w:color w:val="000000" w:themeColor="text1"/>
          <w:sz w:val="28"/>
          <w:szCs w:val="28"/>
          <w:u w:val="single"/>
        </w:rPr>
        <w:t>通川区双龙镇A-04-01、A-04-02、A-04-03等三宗</w:t>
      </w:r>
      <w:r>
        <w:rPr>
          <w:rFonts w:hint="eastAsia" w:ascii="宋体" w:hAnsi="宋体" w:cs="宋体"/>
          <w:color w:val="000000" w:themeColor="text1"/>
          <w:sz w:val="28"/>
          <w:szCs w:val="28"/>
        </w:rPr>
        <w:t>国有建设用地使用权。</w:t>
      </w:r>
      <w:r>
        <w:rPr>
          <w:rFonts w:hint="eastAsia" w:ascii="宋体" w:hAnsi="宋体" w:cs="宋体"/>
          <w:color w:val="000000" w:themeColor="text1"/>
          <w:sz w:val="28"/>
          <w:szCs w:val="28"/>
          <w:u w:val="single"/>
        </w:rPr>
        <w:t>达州市公共资源交易服务中心</w:t>
      </w:r>
      <w:r>
        <w:rPr>
          <w:rFonts w:hint="eastAsia" w:ascii="宋体" w:hAnsi="宋体" w:cs="宋体"/>
          <w:color w:val="000000" w:themeColor="text1"/>
          <w:sz w:val="28"/>
          <w:szCs w:val="28"/>
        </w:rPr>
        <w:t>受出让人委托对三宗</w:t>
      </w:r>
      <w:r>
        <w:rPr>
          <w:rFonts w:hint="eastAsia" w:ascii="宋体" w:hAnsi="宋体" w:cs="宋体"/>
          <w:color w:val="000000" w:themeColor="text1"/>
          <w:kern w:val="0"/>
          <w:sz w:val="28"/>
          <w:szCs w:val="28"/>
        </w:rPr>
        <w:t>地块</w:t>
      </w:r>
      <w:r>
        <w:rPr>
          <w:rFonts w:hint="eastAsia" w:ascii="宋体" w:hAnsi="宋体" w:cs="宋体"/>
          <w:color w:val="000000" w:themeColor="text1"/>
          <w:sz w:val="28"/>
          <w:szCs w:val="28"/>
        </w:rPr>
        <w:t>组织拍卖。现将有关事项公告如下：</w:t>
      </w:r>
    </w:p>
    <w:p>
      <w:pPr>
        <w:numPr>
          <w:ilvl w:val="0"/>
          <w:numId w:val="2"/>
        </w:numPr>
        <w:snapToGrid w:val="0"/>
        <w:spacing w:line="600" w:lineRule="exact"/>
        <w:rPr>
          <w:rFonts w:ascii="宋体" w:hAnsi="宋体" w:cs="宋体"/>
          <w:color w:val="000000" w:themeColor="text1"/>
          <w:sz w:val="28"/>
          <w:szCs w:val="28"/>
        </w:rPr>
      </w:pPr>
      <w:r>
        <w:rPr>
          <w:rFonts w:hint="eastAsia" w:ascii="宋体" w:hAnsi="宋体" w:cs="宋体"/>
          <w:color w:val="000000" w:themeColor="text1"/>
          <w:sz w:val="28"/>
          <w:szCs w:val="28"/>
        </w:rPr>
        <w:t>拍卖出让地块的基本情况和规划指标要求：</w:t>
      </w:r>
    </w:p>
    <w:tbl>
      <w:tblPr>
        <w:tblStyle w:val="13"/>
        <w:tblW w:w="5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8"/>
        <w:gridCol w:w="644"/>
        <w:gridCol w:w="455"/>
        <w:gridCol w:w="567"/>
        <w:gridCol w:w="731"/>
        <w:gridCol w:w="586"/>
        <w:gridCol w:w="453"/>
        <w:gridCol w:w="501"/>
        <w:gridCol w:w="565"/>
        <w:gridCol w:w="2001"/>
        <w:gridCol w:w="806"/>
        <w:gridCol w:w="594"/>
        <w:gridCol w:w="726"/>
        <w:gridCol w:w="766"/>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48" w:type="pct"/>
            <w:vMerge w:val="restart"/>
            <w:tcBorders>
              <w:top w:val="single" w:color="000000" w:sz="4" w:space="0"/>
              <w:lef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序号</w:t>
            </w:r>
          </w:p>
        </w:tc>
        <w:tc>
          <w:tcPr>
            <w:tcW w:w="310"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地块</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编号</w:t>
            </w:r>
          </w:p>
        </w:tc>
        <w:tc>
          <w:tcPr>
            <w:tcW w:w="219"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位置</w:t>
            </w:r>
          </w:p>
        </w:tc>
        <w:tc>
          <w:tcPr>
            <w:tcW w:w="273"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土地出让面积</w:t>
            </w:r>
            <w:r>
              <w:rPr>
                <w:rFonts w:ascii="黑体" w:hAnsi="黑体" w:eastAsia="黑体" w:cs="宋体"/>
                <w:color w:val="000000" w:themeColor="text1"/>
                <w:sz w:val="13"/>
                <w:szCs w:val="13"/>
              </w:rPr>
              <w:t>(</w:t>
            </w:r>
            <w:r>
              <w:rPr>
                <w:rFonts w:hint="eastAsia" w:ascii="黑体" w:hAnsi="黑体" w:eastAsia="黑体" w:cs="宋体"/>
                <w:color w:val="000000" w:themeColor="text1"/>
                <w:sz w:val="13"/>
                <w:szCs w:val="13"/>
              </w:rPr>
              <w:t>㎡）</w:t>
            </w:r>
          </w:p>
        </w:tc>
        <w:tc>
          <w:tcPr>
            <w:tcW w:w="352"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用途</w:t>
            </w:r>
          </w:p>
        </w:tc>
        <w:tc>
          <w:tcPr>
            <w:tcW w:w="2364" w:type="pct"/>
            <w:gridSpan w:val="6"/>
            <w:tcBorders>
              <w:top w:val="single" w:color="000000" w:sz="4" w:space="0"/>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规划指标要求</w:t>
            </w:r>
          </w:p>
        </w:tc>
        <w:tc>
          <w:tcPr>
            <w:tcW w:w="286"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出让</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年限</w:t>
            </w:r>
          </w:p>
        </w:tc>
        <w:tc>
          <w:tcPr>
            <w:tcW w:w="350"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起拍价</w:t>
            </w:r>
          </w:p>
        </w:tc>
        <w:tc>
          <w:tcPr>
            <w:tcW w:w="369" w:type="pct"/>
            <w:vMerge w:val="restart"/>
            <w:tcBorders>
              <w:top w:val="single" w:color="000000" w:sz="4" w:space="0"/>
              <w:right w:val="single" w:color="000000" w:sz="4" w:space="0"/>
            </w:tcBorders>
            <w:vAlign w:val="center"/>
          </w:tcPr>
          <w:p>
            <w:pPr>
              <w:jc w:val="center"/>
              <w:rPr>
                <w:rFonts w:ascii="黑体" w:hAnsi="黑体" w:eastAsia="黑体"/>
                <w:color w:val="000000" w:themeColor="text1"/>
                <w:spacing w:val="-6"/>
                <w:sz w:val="13"/>
                <w:szCs w:val="13"/>
              </w:rPr>
            </w:pPr>
            <w:r>
              <w:rPr>
                <w:rFonts w:hint="eastAsia" w:ascii="黑体" w:hAnsi="黑体" w:eastAsia="黑体" w:cs="宋体"/>
                <w:color w:val="000000" w:themeColor="text1"/>
                <w:spacing w:val="-6"/>
                <w:sz w:val="13"/>
                <w:szCs w:val="13"/>
              </w:rPr>
              <w:t>增价</w:t>
            </w:r>
          </w:p>
          <w:p>
            <w:pPr>
              <w:jc w:val="center"/>
              <w:rPr>
                <w:rFonts w:ascii="黑体" w:hAnsi="黑体" w:eastAsia="黑体"/>
                <w:color w:val="000000" w:themeColor="text1"/>
                <w:spacing w:val="-32"/>
                <w:sz w:val="13"/>
                <w:szCs w:val="13"/>
              </w:rPr>
            </w:pPr>
            <w:r>
              <w:rPr>
                <w:rFonts w:hint="eastAsia" w:ascii="黑体" w:hAnsi="黑体" w:eastAsia="黑体" w:cs="宋体"/>
                <w:color w:val="000000" w:themeColor="text1"/>
                <w:spacing w:val="-6"/>
                <w:sz w:val="13"/>
                <w:szCs w:val="13"/>
              </w:rPr>
              <w:t>幅度</w:t>
            </w:r>
          </w:p>
        </w:tc>
        <w:tc>
          <w:tcPr>
            <w:tcW w:w="324" w:type="pct"/>
            <w:vMerge w:val="restart"/>
            <w:tcBorders>
              <w:top w:val="single" w:color="000000" w:sz="4" w:space="0"/>
              <w:right w:val="single" w:color="000000" w:sz="4" w:space="0"/>
            </w:tcBorders>
            <w:vAlign w:val="center"/>
          </w:tcPr>
          <w:p>
            <w:pPr>
              <w:jc w:val="center"/>
              <w:rPr>
                <w:rFonts w:ascii="黑体" w:hAnsi="黑体" w:eastAsia="黑体" w:cs="宋体"/>
                <w:color w:val="000000" w:themeColor="text1"/>
                <w:sz w:val="13"/>
                <w:szCs w:val="13"/>
              </w:rPr>
            </w:pPr>
            <w:r>
              <w:rPr>
                <w:rFonts w:hint="eastAsia" w:ascii="黑体" w:hAnsi="黑体" w:eastAsia="黑体" w:cs="宋体"/>
                <w:color w:val="000000" w:themeColor="text1"/>
                <w:sz w:val="13"/>
                <w:szCs w:val="13"/>
              </w:rPr>
              <w:t>竞买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48" w:type="pct"/>
            <w:vMerge w:val="continue"/>
            <w:tcBorders>
              <w:top w:val="single" w:color="000000" w:sz="4" w:space="0"/>
              <w:left w:val="single" w:color="000000" w:sz="4" w:space="0"/>
            </w:tcBorders>
            <w:vAlign w:val="center"/>
          </w:tcPr>
          <w:p>
            <w:pPr>
              <w:widowControl/>
              <w:jc w:val="left"/>
              <w:rPr>
                <w:rFonts w:ascii="黑体" w:hAnsi="黑体" w:eastAsia="黑体"/>
                <w:color w:val="000000" w:themeColor="text1"/>
                <w:sz w:val="13"/>
                <w:szCs w:val="13"/>
              </w:rPr>
            </w:pPr>
          </w:p>
        </w:tc>
        <w:tc>
          <w:tcPr>
            <w:tcW w:w="310"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19"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73"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352"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82" w:type="pct"/>
            <w:tcBorders>
              <w:bottom w:val="single" w:color="000000" w:sz="4" w:space="0"/>
              <w:right w:val="single" w:color="000000" w:sz="4" w:space="0"/>
            </w:tcBorders>
            <w:vAlign w:val="center"/>
          </w:tcPr>
          <w:p>
            <w:pPr>
              <w:snapToGrid w:val="0"/>
              <w:spacing w:line="289" w:lineRule="atLeast"/>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容积率</w:t>
            </w:r>
          </w:p>
        </w:tc>
        <w:tc>
          <w:tcPr>
            <w:tcW w:w="218"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建筑</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密度</w:t>
            </w:r>
          </w:p>
        </w:tc>
        <w:tc>
          <w:tcPr>
            <w:tcW w:w="241"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绿地率</w:t>
            </w:r>
          </w:p>
        </w:tc>
        <w:tc>
          <w:tcPr>
            <w:tcW w:w="272" w:type="pct"/>
            <w:tcBorders>
              <w:bottom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建筑</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限高</w:t>
            </w:r>
          </w:p>
        </w:tc>
        <w:tc>
          <w:tcPr>
            <w:tcW w:w="963" w:type="pct"/>
            <w:tcBorders>
              <w:bottom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olor w:val="000000" w:themeColor="text1"/>
                <w:sz w:val="13"/>
                <w:szCs w:val="13"/>
              </w:rPr>
              <w:t>配套设施</w:t>
            </w:r>
          </w:p>
        </w:tc>
        <w:tc>
          <w:tcPr>
            <w:tcW w:w="386"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其他规划指标</w:t>
            </w:r>
          </w:p>
        </w:tc>
        <w:tc>
          <w:tcPr>
            <w:tcW w:w="286"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c>
          <w:tcPr>
            <w:tcW w:w="350"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c>
          <w:tcPr>
            <w:tcW w:w="369" w:type="pct"/>
            <w:vMerge w:val="continue"/>
            <w:tcBorders>
              <w:right w:val="single" w:color="000000" w:sz="4" w:space="0"/>
            </w:tcBorders>
            <w:vAlign w:val="center"/>
          </w:tcPr>
          <w:p>
            <w:pPr>
              <w:widowControl/>
              <w:jc w:val="left"/>
              <w:rPr>
                <w:rFonts w:ascii="黑体" w:hAnsi="黑体" w:eastAsia="黑体"/>
                <w:color w:val="000000" w:themeColor="text1"/>
                <w:spacing w:val="-32"/>
                <w:sz w:val="13"/>
                <w:szCs w:val="13"/>
              </w:rPr>
            </w:pPr>
          </w:p>
        </w:tc>
        <w:tc>
          <w:tcPr>
            <w:tcW w:w="324"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48" w:type="pct"/>
            <w:tcBorders>
              <w:left w:val="single" w:color="000000" w:sz="4" w:space="0"/>
            </w:tcBorders>
            <w:vAlign w:val="center"/>
          </w:tcPr>
          <w:p>
            <w:pPr>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1</w:t>
            </w:r>
          </w:p>
        </w:tc>
        <w:tc>
          <w:tcPr>
            <w:tcW w:w="31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       A-04-01</w:t>
            </w:r>
          </w:p>
        </w:tc>
        <w:tc>
          <w:tcPr>
            <w:tcW w:w="21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通川区双龙镇双丰村</w:t>
            </w:r>
          </w:p>
        </w:tc>
        <w:tc>
          <w:tcPr>
            <w:tcW w:w="273"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20037.73平方米（折合30.06亩）</w:t>
            </w:r>
          </w:p>
        </w:tc>
        <w:tc>
          <w:tcPr>
            <w:tcW w:w="35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商住综合用地（10%≤商业计容建筑面积占总计容建筑面积比例≤30%）</w:t>
            </w:r>
          </w:p>
        </w:tc>
        <w:tc>
          <w:tcPr>
            <w:tcW w:w="28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F≤3.0</w:t>
            </w:r>
          </w:p>
        </w:tc>
        <w:tc>
          <w:tcPr>
            <w:tcW w:w="218"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B≤35%</w:t>
            </w:r>
          </w:p>
        </w:tc>
        <w:tc>
          <w:tcPr>
            <w:tcW w:w="241"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G≥25%</w:t>
            </w:r>
          </w:p>
        </w:tc>
        <w:tc>
          <w:tcPr>
            <w:tcW w:w="272"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HL≤80米</w:t>
            </w:r>
          </w:p>
        </w:tc>
        <w:tc>
          <w:tcPr>
            <w:tcW w:w="963" w:type="pct"/>
            <w:vAlign w:val="center"/>
          </w:tcPr>
          <w:p>
            <w:pPr>
              <w:spacing w:line="200" w:lineRule="exact"/>
              <w:rPr>
                <w:rFonts w:ascii="仿宋_GB2312" w:hAnsi="仿宋_GB2312" w:eastAsia="仿宋_GB2312" w:cs="仿宋_GB2312"/>
                <w:sz w:val="13"/>
                <w:szCs w:val="13"/>
              </w:rPr>
            </w:pPr>
            <w:r>
              <w:rPr>
                <w:rFonts w:hint="eastAsia" w:ascii="仿宋_GB2312" w:hAnsi="仿宋_GB2312" w:eastAsia="仿宋_GB2312" w:cs="仿宋_GB2312"/>
                <w:sz w:val="13"/>
                <w:szCs w:val="13"/>
              </w:rPr>
              <w:t>根据《达州市人民政府办公室关于印发达州市中心城区新建住宅小区配套建设社区综合服务设施实施办法的通知》（达市府办〔2018〕57号）精神，开发建设单位按照计容住宅建筑面积3‰的比例无偿配建一个不低于150平方米的社区综合服务设施，建筑面积不计入项目容积率，其不动产权和使用权归地方政府。</w:t>
            </w:r>
          </w:p>
        </w:tc>
        <w:tc>
          <w:tcPr>
            <w:tcW w:w="386" w:type="pct"/>
            <w:tcBorders>
              <w:right w:val="single" w:color="000000" w:sz="4" w:space="0"/>
            </w:tcBorders>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详见《达州市通川区双龙镇A-04-01地块规划条件》</w:t>
            </w:r>
          </w:p>
          <w:p>
            <w:pPr>
              <w:spacing w:line="200" w:lineRule="exact"/>
              <w:rPr>
                <w:rFonts w:ascii="仿宋_GB2312" w:hAnsi="仿宋_GB2312" w:eastAsia="仿宋_GB2312" w:cs="仿宋_GB2312"/>
                <w:sz w:val="13"/>
                <w:szCs w:val="13"/>
              </w:rPr>
            </w:pPr>
          </w:p>
        </w:tc>
        <w:tc>
          <w:tcPr>
            <w:tcW w:w="286"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商业40年、住宅70年</w:t>
            </w:r>
          </w:p>
        </w:tc>
        <w:tc>
          <w:tcPr>
            <w:tcW w:w="35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205万元/亩</w:t>
            </w:r>
          </w:p>
          <w:p>
            <w:pPr>
              <w:spacing w:line="200" w:lineRule="exact"/>
              <w:jc w:val="center"/>
              <w:rPr>
                <w:rFonts w:ascii="仿宋_GB2312" w:hAnsi="仿宋_GB2312" w:eastAsia="仿宋_GB2312" w:cs="仿宋_GB2312"/>
                <w:sz w:val="13"/>
                <w:szCs w:val="13"/>
              </w:rPr>
            </w:pPr>
          </w:p>
        </w:tc>
        <w:tc>
          <w:tcPr>
            <w:tcW w:w="36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5 万元/亩或 5 万元/亩</w:t>
            </w:r>
          </w:p>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的整数倍</w:t>
            </w:r>
          </w:p>
          <w:p>
            <w:pPr>
              <w:spacing w:line="200" w:lineRule="exact"/>
              <w:jc w:val="center"/>
              <w:rPr>
                <w:rFonts w:ascii="仿宋_GB2312" w:hAnsi="仿宋_GB2312" w:eastAsia="仿宋_GB2312" w:cs="仿宋_GB2312"/>
                <w:sz w:val="13"/>
                <w:szCs w:val="13"/>
              </w:rPr>
            </w:pPr>
          </w:p>
        </w:tc>
        <w:tc>
          <w:tcPr>
            <w:tcW w:w="324"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1900万元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48" w:type="pct"/>
            <w:tcBorders>
              <w:left w:val="single" w:color="000000" w:sz="4" w:space="0"/>
            </w:tcBorders>
            <w:vAlign w:val="center"/>
          </w:tcPr>
          <w:p>
            <w:pPr>
              <w:jc w:val="center"/>
              <w:rPr>
                <w:rFonts w:ascii="黑体" w:hAnsi="黑体" w:eastAsia="黑体" w:cs="宋体"/>
                <w:color w:val="000000" w:themeColor="text1"/>
                <w:sz w:val="13"/>
                <w:szCs w:val="13"/>
              </w:rPr>
            </w:pPr>
            <w:r>
              <w:rPr>
                <w:rFonts w:hint="eastAsia" w:ascii="黑体" w:hAnsi="黑体" w:eastAsia="黑体" w:cs="宋体"/>
                <w:color w:val="000000" w:themeColor="text1"/>
                <w:sz w:val="13"/>
                <w:szCs w:val="13"/>
              </w:rPr>
              <w:t>2</w:t>
            </w:r>
          </w:p>
        </w:tc>
        <w:tc>
          <w:tcPr>
            <w:tcW w:w="31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       A-04-02</w:t>
            </w:r>
          </w:p>
        </w:tc>
        <w:tc>
          <w:tcPr>
            <w:tcW w:w="21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通川区双龙镇双丰村</w:t>
            </w:r>
          </w:p>
        </w:tc>
        <w:tc>
          <w:tcPr>
            <w:tcW w:w="273"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34026.62平方米（折合51.04亩）</w:t>
            </w:r>
          </w:p>
        </w:tc>
        <w:tc>
          <w:tcPr>
            <w:tcW w:w="35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商住综合用地（10%≤商业计容建筑面积占总计容建筑面积比例≤30%）</w:t>
            </w:r>
          </w:p>
        </w:tc>
        <w:tc>
          <w:tcPr>
            <w:tcW w:w="28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F≤3.0</w:t>
            </w:r>
          </w:p>
        </w:tc>
        <w:tc>
          <w:tcPr>
            <w:tcW w:w="218"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B≤35%</w:t>
            </w:r>
          </w:p>
        </w:tc>
        <w:tc>
          <w:tcPr>
            <w:tcW w:w="241"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G≥25%</w:t>
            </w:r>
          </w:p>
        </w:tc>
        <w:tc>
          <w:tcPr>
            <w:tcW w:w="272"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HL≤80米</w:t>
            </w:r>
          </w:p>
        </w:tc>
        <w:tc>
          <w:tcPr>
            <w:tcW w:w="963" w:type="pct"/>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根据《达州市人民政府办公室关于印发达州市中心城区新建住宅小区配套建设社区综合服务设施实施办法的通知》（达市府办〔2018〕57号）精神，开发建设单位按照计容住宅建筑面积3‰的比例无偿配建一个社区综合服务设施，建筑面积不计入项目容积率，其不动产权和使用权归地方政府。</w:t>
            </w:r>
          </w:p>
          <w:p>
            <w:pPr>
              <w:spacing w:line="200" w:lineRule="exact"/>
              <w:rPr>
                <w:rFonts w:ascii="仿宋_GB2312" w:hAnsi="仿宋_GB2312" w:eastAsia="仿宋_GB2312" w:cs="仿宋_GB2312"/>
                <w:sz w:val="13"/>
                <w:szCs w:val="13"/>
              </w:rPr>
            </w:pPr>
          </w:p>
        </w:tc>
        <w:tc>
          <w:tcPr>
            <w:tcW w:w="386" w:type="pct"/>
            <w:tcBorders>
              <w:right w:val="single" w:color="000000" w:sz="4" w:space="0"/>
            </w:tcBorders>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详见《达州市通川区双龙镇A-04-02地块规划条件》</w:t>
            </w:r>
          </w:p>
          <w:p>
            <w:pPr>
              <w:spacing w:line="200" w:lineRule="exact"/>
              <w:rPr>
                <w:rFonts w:ascii="仿宋_GB2312" w:hAnsi="仿宋_GB2312" w:eastAsia="仿宋_GB2312" w:cs="仿宋_GB2312"/>
                <w:sz w:val="13"/>
                <w:szCs w:val="13"/>
              </w:rPr>
            </w:pPr>
          </w:p>
        </w:tc>
        <w:tc>
          <w:tcPr>
            <w:tcW w:w="286"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商业40年、住宅70年</w:t>
            </w:r>
          </w:p>
        </w:tc>
        <w:tc>
          <w:tcPr>
            <w:tcW w:w="35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205万元/亩</w:t>
            </w:r>
          </w:p>
          <w:p>
            <w:pPr>
              <w:spacing w:line="200" w:lineRule="exact"/>
              <w:jc w:val="center"/>
              <w:rPr>
                <w:rFonts w:ascii="仿宋_GB2312" w:hAnsi="仿宋_GB2312" w:eastAsia="仿宋_GB2312" w:cs="仿宋_GB2312"/>
                <w:sz w:val="13"/>
                <w:szCs w:val="13"/>
              </w:rPr>
            </w:pPr>
          </w:p>
        </w:tc>
        <w:tc>
          <w:tcPr>
            <w:tcW w:w="36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5 万元/亩或 5 万元/亩</w:t>
            </w:r>
          </w:p>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的整数倍</w:t>
            </w:r>
          </w:p>
          <w:p>
            <w:pPr>
              <w:spacing w:line="200" w:lineRule="exact"/>
              <w:jc w:val="center"/>
              <w:rPr>
                <w:rFonts w:ascii="仿宋_GB2312" w:hAnsi="仿宋_GB2312" w:eastAsia="仿宋_GB2312" w:cs="仿宋_GB2312"/>
                <w:sz w:val="13"/>
                <w:szCs w:val="13"/>
              </w:rPr>
            </w:pPr>
          </w:p>
        </w:tc>
        <w:tc>
          <w:tcPr>
            <w:tcW w:w="324"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3200万元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48" w:type="pct"/>
            <w:tcBorders>
              <w:left w:val="single" w:color="000000" w:sz="4" w:space="0"/>
            </w:tcBorders>
            <w:vAlign w:val="center"/>
          </w:tcPr>
          <w:p>
            <w:pPr>
              <w:jc w:val="center"/>
              <w:rPr>
                <w:rFonts w:hint="eastAsia" w:ascii="黑体" w:hAnsi="黑体" w:eastAsia="黑体" w:cs="宋体"/>
                <w:color w:val="000000" w:themeColor="text1"/>
                <w:sz w:val="13"/>
                <w:szCs w:val="13"/>
                <w:lang w:val="en-US" w:eastAsia="zh-CN"/>
              </w:rPr>
            </w:pPr>
            <w:r>
              <w:rPr>
                <w:rFonts w:hint="eastAsia" w:ascii="黑体" w:hAnsi="黑体" w:eastAsia="黑体" w:cs="宋体"/>
                <w:color w:val="000000" w:themeColor="text1"/>
                <w:sz w:val="13"/>
                <w:szCs w:val="13"/>
                <w:lang w:val="en-US" w:eastAsia="zh-CN"/>
              </w:rPr>
              <w:t>3</w:t>
            </w:r>
            <w:bookmarkStart w:id="21" w:name="_GoBack"/>
            <w:bookmarkEnd w:id="21"/>
          </w:p>
        </w:tc>
        <w:tc>
          <w:tcPr>
            <w:tcW w:w="31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       A-04-03</w:t>
            </w:r>
          </w:p>
        </w:tc>
        <w:tc>
          <w:tcPr>
            <w:tcW w:w="21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通川区双龙镇双丰村</w:t>
            </w:r>
          </w:p>
        </w:tc>
        <w:tc>
          <w:tcPr>
            <w:tcW w:w="273"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24105.18平方米（折合36.16亩）</w:t>
            </w:r>
          </w:p>
        </w:tc>
        <w:tc>
          <w:tcPr>
            <w:tcW w:w="35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商住综合用地（10%≤商业计容建筑面积占总计容建筑面积比例≤30%）</w:t>
            </w:r>
          </w:p>
        </w:tc>
        <w:tc>
          <w:tcPr>
            <w:tcW w:w="28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F≤3.0</w:t>
            </w:r>
          </w:p>
        </w:tc>
        <w:tc>
          <w:tcPr>
            <w:tcW w:w="218"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B≤35%</w:t>
            </w:r>
          </w:p>
        </w:tc>
        <w:tc>
          <w:tcPr>
            <w:tcW w:w="241"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G≥25%</w:t>
            </w:r>
          </w:p>
        </w:tc>
        <w:tc>
          <w:tcPr>
            <w:tcW w:w="272"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HL≤80米</w:t>
            </w:r>
          </w:p>
        </w:tc>
        <w:tc>
          <w:tcPr>
            <w:tcW w:w="963" w:type="pct"/>
            <w:vAlign w:val="center"/>
          </w:tcPr>
          <w:p>
            <w:pPr>
              <w:spacing w:line="200" w:lineRule="exact"/>
              <w:rPr>
                <w:rFonts w:ascii="仿宋_GB2312" w:hAnsi="仿宋_GB2312" w:eastAsia="仿宋_GB2312" w:cs="仿宋_GB2312"/>
                <w:sz w:val="13"/>
                <w:szCs w:val="13"/>
              </w:rPr>
            </w:pPr>
            <w:r>
              <w:rPr>
                <w:rFonts w:hint="eastAsia" w:ascii="仿宋_GB2312" w:hAnsi="仿宋_GB2312" w:eastAsia="仿宋_GB2312" w:cs="仿宋_GB2312"/>
                <w:sz w:val="13"/>
                <w:szCs w:val="13"/>
              </w:rPr>
              <w:t>根据《达州市人民政府办公室关于印发达州市中心城区新建住宅小区配套建设社区综合服务设施实施办法的通知》（达市府办〔2018〕57号）精神，开发建设单位按照计容住宅建筑面积3‰的比例无偿配建一个社区综合服务设施，建筑面积不计入项目容积率，其不动产权和使用权归地方政府。</w:t>
            </w:r>
          </w:p>
        </w:tc>
        <w:tc>
          <w:tcPr>
            <w:tcW w:w="386" w:type="pct"/>
            <w:tcBorders>
              <w:right w:val="single" w:color="000000" w:sz="4" w:space="0"/>
            </w:tcBorders>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详见《达州市通川区双龙镇A-04-03地块规划条件》</w:t>
            </w:r>
          </w:p>
          <w:p>
            <w:pPr>
              <w:spacing w:line="200" w:lineRule="exact"/>
              <w:rPr>
                <w:rFonts w:ascii="仿宋_GB2312" w:hAnsi="仿宋_GB2312" w:eastAsia="仿宋_GB2312" w:cs="仿宋_GB2312"/>
                <w:sz w:val="13"/>
                <w:szCs w:val="13"/>
              </w:rPr>
            </w:pPr>
          </w:p>
        </w:tc>
        <w:tc>
          <w:tcPr>
            <w:tcW w:w="286"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商业40年、住宅70年</w:t>
            </w:r>
          </w:p>
        </w:tc>
        <w:tc>
          <w:tcPr>
            <w:tcW w:w="35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205万元/亩</w:t>
            </w:r>
          </w:p>
          <w:p>
            <w:pPr>
              <w:spacing w:line="200" w:lineRule="exact"/>
              <w:jc w:val="center"/>
              <w:rPr>
                <w:rFonts w:ascii="仿宋_GB2312" w:hAnsi="仿宋_GB2312" w:eastAsia="仿宋_GB2312" w:cs="仿宋_GB2312"/>
                <w:sz w:val="13"/>
                <w:szCs w:val="13"/>
              </w:rPr>
            </w:pPr>
          </w:p>
        </w:tc>
        <w:tc>
          <w:tcPr>
            <w:tcW w:w="36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5 万元/亩或 5 万元/亩</w:t>
            </w:r>
          </w:p>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的整数倍</w:t>
            </w:r>
          </w:p>
          <w:p>
            <w:pPr>
              <w:spacing w:line="200" w:lineRule="exact"/>
              <w:jc w:val="center"/>
              <w:rPr>
                <w:rFonts w:ascii="仿宋_GB2312" w:hAnsi="仿宋_GB2312" w:eastAsia="仿宋_GB2312" w:cs="仿宋_GB2312"/>
                <w:sz w:val="13"/>
                <w:szCs w:val="13"/>
              </w:rPr>
            </w:pPr>
          </w:p>
        </w:tc>
        <w:tc>
          <w:tcPr>
            <w:tcW w:w="324"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2300万元</w:t>
            </w:r>
          </w:p>
        </w:tc>
      </w:tr>
    </w:tbl>
    <w:p>
      <w:pPr>
        <w:snapToGrid w:val="0"/>
        <w:spacing w:line="578" w:lineRule="exact"/>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二、中华人民共和国境内外的法人、自然人和其他组织均可申请参加竞买，竞买申请人可以单独申请</w:t>
      </w:r>
      <w:r>
        <w:rPr>
          <w:rFonts w:ascii="宋体" w:hAnsi="宋体" w:cs="宋体"/>
          <w:color w:val="000000" w:themeColor="text1"/>
          <w:sz w:val="28"/>
          <w:szCs w:val="28"/>
        </w:rPr>
        <w:t>,</w:t>
      </w:r>
      <w:r>
        <w:rPr>
          <w:rFonts w:hint="eastAsia" w:ascii="宋体" w:hAnsi="宋体" w:cs="宋体"/>
          <w:color w:val="000000" w:themeColor="text1"/>
          <w:sz w:val="28"/>
          <w:szCs w:val="28"/>
        </w:rPr>
        <w:t>也可以联合申请，但法律法规或出让文件有特殊规定的除外。</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ascii="宋体" w:hAnsi="宋体" w:cs="宋体"/>
          <w:color w:val="000000" w:themeColor="text1"/>
          <w:sz w:val="28"/>
          <w:szCs w:val="28"/>
        </w:rPr>
        <w:t>三、申请参加本公告土地竞买的，竞买保证金须按竞买宗地对应金额</w:t>
      </w:r>
      <w:r>
        <w:rPr>
          <w:rFonts w:hint="eastAsia" w:cs="宋体" w:asciiTheme="minorEastAsia" w:hAnsiTheme="minorEastAsia" w:eastAsiaTheme="minorEastAsia"/>
          <w:color w:val="000000" w:themeColor="text1"/>
          <w:sz w:val="28"/>
          <w:szCs w:val="28"/>
        </w:rPr>
        <w:t>足额缴纳。</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四、本次国有建设用地使用权拍卖出让</w:t>
      </w:r>
      <w:r>
        <w:rPr>
          <w:rFonts w:hint="eastAsia" w:ascii="楷体" w:hAnsi="楷体" w:eastAsia="楷体" w:cs="宋体"/>
          <w:b/>
          <w:color w:val="000000" w:themeColor="text1"/>
          <w:sz w:val="28"/>
          <w:szCs w:val="28"/>
          <w:u w:val="single"/>
        </w:rPr>
        <w:t>政府设有底价，采用增价拍卖方式竞价，按照价高者得原则确定竞得人（不低于政府底价）</w:t>
      </w:r>
      <w:r>
        <w:rPr>
          <w:rFonts w:hint="eastAsia" w:ascii="楷体" w:hAnsi="楷体" w:eastAsia="楷体" w:cs="宋体"/>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五、本次国有建设用地使用权拍卖出让实行网上报名，竞买申请人须在</w:t>
      </w:r>
      <w:r>
        <w:rPr>
          <w:rStyle w:val="21"/>
          <w:rFonts w:hint="eastAsia" w:cs="宋体" w:asciiTheme="minorEastAsia" w:hAnsiTheme="minorEastAsia" w:eastAsiaTheme="minorEastAsia"/>
          <w:color w:val="000000" w:themeColor="text1"/>
          <w:sz w:val="28"/>
          <w:szCs w:val="28"/>
          <w:u w:val="none"/>
        </w:rPr>
        <w:t>达州市公共资源交易服务网（</w:t>
      </w:r>
      <w:r>
        <w:fldChar w:fldCharType="begin"/>
      </w:r>
      <w:r>
        <w:instrText xml:space="preserve"> HYPERLINK "http://www.dzggzy.cn/" </w:instrText>
      </w:r>
      <w:r>
        <w:fldChar w:fldCharType="separate"/>
      </w:r>
      <w:r>
        <w:rPr>
          <w:rStyle w:val="21"/>
          <w:rFonts w:cs="宋体" w:asciiTheme="minorEastAsia" w:hAnsiTheme="minorEastAsia" w:eastAsiaTheme="minorEastAsia"/>
          <w:color w:val="000000" w:themeColor="text1"/>
          <w:sz w:val="28"/>
          <w:szCs w:val="28"/>
          <w:u w:val="none"/>
        </w:rPr>
        <w:t>http://www.dzggzy.cn</w:t>
      </w:r>
      <w:r>
        <w:rPr>
          <w:rStyle w:val="21"/>
          <w:rFonts w:cs="宋体" w:asciiTheme="minorEastAsia" w:hAnsiTheme="minorEastAsia" w:eastAsiaTheme="minorEastAsia"/>
          <w:color w:val="000000" w:themeColor="text1"/>
          <w:sz w:val="28"/>
          <w:szCs w:val="28"/>
          <w:u w:val="none"/>
        </w:rPr>
        <w:fldChar w:fldCharType="end"/>
      </w:r>
      <w:r>
        <w:rPr>
          <w:rStyle w:val="21"/>
          <w:rFonts w:hint="eastAsia" w:cs="宋体" w:asciiTheme="minorEastAsia" w:hAnsiTheme="minorEastAsia" w:eastAsiaTheme="minorEastAsia"/>
          <w:color w:val="000000" w:themeColor="text1"/>
          <w:sz w:val="28"/>
          <w:szCs w:val="28"/>
          <w:u w:val="none"/>
        </w:rPr>
        <w:t>）查阅网上操作指南，完成用户注册、网上报名等</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Style w:val="21"/>
          <w:rFonts w:asciiTheme="minorEastAsia" w:hAnsiTheme="minorEastAsia" w:eastAsiaTheme="minorEastAsia"/>
          <w:b/>
          <w:color w:val="FF0000"/>
          <w:sz w:val="28"/>
          <w:szCs w:val="28"/>
        </w:rPr>
      </w:pPr>
      <w:r>
        <w:rPr>
          <w:rStyle w:val="21"/>
          <w:rFonts w:hint="eastAsia" w:cs="宋体" w:asciiTheme="minorEastAsia" w:hAnsiTheme="minorEastAsia" w:eastAsiaTheme="minorEastAsia"/>
          <w:color w:val="000000" w:themeColor="text1"/>
          <w:sz w:val="28"/>
          <w:szCs w:val="28"/>
          <w:u w:val="none"/>
        </w:rPr>
        <w:t>已完成用户注册的竞买申请人须在</w:t>
      </w:r>
      <w:r>
        <w:rPr>
          <w:rStyle w:val="21"/>
          <w:rFonts w:ascii="仿宋" w:hAnsi="仿宋" w:eastAsia="仿宋" w:cs="宋体"/>
          <w:color w:val="FF0000"/>
          <w:sz w:val="28"/>
          <w:szCs w:val="28"/>
        </w:rPr>
        <w:t>202</w:t>
      </w:r>
      <w:r>
        <w:rPr>
          <w:rStyle w:val="21"/>
          <w:rFonts w:hint="eastAsia" w:ascii="仿宋" w:hAnsi="仿宋" w:eastAsia="仿宋" w:cs="宋体"/>
          <w:color w:val="FF0000"/>
          <w:sz w:val="28"/>
          <w:szCs w:val="28"/>
        </w:rPr>
        <w:t>1年10月7日</w:t>
      </w:r>
      <w:r>
        <w:rPr>
          <w:rStyle w:val="21"/>
          <w:rFonts w:ascii="仿宋" w:hAnsi="仿宋" w:eastAsia="仿宋" w:cs="宋体"/>
          <w:color w:val="FF0000"/>
          <w:sz w:val="28"/>
          <w:szCs w:val="28"/>
        </w:rPr>
        <w:t>17:00</w:t>
      </w:r>
      <w:r>
        <w:rPr>
          <w:rStyle w:val="21"/>
          <w:rFonts w:hint="eastAsia" w:cs="宋体" w:asciiTheme="minorEastAsia" w:hAnsiTheme="minorEastAsia" w:eastAsiaTheme="minorEastAsia"/>
          <w:color w:val="000000" w:themeColor="text1"/>
          <w:sz w:val="28"/>
          <w:szCs w:val="28"/>
          <w:u w:val="none"/>
        </w:rPr>
        <w:t>之前经达州市公共资源交易服务网（</w:t>
      </w:r>
      <w:r>
        <w:fldChar w:fldCharType="begin"/>
      </w:r>
      <w:r>
        <w:instrText xml:space="preserve"> HYPERLINK "http://www.dzggzy.cn/" </w:instrText>
      </w:r>
      <w:r>
        <w:fldChar w:fldCharType="separate"/>
      </w:r>
      <w:r>
        <w:rPr>
          <w:rStyle w:val="21"/>
          <w:rFonts w:cs="宋体" w:asciiTheme="minorEastAsia" w:hAnsiTheme="minorEastAsia" w:eastAsiaTheme="minorEastAsia"/>
          <w:color w:val="000000" w:themeColor="text1"/>
          <w:sz w:val="28"/>
          <w:szCs w:val="28"/>
          <w:u w:val="none"/>
        </w:rPr>
        <w:t>http://www.dzggzy.cn</w:t>
      </w:r>
      <w:r>
        <w:rPr>
          <w:rStyle w:val="21"/>
          <w:rFonts w:cs="宋体" w:asciiTheme="minorEastAsia" w:hAnsiTheme="minorEastAsia" w:eastAsiaTheme="minorEastAsia"/>
          <w:color w:val="000000" w:themeColor="text1"/>
          <w:sz w:val="28"/>
          <w:szCs w:val="28"/>
          <w:u w:val="none"/>
        </w:rPr>
        <w:fldChar w:fldCharType="end"/>
      </w:r>
      <w:r>
        <w:rPr>
          <w:rStyle w:val="21"/>
          <w:rFonts w:hint="eastAsia" w:cs="宋体" w:asciiTheme="minorEastAsia" w:hAnsiTheme="minorEastAsia" w:eastAsiaTheme="minorEastAsia"/>
          <w:color w:val="000000" w:themeColor="text1"/>
          <w:sz w:val="28"/>
          <w:szCs w:val="28"/>
          <w:u w:val="none"/>
        </w:rPr>
        <w:t>）通过系统提交竞买申请。通过指定账户缴纳竞买保证金，到账截止时间为</w:t>
      </w:r>
      <w:r>
        <w:rPr>
          <w:rStyle w:val="21"/>
          <w:rFonts w:ascii="仿宋" w:hAnsi="仿宋" w:eastAsia="仿宋" w:cs="宋体"/>
          <w:color w:val="FF0000"/>
          <w:sz w:val="28"/>
          <w:szCs w:val="28"/>
        </w:rPr>
        <w:t>202</w:t>
      </w:r>
      <w:r>
        <w:rPr>
          <w:rStyle w:val="21"/>
          <w:rFonts w:hint="eastAsia" w:ascii="仿宋" w:hAnsi="仿宋" w:eastAsia="仿宋" w:cs="宋体"/>
          <w:color w:val="FF0000"/>
          <w:sz w:val="28"/>
          <w:szCs w:val="28"/>
        </w:rPr>
        <w:t>1年10月7日</w:t>
      </w:r>
      <w:r>
        <w:rPr>
          <w:rStyle w:val="21"/>
          <w:rFonts w:ascii="仿宋" w:hAnsi="仿宋" w:eastAsia="仿宋" w:cs="宋体"/>
          <w:color w:val="FF0000"/>
          <w:sz w:val="28"/>
          <w:szCs w:val="28"/>
        </w:rPr>
        <w:t>17:00</w:t>
      </w:r>
      <w:r>
        <w:rPr>
          <w:rStyle w:val="21"/>
          <w:rFonts w:hint="eastAsia" w:cs="宋体" w:asciiTheme="minorEastAsia" w:hAnsiTheme="minorEastAsia" w:eastAsiaTheme="minorEastAsia"/>
          <w:b/>
          <w:color w:val="FF0000"/>
          <w:sz w:val="28"/>
          <w:szCs w:val="28"/>
        </w:rPr>
        <w:t>时</w:t>
      </w:r>
      <w:r>
        <w:rPr>
          <w:rStyle w:val="21"/>
          <w:rFonts w:hint="eastAsia" w:cs="宋体" w:asciiTheme="minorEastAsia" w:hAnsiTheme="minorEastAsia" w:eastAsiaTheme="minorEastAsia"/>
          <w:color w:val="FF0000"/>
          <w:sz w:val="28"/>
          <w:szCs w:val="28"/>
          <w:u w:val="none"/>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已提交申请的竞买申请人须在</w:t>
      </w:r>
      <w:r>
        <w:rPr>
          <w:rFonts w:hint="eastAsia" w:ascii="楷体" w:hAnsi="楷体" w:eastAsia="楷体" w:cs="宋体"/>
          <w:b/>
          <w:color w:val="000000" w:themeColor="text1"/>
          <w:sz w:val="28"/>
          <w:szCs w:val="28"/>
        </w:rPr>
        <w:t>资格审查当日（</w:t>
      </w:r>
      <w:r>
        <w:rPr>
          <w:rFonts w:hint="eastAsia" w:ascii="楷体" w:hAnsi="楷体" w:eastAsia="楷体" w:cs="宋体"/>
          <w:b/>
          <w:color w:val="FF0000"/>
          <w:sz w:val="28"/>
          <w:szCs w:val="28"/>
        </w:rPr>
        <w:t xml:space="preserve"> 2021</w:t>
      </w:r>
      <w:r>
        <w:rPr>
          <w:rFonts w:hint="eastAsia" w:ascii="楷体" w:hAnsi="楷体" w:eastAsia="楷体" w:cs="宋体"/>
          <w:b/>
          <w:color w:val="FF0000"/>
          <w:sz w:val="28"/>
          <w:szCs w:val="28"/>
          <w:u w:val="single"/>
        </w:rPr>
        <w:t>年10月8日</w:t>
      </w:r>
      <w:r>
        <w:rPr>
          <w:rFonts w:hint="eastAsia" w:ascii="楷体" w:hAnsi="楷体" w:eastAsia="楷体" w:cs="宋体"/>
          <w:b/>
          <w:color w:val="FF0000"/>
          <w:sz w:val="28"/>
          <w:szCs w:val="28"/>
        </w:rPr>
        <w:t>）</w:t>
      </w:r>
      <w:r>
        <w:rPr>
          <w:rFonts w:ascii="仿宋" w:hAnsi="仿宋" w:eastAsia="仿宋" w:cs="宋体"/>
          <w:b/>
          <w:color w:val="FF0000"/>
          <w:sz w:val="28"/>
          <w:szCs w:val="28"/>
          <w:u w:val="single"/>
        </w:rPr>
        <w:t>8:30</w:t>
      </w:r>
      <w:r>
        <w:rPr>
          <w:rFonts w:hint="eastAsia" w:cs="宋体" w:asciiTheme="minorEastAsia" w:hAnsiTheme="minorEastAsia" w:eastAsiaTheme="minorEastAsia"/>
          <w:color w:val="000000" w:themeColor="text1"/>
          <w:sz w:val="28"/>
          <w:szCs w:val="28"/>
        </w:rPr>
        <w:t>之前将竞买申请文件原件现场提交至达州市公共资源交易服务中心</w:t>
      </w:r>
      <w:r>
        <w:rPr>
          <w:rFonts w:hint="eastAsia" w:ascii="仿宋" w:hAnsi="仿宋" w:eastAsia="仿宋" w:cs="宋体"/>
          <w:color w:val="000000" w:themeColor="text1"/>
          <w:sz w:val="28"/>
          <w:szCs w:val="28"/>
          <w:u w:val="single"/>
        </w:rPr>
        <w:t>4B-17</w:t>
      </w:r>
      <w:r>
        <w:rPr>
          <w:rFonts w:hint="eastAsia" w:cs="宋体" w:asciiTheme="minorEastAsia" w:hAnsiTheme="minorEastAsia" w:eastAsiaTheme="minorEastAsia"/>
          <w:color w:val="000000" w:themeColor="text1"/>
          <w:sz w:val="28"/>
          <w:szCs w:val="28"/>
        </w:rPr>
        <w:t>室，未按时提交原件的视为自行放弃竞买资格。</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通过竞买资格审查的竞买申请人须在</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1年10月8日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cs="宋体" w:asciiTheme="minorEastAsia" w:hAnsiTheme="minorEastAsia" w:eastAsiaTheme="minorEastAsia"/>
          <w:color w:val="000000" w:themeColor="text1"/>
          <w:sz w:val="28"/>
          <w:szCs w:val="28"/>
        </w:rPr>
        <w:t>前自行通过达州市公共资源交易服务</w:t>
      </w:r>
      <w:r>
        <w:rPr>
          <w:rStyle w:val="21"/>
          <w:rFonts w:hint="eastAsia" w:cs="宋体" w:asciiTheme="minorEastAsia" w:hAnsiTheme="minorEastAsia" w:eastAsiaTheme="minorEastAsia"/>
          <w:color w:val="000000" w:themeColor="text1"/>
          <w:sz w:val="28"/>
          <w:szCs w:val="28"/>
          <w:u w:val="none"/>
        </w:rPr>
        <w:t>网（</w:t>
      </w:r>
      <w:r>
        <w:fldChar w:fldCharType="begin"/>
      </w:r>
      <w:r>
        <w:instrText xml:space="preserve"> HYPERLINK "http://www.dzggzy.cn/" </w:instrText>
      </w:r>
      <w:r>
        <w:fldChar w:fldCharType="separate"/>
      </w:r>
      <w:r>
        <w:rPr>
          <w:rStyle w:val="21"/>
          <w:rFonts w:cs="宋体" w:asciiTheme="minorEastAsia" w:hAnsiTheme="minorEastAsia" w:eastAsiaTheme="minorEastAsia"/>
          <w:color w:val="000000" w:themeColor="text1"/>
          <w:sz w:val="28"/>
          <w:szCs w:val="28"/>
          <w:u w:val="none"/>
        </w:rPr>
        <w:t>http://www.dzggzy.cn</w:t>
      </w:r>
      <w:r>
        <w:rPr>
          <w:rStyle w:val="21"/>
          <w:rFonts w:cs="宋体" w:asciiTheme="minorEastAsia" w:hAnsiTheme="minorEastAsia" w:eastAsiaTheme="minorEastAsia"/>
          <w:color w:val="000000" w:themeColor="text1"/>
          <w:sz w:val="28"/>
          <w:szCs w:val="28"/>
          <w:u w:val="none"/>
        </w:rPr>
        <w:fldChar w:fldCharType="end"/>
      </w:r>
      <w:r>
        <w:rPr>
          <w:rStyle w:val="21"/>
          <w:rFonts w:hint="eastAsia" w:cs="宋体" w:asciiTheme="minorEastAsia" w:hAnsiTheme="minorEastAsia" w:eastAsiaTheme="minorEastAsia"/>
          <w:color w:val="000000" w:themeColor="text1"/>
          <w:sz w:val="28"/>
          <w:szCs w:val="28"/>
          <w:u w:val="none"/>
        </w:rPr>
        <w:t>）</w:t>
      </w:r>
      <w:r>
        <w:rPr>
          <w:rFonts w:hint="eastAsia" w:cs="宋体" w:asciiTheme="minorEastAsia" w:hAnsiTheme="minorEastAsia" w:eastAsiaTheme="minorEastAsia"/>
          <w:color w:val="000000" w:themeColor="text1"/>
          <w:sz w:val="28"/>
          <w:szCs w:val="28"/>
        </w:rPr>
        <w:t>打印竞买资格确认书并带到拍卖现场</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打印时间可能因资格审查而延迟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六、</w:t>
      </w:r>
      <w:r>
        <w:rPr>
          <w:rFonts w:hint="eastAsia" w:asciiTheme="minorEastAsia" w:hAnsiTheme="minorEastAsia" w:eastAsiaTheme="minorEastAsia"/>
          <w:color w:val="000000" w:themeColor="text1"/>
          <w:sz w:val="28"/>
          <w:szCs w:val="28"/>
        </w:rPr>
        <w:t>本次国有建设用地使用权拍卖会定</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1年10月8日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asciiTheme="minorEastAsia" w:hAnsiTheme="minorEastAsia" w:eastAsiaTheme="minorEastAsia"/>
          <w:color w:val="000000" w:themeColor="text1"/>
          <w:sz w:val="28"/>
          <w:szCs w:val="28"/>
        </w:rPr>
        <w:t>在</w:t>
      </w:r>
      <w:r>
        <w:rPr>
          <w:rFonts w:hint="eastAsia" w:asciiTheme="minorEastAsia" w:hAnsiTheme="minorEastAsia" w:eastAsiaTheme="minorEastAsia"/>
          <w:color w:val="FF0000"/>
          <w:sz w:val="28"/>
          <w:szCs w:val="28"/>
          <w:u w:val="single"/>
        </w:rPr>
        <w:t>开标二厅</w:t>
      </w:r>
      <w:r>
        <w:rPr>
          <w:rFonts w:hint="eastAsia" w:asciiTheme="minorEastAsia" w:hAnsiTheme="minorEastAsia" w:eastAsiaTheme="minorEastAsia"/>
          <w:color w:val="000000" w:themeColor="text1"/>
          <w:sz w:val="28"/>
          <w:szCs w:val="28"/>
        </w:rPr>
        <w:t>举行</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拍卖会时间可能因资格审查而延迟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pStyle w:val="11"/>
        <w:spacing w:before="0" w:beforeAutospacing="0" w:after="0" w:afterAutospacing="0" w:line="578" w:lineRule="exact"/>
        <w:ind w:firstLine="529" w:firstLineChars="189"/>
        <w:jc w:val="both"/>
        <w:rPr>
          <w:rFonts w:cs="Times New Roman" w:asciiTheme="minorEastAsia" w:hAnsiTheme="minorEastAsia" w:eastAsiaTheme="minorEastAsia"/>
          <w:color w:val="000000" w:themeColor="text1"/>
          <w:sz w:val="28"/>
          <w:szCs w:val="28"/>
        </w:rPr>
      </w:pPr>
      <w:r>
        <w:rPr>
          <w:rFonts w:hint="eastAsia" w:cs="Times New Roman" w:asciiTheme="minorEastAsia" w:hAnsiTheme="minorEastAsia" w:eastAsiaTheme="minorEastAsia"/>
          <w:color w:val="000000" w:themeColor="text1"/>
          <w:sz w:val="28"/>
          <w:szCs w:val="28"/>
        </w:rPr>
        <w:t>七、凡参与竞买的申请人须对本出让公告、出让文件、宗地详情全面了解、完全接受、不持异议，须有一次或一次以上的报价，报价规则详见拍卖出让须知。本次拍卖出让不接受邮寄竞买申请。</w:t>
      </w:r>
    </w:p>
    <w:p>
      <w:pPr>
        <w:snapToGrid w:val="0"/>
        <w:spacing w:line="578" w:lineRule="exact"/>
        <w:ind w:firstLine="567"/>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八、本公告未尽事宜详见拍卖出让文件（拍卖出让文件可在</w:t>
      </w:r>
      <w:r>
        <w:rPr>
          <w:rFonts w:hint="eastAsia" w:cs="宋体" w:asciiTheme="minorEastAsia" w:hAnsiTheme="minorEastAsia" w:eastAsiaTheme="minorEastAsia"/>
          <w:color w:val="000000" w:themeColor="text1"/>
          <w:w w:val="90"/>
          <w:sz w:val="28"/>
          <w:szCs w:val="28"/>
        </w:rPr>
        <w:t>达州市公共资源交易服务网（</w:t>
      </w:r>
      <w:r>
        <w:fldChar w:fldCharType="begin"/>
      </w:r>
      <w:r>
        <w:instrText xml:space="preserve"> HYPERLINK "http://www.dzggzy.cn/" </w:instrText>
      </w:r>
      <w:r>
        <w:fldChar w:fldCharType="separate"/>
      </w:r>
      <w:r>
        <w:rPr>
          <w:rStyle w:val="21"/>
          <w:rFonts w:cs="宋体" w:asciiTheme="minorEastAsia" w:hAnsiTheme="minorEastAsia" w:eastAsiaTheme="minorEastAsia"/>
          <w:color w:val="000000" w:themeColor="text1"/>
          <w:sz w:val="28"/>
          <w:szCs w:val="28"/>
          <w:u w:val="none"/>
        </w:rPr>
        <w:t>http://www.dzggzy.cn</w:t>
      </w:r>
      <w:r>
        <w:rPr>
          <w:rStyle w:val="21"/>
          <w:rFonts w:cs="宋体" w:asciiTheme="minorEastAsia" w:hAnsiTheme="minorEastAsia" w:eastAsiaTheme="minorEastAsia"/>
          <w:color w:val="000000" w:themeColor="text1"/>
          <w:sz w:val="28"/>
          <w:szCs w:val="28"/>
          <w:u w:val="none"/>
        </w:rPr>
        <w:fldChar w:fldCharType="end"/>
      </w:r>
      <w:r>
        <w:rPr>
          <w:rFonts w:hint="eastAsia" w:cs="宋体" w:asciiTheme="minorEastAsia" w:hAnsiTheme="minorEastAsia" w:eastAsiaTheme="minorEastAsia"/>
          <w:color w:val="000000" w:themeColor="text1"/>
          <w:w w:val="90"/>
          <w:sz w:val="28"/>
          <w:szCs w:val="28"/>
        </w:rPr>
        <w:t>）下载）</w:t>
      </w:r>
      <w:r>
        <w:rPr>
          <w:rFonts w:hint="eastAsia" w:asciiTheme="minorEastAsia" w:hAnsiTheme="minorEastAsia" w:eastAsiaTheme="minorEastAsia"/>
          <w:color w:val="000000" w:themeColor="text1"/>
          <w:sz w:val="28"/>
          <w:szCs w:val="28"/>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九、竞买保证金缴纳指定账户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建设银行开户行：</w:t>
      </w:r>
      <w:r>
        <w:rPr>
          <w:rFonts w:hint="eastAsia" w:ascii="仿宋" w:hAnsi="仿宋" w:eastAsia="仿宋" w:cs="Times New Roman"/>
          <w:color w:val="000000" w:themeColor="text1"/>
          <w:kern w:val="2"/>
          <w:sz w:val="28"/>
          <w:szCs w:val="28"/>
          <w:u w:val="single"/>
        </w:rPr>
        <w:t>中国建设银行股份有限公司达州荷叶支行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农业银行开户行：</w:t>
      </w:r>
      <w:r>
        <w:rPr>
          <w:rFonts w:hint="eastAsia" w:ascii="仿宋" w:hAnsi="仿宋" w:eastAsia="仿宋" w:cs="Times New Roman"/>
          <w:color w:val="000000" w:themeColor="text1"/>
          <w:kern w:val="2"/>
          <w:sz w:val="28"/>
          <w:szCs w:val="28"/>
          <w:u w:val="single"/>
        </w:rPr>
        <w:t>中国农业银行达州通川支行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工商银行开户行：</w:t>
      </w:r>
      <w:r>
        <w:rPr>
          <w:rFonts w:hint="eastAsia" w:ascii="仿宋" w:hAnsi="仿宋" w:eastAsia="仿宋" w:cs="Times New Roman"/>
          <w:color w:val="000000" w:themeColor="text1"/>
          <w:kern w:val="2"/>
          <w:sz w:val="28"/>
          <w:szCs w:val="28"/>
          <w:u w:val="single"/>
        </w:rPr>
        <w:t>中国工商银行达州市分行海棠湾支行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snapToGrid w:val="0"/>
        <w:spacing w:line="578"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w:t>
      </w:r>
      <w:r>
        <w:rPr>
          <w:rFonts w:asciiTheme="minorEastAsia" w:hAnsiTheme="minorEastAsia" w:eastAsiaTheme="minorEastAsia"/>
          <w:color w:val="000000" w:themeColor="text1"/>
          <w:sz w:val="28"/>
          <w:szCs w:val="28"/>
        </w:rPr>
        <w:t>、联系方式</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出让人：</w:t>
      </w:r>
      <w:r>
        <w:rPr>
          <w:rFonts w:hint="eastAsia" w:ascii="仿宋" w:hAnsi="仿宋" w:eastAsia="仿宋"/>
          <w:color w:val="000000" w:themeColor="text1"/>
          <w:sz w:val="28"/>
          <w:szCs w:val="28"/>
        </w:rPr>
        <w:t>达州市通川区自然资源局</w:t>
      </w:r>
    </w:p>
    <w:p>
      <w:pPr>
        <w:snapToGrid w:val="0"/>
        <w:spacing w:line="578" w:lineRule="exact"/>
        <w:ind w:firstLine="555"/>
        <w:rPr>
          <w:rFonts w:ascii="仿宋" w:hAnsi="仿宋" w:eastAsia="仿宋" w:cs="宋体"/>
          <w:b/>
          <w:color w:val="000000" w:themeColor="text1"/>
          <w:sz w:val="28"/>
          <w:szCs w:val="28"/>
          <w:u w:val="single"/>
        </w:rPr>
      </w:pPr>
      <w:r>
        <w:rPr>
          <w:rFonts w:ascii="仿宋" w:hAnsi="仿宋" w:eastAsia="仿宋"/>
          <w:color w:val="000000" w:themeColor="text1"/>
          <w:sz w:val="28"/>
          <w:szCs w:val="28"/>
        </w:rPr>
        <w:t>联系地址：</w:t>
      </w:r>
      <w:r>
        <w:rPr>
          <w:rFonts w:hint="eastAsia" w:ascii="仿宋" w:hAnsi="仿宋" w:eastAsia="仿宋" w:cs="宋体"/>
          <w:b/>
          <w:color w:val="000000" w:themeColor="text1"/>
          <w:sz w:val="28"/>
          <w:szCs w:val="28"/>
          <w:u w:val="single"/>
        </w:rPr>
        <w:t>四川省达州市通川区北外张家坝社区青杠垭路</w:t>
      </w:r>
      <w:r>
        <w:rPr>
          <w:rFonts w:ascii="仿宋" w:hAnsi="仿宋" w:eastAsia="仿宋" w:cs="宋体"/>
          <w:b/>
          <w:color w:val="000000" w:themeColor="text1"/>
          <w:sz w:val="28"/>
          <w:szCs w:val="28"/>
          <w:u w:val="single"/>
        </w:rPr>
        <w:t>38</w:t>
      </w:r>
      <w:r>
        <w:rPr>
          <w:rFonts w:hint="eastAsia" w:ascii="仿宋" w:hAnsi="仿宋" w:eastAsia="仿宋" w:cs="宋体"/>
          <w:b/>
          <w:color w:val="000000" w:themeColor="text1"/>
          <w:sz w:val="28"/>
          <w:szCs w:val="28"/>
          <w:u w:val="single"/>
        </w:rPr>
        <w:t>号路</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联系电话：  0818-2379014 </w:t>
      </w:r>
    </w:p>
    <w:p>
      <w:pPr>
        <w:snapToGrid w:val="0"/>
        <w:spacing w:line="578" w:lineRule="exact"/>
        <w:ind w:left="556" w:leftChars="265"/>
        <w:rPr>
          <w:rFonts w:ascii="仿宋" w:hAnsi="仿宋" w:eastAsia="仿宋"/>
          <w:color w:val="000000" w:themeColor="text1"/>
          <w:sz w:val="28"/>
          <w:szCs w:val="28"/>
        </w:rPr>
      </w:pPr>
      <w:r>
        <w:rPr>
          <w:rFonts w:ascii="仿宋" w:hAnsi="仿宋" w:eastAsia="仿宋"/>
          <w:color w:val="000000" w:themeColor="text1"/>
          <w:sz w:val="28"/>
          <w:szCs w:val="28"/>
        </w:rPr>
        <w:t>拍卖人：达州市公共资源交易服务中心</w:t>
      </w:r>
    </w:p>
    <w:p>
      <w:pPr>
        <w:snapToGrid w:val="0"/>
        <w:spacing w:line="578" w:lineRule="exact"/>
        <w:ind w:firstLine="555"/>
        <w:rPr>
          <w:rFonts w:ascii="仿宋" w:hAnsi="仿宋" w:eastAsia="仿宋" w:cs="宋体"/>
          <w:b/>
          <w:color w:val="000000" w:themeColor="text1"/>
          <w:sz w:val="28"/>
          <w:szCs w:val="28"/>
          <w:u w:val="single"/>
        </w:rPr>
      </w:pPr>
      <w:r>
        <w:rPr>
          <w:rFonts w:ascii="仿宋" w:hAnsi="仿宋" w:eastAsia="仿宋"/>
          <w:color w:val="000000" w:themeColor="text1"/>
          <w:sz w:val="28"/>
          <w:szCs w:val="28"/>
        </w:rPr>
        <w:t>联系地址：</w:t>
      </w:r>
      <w:r>
        <w:rPr>
          <w:rFonts w:hint="eastAsia" w:ascii="仿宋" w:hAnsi="仿宋" w:eastAsia="仿宋" w:cs="宋体"/>
          <w:b/>
          <w:color w:val="000000" w:themeColor="text1"/>
          <w:sz w:val="28"/>
          <w:szCs w:val="28"/>
          <w:u w:val="single"/>
        </w:rPr>
        <w:t>四川省</w:t>
      </w:r>
      <w:r>
        <w:rPr>
          <w:rFonts w:ascii="仿宋" w:hAnsi="仿宋" w:eastAsia="仿宋" w:cs="宋体"/>
          <w:b/>
          <w:color w:val="000000" w:themeColor="text1"/>
          <w:sz w:val="28"/>
          <w:szCs w:val="28"/>
          <w:u w:val="single"/>
        </w:rPr>
        <w:t>达州市马踏洞新区龙马大道与鱼泉路交叉口处新政务服务大楼</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联系电话: 0818-333</w:t>
      </w:r>
      <w:r>
        <w:rPr>
          <w:rFonts w:hint="eastAsia" w:ascii="仿宋" w:hAnsi="仿宋" w:eastAsia="仿宋"/>
          <w:color w:val="000000" w:themeColor="text1"/>
          <w:sz w:val="28"/>
          <w:szCs w:val="28"/>
        </w:rPr>
        <w:t>0177</w:t>
      </w:r>
    </w:p>
    <w:p>
      <w:pPr>
        <w:snapToGrid w:val="0"/>
        <w:spacing w:line="578" w:lineRule="exact"/>
        <w:ind w:firstLine="555"/>
        <w:rPr>
          <w:rFonts w:ascii="仿宋" w:hAnsi="仿宋" w:eastAsia="仿宋"/>
          <w:color w:val="000000" w:themeColor="text1"/>
          <w:sz w:val="28"/>
          <w:szCs w:val="28"/>
        </w:rPr>
      </w:pPr>
    </w:p>
    <w:p>
      <w:pPr>
        <w:snapToGrid w:val="0"/>
        <w:spacing w:line="578" w:lineRule="exact"/>
        <w:ind w:firstLine="555"/>
        <w:rPr>
          <w:rFonts w:ascii="仿宋" w:hAnsi="仿宋" w:eastAsia="仿宋"/>
          <w:color w:val="000000" w:themeColor="text1"/>
          <w:sz w:val="28"/>
          <w:szCs w:val="28"/>
        </w:rPr>
      </w:pPr>
    </w:p>
    <w:p>
      <w:pPr>
        <w:snapToGrid w:val="0"/>
        <w:spacing w:line="578" w:lineRule="exact"/>
        <w:ind w:right="104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达州市通川区自然资源局</w:t>
      </w:r>
    </w:p>
    <w:p>
      <w:pPr>
        <w:snapToGrid w:val="0"/>
        <w:spacing w:line="578" w:lineRule="exact"/>
        <w:ind w:right="62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达州市公共资源交易服务中心</w:t>
      </w:r>
    </w:p>
    <w:p>
      <w:pPr>
        <w:snapToGrid w:val="0"/>
        <w:spacing w:line="578" w:lineRule="exact"/>
        <w:ind w:right="1100"/>
        <w:jc w:val="center"/>
        <w:rPr>
          <w:rFonts w:ascii="仿宋" w:hAnsi="仿宋" w:eastAsia="仿宋" w:cs="宋体"/>
          <w:color w:val="000000" w:themeColor="text1"/>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cols w:space="425" w:num="1"/>
          <w:docGrid w:type="lines" w:linePitch="312" w:charSpace="0"/>
        </w:sectPr>
      </w:pPr>
      <w:r>
        <w:rPr>
          <w:rFonts w:hint="eastAsia" w:ascii="仿宋" w:hAnsi="仿宋" w:eastAsia="仿宋" w:cs="宋体"/>
          <w:color w:val="000000" w:themeColor="text1"/>
          <w:sz w:val="28"/>
          <w:szCs w:val="28"/>
          <w:lang w:val="en-US" w:eastAsia="zh-CN"/>
        </w:rPr>
        <w:t xml:space="preserve">                                  </w:t>
      </w:r>
      <w:r>
        <w:rPr>
          <w:rFonts w:hint="eastAsia" w:ascii="仿宋" w:hAnsi="仿宋" w:eastAsia="仿宋" w:cs="宋体"/>
          <w:color w:val="000000" w:themeColor="text1"/>
          <w:sz w:val="28"/>
          <w:szCs w:val="28"/>
        </w:rPr>
        <w:t>2021年9月17日</w:t>
      </w:r>
    </w:p>
    <w:p>
      <w:pPr>
        <w:pStyle w:val="12"/>
        <w:spacing w:before="0" w:after="0" w:line="600" w:lineRule="exact"/>
        <w:rPr>
          <w:rFonts w:ascii="方正小标宋简体" w:hAnsi="宋体" w:eastAsia="方正小标宋简体"/>
          <w:b w:val="0"/>
          <w:color w:val="000000" w:themeColor="text1"/>
          <w:sz w:val="44"/>
          <w:szCs w:val="44"/>
        </w:rPr>
      </w:pPr>
      <w:bookmarkStart w:id="2" w:name="_Toc3391742"/>
      <w:bookmarkStart w:id="3" w:name="_Toc3391971"/>
      <w:r>
        <w:rPr>
          <w:rFonts w:hint="eastAsia" w:ascii="方正小标宋简体" w:hAnsi="宋体" w:eastAsia="方正小标宋简体"/>
          <w:b w:val="0"/>
          <w:color w:val="000000" w:themeColor="text1"/>
          <w:sz w:val="44"/>
          <w:szCs w:val="44"/>
        </w:rPr>
        <w:t>国有建设用地使用权拍卖出让须知</w:t>
      </w:r>
      <w:bookmarkEnd w:id="2"/>
      <w:bookmarkEnd w:id="3"/>
    </w:p>
    <w:p>
      <w:pPr>
        <w:spacing w:line="600" w:lineRule="exact"/>
        <w:rPr>
          <w:rFonts w:ascii="宋体"/>
          <w:color w:val="000000" w:themeColor="text1"/>
          <w:sz w:val="28"/>
          <w:szCs w:val="28"/>
        </w:rPr>
      </w:pPr>
    </w:p>
    <w:p>
      <w:pPr>
        <w:wordWrap w:val="0"/>
        <w:spacing w:line="600" w:lineRule="exact"/>
        <w:ind w:firstLine="560" w:firstLineChars="200"/>
        <w:rPr>
          <w:rFonts w:ascii="宋体"/>
          <w:color w:val="000000" w:themeColor="text1"/>
          <w:sz w:val="28"/>
          <w:szCs w:val="28"/>
          <w:u w:val="single"/>
        </w:rPr>
      </w:pPr>
      <w:r>
        <w:rPr>
          <w:rFonts w:hint="eastAsia" w:ascii="宋体" w:hAnsi="宋体"/>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hint="eastAsia" w:ascii="楷体_GB2312" w:hAnsi="宋体" w:eastAsia="楷体_GB2312"/>
          <w:b/>
          <w:color w:val="000000" w:themeColor="text1"/>
          <w:sz w:val="28"/>
          <w:szCs w:val="28"/>
          <w:u w:val="single"/>
        </w:rPr>
        <w:t>达州市通川区人民政府</w:t>
      </w:r>
      <w:r>
        <w:rPr>
          <w:rFonts w:hint="eastAsia" w:ascii="宋体" w:hAnsi="宋体"/>
          <w:color w:val="000000" w:themeColor="text1"/>
          <w:sz w:val="28"/>
          <w:szCs w:val="28"/>
        </w:rPr>
        <w:t>批准</w:t>
      </w:r>
      <w:r>
        <w:rPr>
          <w:rFonts w:ascii="宋体"/>
          <w:color w:val="000000" w:themeColor="text1"/>
          <w:sz w:val="28"/>
          <w:szCs w:val="28"/>
        </w:rPr>
        <w:t>,</w:t>
      </w:r>
      <w:r>
        <w:rPr>
          <w:rFonts w:hint="eastAsia" w:ascii="楷体_GB2312" w:hAnsi="宋体" w:eastAsia="楷体_GB2312"/>
          <w:b/>
          <w:color w:val="000000" w:themeColor="text1"/>
          <w:sz w:val="28"/>
          <w:szCs w:val="28"/>
          <w:u w:val="single"/>
        </w:rPr>
        <w:t xml:space="preserve"> 达州市通川区自然资源局</w:t>
      </w:r>
      <w:r>
        <w:rPr>
          <w:rFonts w:hint="eastAsia" w:ascii="宋体" w:hAnsi="宋体"/>
          <w:color w:val="000000" w:themeColor="text1"/>
          <w:sz w:val="28"/>
          <w:szCs w:val="28"/>
        </w:rPr>
        <w:t>决定拍卖出让</w:t>
      </w:r>
      <w:r>
        <w:rPr>
          <w:rFonts w:hint="eastAsia" w:ascii="宋体" w:hAnsi="宋体" w:cs="宋体"/>
          <w:color w:val="000000" w:themeColor="text1"/>
          <w:sz w:val="28"/>
          <w:szCs w:val="28"/>
          <w:u w:val="single"/>
        </w:rPr>
        <w:t>通川区双龙镇A-04-02</w:t>
      </w:r>
      <w:r>
        <w:rPr>
          <w:rFonts w:hint="eastAsia" w:ascii="宋体" w:hAnsi="宋体"/>
          <w:color w:val="000000" w:themeColor="text1"/>
          <w:sz w:val="28"/>
          <w:szCs w:val="28"/>
          <w:u w:val="single"/>
        </w:rPr>
        <w:t>地块</w:t>
      </w:r>
      <w:r>
        <w:rPr>
          <w:rFonts w:hint="eastAsia" w:ascii="宋体" w:hAnsi="宋体"/>
          <w:color w:val="000000" w:themeColor="text1"/>
          <w:sz w:val="28"/>
          <w:szCs w:val="28"/>
        </w:rPr>
        <w:t>国有建设用地使用权。</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一、本次国有建设用地使用权拍卖出让的出让人为</w:t>
      </w:r>
      <w:r>
        <w:rPr>
          <w:rFonts w:hint="eastAsia" w:ascii="楷体_GB2312" w:hAnsi="宋体" w:eastAsia="楷体_GB2312"/>
          <w:b/>
          <w:color w:val="000000" w:themeColor="text1"/>
          <w:sz w:val="28"/>
          <w:szCs w:val="28"/>
          <w:u w:val="single"/>
        </w:rPr>
        <w:t>达州市通川区自然资源局</w:t>
      </w:r>
      <w:r>
        <w:rPr>
          <w:rFonts w:hint="eastAsia" w:ascii="楷体" w:hAnsi="楷体" w:eastAsia="楷体"/>
          <w:b/>
          <w:color w:val="000000" w:themeColor="text1"/>
          <w:sz w:val="28"/>
          <w:szCs w:val="28"/>
        </w:rPr>
        <w:t>，</w:t>
      </w:r>
      <w:r>
        <w:rPr>
          <w:rFonts w:hint="eastAsia" w:ascii="宋体" w:hAnsi="宋体"/>
          <w:color w:val="000000" w:themeColor="text1"/>
          <w:sz w:val="28"/>
          <w:szCs w:val="28"/>
        </w:rPr>
        <w:t>由达州市公共资源交易服务中心</w:t>
      </w:r>
      <w:r>
        <w:rPr>
          <w:rFonts w:ascii="宋体" w:hAnsi="宋体"/>
          <w:color w:val="000000" w:themeColor="text1"/>
          <w:sz w:val="28"/>
          <w:szCs w:val="28"/>
        </w:rPr>
        <w:t>(</w:t>
      </w:r>
      <w:r>
        <w:rPr>
          <w:rFonts w:hint="eastAsia" w:ascii="宋体" w:hAnsi="宋体"/>
          <w:color w:val="000000" w:themeColor="text1"/>
          <w:sz w:val="28"/>
          <w:szCs w:val="28"/>
        </w:rPr>
        <w:t>简称：拍卖人</w:t>
      </w:r>
      <w:r>
        <w:rPr>
          <w:rFonts w:ascii="宋体" w:hAnsi="宋体"/>
          <w:color w:val="000000" w:themeColor="text1"/>
          <w:sz w:val="28"/>
          <w:szCs w:val="28"/>
        </w:rPr>
        <w:t>)</w:t>
      </w:r>
      <w:r>
        <w:rPr>
          <w:rFonts w:hint="eastAsia" w:ascii="宋体" w:hAnsi="宋体"/>
          <w:color w:val="000000" w:themeColor="text1"/>
          <w:sz w:val="28"/>
          <w:szCs w:val="28"/>
        </w:rPr>
        <w:t>具体组织实施。</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二、本次国有建设用地使用权拍卖出让遵循公开、公平、公正和诚实信用原则。</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三、出让地块的基本情况及相关要求</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（一）地块位置：通川区双龙镇双丰村。</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（二）地块范围： 详见《达州市通川区双龙镇A-04-02地块用地红线图》。</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（三）出让面积：34026.62平方米（折合51.04亩）。</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（四）土地用途：商住综合用地（10%≤商业计容建筑面积占总计容建筑面积比例≤30%）。</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（五）出让年限：商业40年、住宅70年。</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（六）规划条件：详见《达州市通川区双龙镇A-04-02地块规划条件》。</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（七）设计方案中商业、居住须分离布局（且商业用房须设置商业专用烟道），其临规划道路的建筑外立面须作公建化设计。</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（八）配套服务设施：</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根据《达州市人民政府办公室关于印发达州市中心城区新建住宅小区配套建设社区综合服务设施实施办法的通知》（达市府办〔2018〕57号）精神，开发建设单位按照计容住宅建筑面积3‰的比例无偿配建一个社区综合服务设施，建筑面积不计入项目容积率，其不动产权和使用权归地方政府。</w:t>
      </w:r>
    </w:p>
    <w:p>
      <w:pPr>
        <w:spacing w:line="56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（九）其他规划要求：</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活污水接入市政管网排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地块内建筑间距、停车泊位等应满足《城市居住区规划设计标准》（GB50180-2018）、《达州市城市规划管理技术规定》（2019版及其修改补充规定）、《达州市通川区双龙镇控制性详细规划》等规范及文件的相关规定。</w:t>
      </w:r>
    </w:p>
    <w:p>
      <w:pPr>
        <w:spacing w:line="600" w:lineRule="exact"/>
        <w:ind w:firstLine="560" w:firstLineChars="200"/>
        <w:rPr>
          <w:rFonts w:ascii="宋体"/>
          <w:b/>
          <w:color w:val="FF0000"/>
          <w:sz w:val="28"/>
          <w:szCs w:val="28"/>
          <w:u w:val="single"/>
        </w:rPr>
      </w:pPr>
      <w:r>
        <w:rPr>
          <w:rFonts w:hint="eastAsia" w:ascii="宋体" w:hAnsi="宋体"/>
          <w:sz w:val="28"/>
          <w:szCs w:val="28"/>
        </w:rPr>
        <w:t>（十）本宗地实行现状出让：</w:t>
      </w:r>
      <w:r>
        <w:rPr>
          <w:rFonts w:hint="eastAsia" w:ascii="楷体_GB2312" w:hAnsi="黑体" w:eastAsia="楷体_GB2312" w:cs="宋体"/>
          <w:b/>
          <w:color w:val="FF0000"/>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600" w:lineRule="exact"/>
        <w:ind w:firstLine="560" w:firstLineChars="200"/>
        <w:rPr>
          <w:rFonts w:ascii="宋体" w:hAnsi="宋体"/>
          <w:sz w:val="28"/>
          <w:szCs w:val="28"/>
        </w:rPr>
      </w:pPr>
      <w:r>
        <w:rPr>
          <w:rFonts w:hint="eastAsia" w:ascii="宋体" w:hAnsi="宋体"/>
          <w:sz w:val="28"/>
          <w:szCs w:val="28"/>
        </w:rPr>
        <w:t>（十一）动工及竣工期限：受让人须自交地之日起 1 年内开工，自开工之日起 3 年内建成；受让人不能按</w:t>
      </w:r>
      <w:r>
        <w:rPr>
          <w:rFonts w:ascii="宋体" w:hAnsi="宋体"/>
          <w:sz w:val="28"/>
          <w:szCs w:val="28"/>
        </w:rPr>
        <w:t>期开工，应提前30 日向出让人提出延建申请，经出让人同意延建的，其项目竣工时间相应顺延，但延建期限不得超过一年</w:t>
      </w:r>
      <w:r>
        <w:rPr>
          <w:rFonts w:hint="eastAsia" w:ascii="宋体" w:hAnsi="宋体"/>
          <w:sz w:val="28"/>
          <w:szCs w:val="28"/>
        </w:rPr>
        <w:t>。</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二）土地竞得人须严格按照达州市通川区双龙镇A-04-02地块规划条件及要求进行开发建设；须严格按照地质灾害防治的相关要求，落实地质灾害防治措施；须严格按照生态环境保护的相关要求，开展环境影响评价，落实生态环境保护措施。</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四、竞买资格及要求</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 xml:space="preserve"> (一)竞买资格</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1.中华人民共和国境内外的法人、自然人和其他组织（除法律法规另有规定的外）均可申请参加，申请人可以单独申请，也可以联合申请。</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2.在达州市内有下列情形之一的，不得申请参与本次拍卖活动。</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①逾期不签成交确认书、土地出让合同的；</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②欠缴土地出让价款的；</w:t>
      </w:r>
    </w:p>
    <w:p>
      <w:pPr>
        <w:spacing w:line="600" w:lineRule="exact"/>
        <w:ind w:firstLine="640" w:firstLineChars="200"/>
        <w:rPr>
          <w:rFonts w:ascii="仿宋" w:hAnsi="仿宋" w:eastAsia="仿宋" w:cs="宋体"/>
          <w:color w:val="000000" w:themeColor="text1"/>
          <w:sz w:val="28"/>
          <w:szCs w:val="28"/>
        </w:rPr>
      </w:pPr>
      <w:r>
        <w:rPr>
          <w:rFonts w:hint="eastAsia" w:eastAsia="仿宋_GB2312"/>
          <w:color w:val="000000" w:themeColor="text1"/>
          <w:sz w:val="32"/>
          <w:szCs w:val="32"/>
        </w:rPr>
        <w:t>③因企业原因闲置土地一年以上，且尚未完成查处整改的单位和个</w:t>
      </w:r>
      <w:r>
        <w:rPr>
          <w:rFonts w:hint="eastAsia" w:ascii="仿宋" w:hAnsi="仿宋" w:eastAsia="仿宋" w:cs="宋体"/>
          <w:color w:val="000000" w:themeColor="text1"/>
          <w:sz w:val="28"/>
          <w:szCs w:val="28"/>
        </w:rPr>
        <w:t>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④违反土地及城乡规划法律法规受到处罚，且尚未结案的单位和个人。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（二）要求</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1.竞买申请人按照地块拍卖出让公告的日期及方式索取拍卖文件。申请人应认真审阅、全面准确地理解拍卖文件内容，对本次拍卖出让地块的文件有疑问的，可向出让人、拍卖人咨询（咨询电话：出让人电话0818-</w:t>
      </w:r>
      <w:r>
        <w:rPr>
          <w:rFonts w:eastAsia="仿宋_GB2312"/>
          <w:color w:val="000000" w:themeColor="text1"/>
          <w:sz w:val="32"/>
          <w:szCs w:val="32"/>
        </w:rPr>
        <w:t>2379014</w:t>
      </w:r>
      <w:r>
        <w:rPr>
          <w:rFonts w:hint="eastAsia" w:eastAsia="仿宋_GB2312"/>
          <w:color w:val="000000" w:themeColor="text1"/>
          <w:sz w:val="32"/>
          <w:szCs w:val="32"/>
        </w:rPr>
        <w:t>，拍卖人电话0818-3330177）。</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rPr>
      </w:pPr>
      <w:r>
        <w:rPr>
          <w:rFonts w:hint="eastAsia" w:ascii="Times New Roman" w:hAnsi="Times New Roman" w:eastAsia="仿宋_GB2312" w:cs="Times New Roman"/>
          <w:color w:val="000000" w:themeColor="text1"/>
          <w:kern w:val="2"/>
          <w:sz w:val="32"/>
          <w:szCs w:val="32"/>
        </w:rPr>
        <w:t>2.竞买申请人除须按规定交纳竞买保证金外，还须提供该竞买保证金不属于银行贷款、股东借款、转贷和募集资金的承诺书及商业金融机构的资信证明。</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rPr>
      </w:pPr>
      <w:r>
        <w:rPr>
          <w:rFonts w:hint="eastAsia" w:ascii="Times New Roman" w:hAnsi="Times New Roman" w:eastAsia="仿宋_GB2312" w:cs="Times New Roman"/>
          <w:color w:val="000000" w:themeColor="text1"/>
          <w:kern w:val="2"/>
          <w:sz w:val="32"/>
          <w:szCs w:val="32"/>
        </w:rPr>
        <w:t>3.竞买人须承诺：通川区外的竞买人，若竞得土地使用权，必须在通川成立一家公司对竞得土地进行开发建设。</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五、申请和资格审查</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（一）拍卖文件取得</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竞买申请人可于</w:t>
      </w:r>
      <w:r>
        <w:rPr>
          <w:rFonts w:hint="eastAsia" w:ascii="仿宋" w:hAnsi="仿宋" w:eastAsia="仿宋" w:cs="宋体"/>
          <w:b/>
          <w:color w:val="FF0000"/>
          <w:sz w:val="28"/>
          <w:szCs w:val="28"/>
          <w:u w:val="single"/>
        </w:rPr>
        <w:t>20</w:t>
      </w:r>
      <w:r>
        <w:rPr>
          <w:rFonts w:ascii="仿宋" w:hAnsi="仿宋" w:eastAsia="仿宋" w:cs="宋体"/>
          <w:b/>
          <w:color w:val="FF0000"/>
          <w:sz w:val="28"/>
          <w:szCs w:val="28"/>
          <w:u w:val="single"/>
        </w:rPr>
        <w:t>2</w:t>
      </w:r>
      <w:r>
        <w:rPr>
          <w:rFonts w:hint="eastAsia" w:ascii="仿宋" w:hAnsi="仿宋" w:eastAsia="仿宋" w:cs="宋体"/>
          <w:b/>
          <w:color w:val="FF0000"/>
          <w:sz w:val="28"/>
          <w:szCs w:val="28"/>
          <w:u w:val="single"/>
        </w:rPr>
        <w:t>1年9月18日至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1年10月7日</w:t>
      </w:r>
      <w:r>
        <w:rPr>
          <w:rFonts w:ascii="仿宋" w:hAnsi="仿宋" w:eastAsia="仿宋" w:cs="宋体"/>
          <w:b/>
          <w:color w:val="FF0000"/>
          <w:sz w:val="28"/>
          <w:szCs w:val="28"/>
          <w:u w:val="single"/>
        </w:rPr>
        <w:t xml:space="preserve"> 17:00</w:t>
      </w:r>
      <w:r>
        <w:rPr>
          <w:rFonts w:hint="eastAsia" w:ascii="仿宋" w:hAnsi="仿宋" w:eastAsia="仿宋" w:cs="仿宋_GB2312"/>
          <w:color w:val="000000" w:themeColor="text1"/>
          <w:sz w:val="28"/>
          <w:szCs w:val="28"/>
        </w:rPr>
        <w:t>，</w:t>
      </w:r>
      <w:r>
        <w:rPr>
          <w:rFonts w:hint="eastAsia" w:eastAsia="仿宋_GB2312"/>
          <w:color w:val="000000" w:themeColor="text1"/>
          <w:kern w:val="2"/>
          <w:sz w:val="32"/>
          <w:szCs w:val="32"/>
        </w:rPr>
        <w:t>通过达州市公共资源交易服务网（</w:t>
      </w:r>
      <w:r>
        <w:fldChar w:fldCharType="begin"/>
      </w:r>
      <w:r>
        <w:instrText xml:space="preserve"> HYPERLINK "http://www.dzggzy.cn/" </w:instrText>
      </w:r>
      <w:r>
        <w:fldChar w:fldCharType="separate"/>
      </w:r>
      <w:r>
        <w:rPr>
          <w:rFonts w:hint="eastAsia" w:eastAsia="仿宋_GB2312"/>
          <w:color w:val="000000" w:themeColor="text1"/>
          <w:kern w:val="2"/>
          <w:sz w:val="32"/>
          <w:szCs w:val="32"/>
        </w:rPr>
        <w:t>http://www.dzggzy.cn</w:t>
      </w:r>
      <w:r>
        <w:rPr>
          <w:rFonts w:hint="eastAsia" w:eastAsia="仿宋_GB2312"/>
          <w:color w:val="000000" w:themeColor="text1"/>
          <w:kern w:val="2"/>
          <w:sz w:val="32"/>
          <w:szCs w:val="32"/>
        </w:rPr>
        <w:fldChar w:fldCharType="end"/>
      </w:r>
      <w:r>
        <w:rPr>
          <w:rFonts w:hint="eastAsia" w:eastAsia="仿宋_GB2312"/>
          <w:color w:val="000000" w:themeColor="text1"/>
          <w:kern w:val="2"/>
          <w:sz w:val="32"/>
          <w:szCs w:val="32"/>
        </w:rPr>
        <w:t>）获取拍卖出让文件。</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（二）提交申请文件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竞买申请人应于</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1年9月18日至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1年10月7日</w:t>
      </w:r>
      <w:r>
        <w:rPr>
          <w:rFonts w:ascii="仿宋" w:hAnsi="仿宋" w:eastAsia="仿宋" w:cs="宋体"/>
          <w:b/>
          <w:color w:val="FF0000"/>
          <w:sz w:val="28"/>
          <w:szCs w:val="28"/>
          <w:u w:val="single"/>
        </w:rPr>
        <w:t xml:space="preserve"> 17:00</w:t>
      </w:r>
      <w:r>
        <w:rPr>
          <w:rFonts w:hint="eastAsia" w:ascii="仿宋" w:hAnsi="仿宋" w:eastAsia="仿宋" w:cs="宋体"/>
          <w:color w:val="000000" w:themeColor="text1"/>
          <w:sz w:val="28"/>
          <w:szCs w:val="28"/>
        </w:rPr>
        <w:t>止</w:t>
      </w:r>
      <w:r>
        <w:rPr>
          <w:rFonts w:hint="eastAsia" w:ascii="仿宋" w:hAnsi="仿宋" w:eastAsia="仿宋" w:cs="仿宋_GB2312"/>
          <w:color w:val="000000" w:themeColor="text1"/>
          <w:sz w:val="28"/>
          <w:szCs w:val="28"/>
        </w:rPr>
        <w:t>，</w:t>
      </w:r>
      <w:r>
        <w:rPr>
          <w:rFonts w:hint="eastAsia" w:eastAsia="仿宋_GB2312"/>
          <w:color w:val="000000" w:themeColor="text1"/>
          <w:sz w:val="32"/>
          <w:szCs w:val="32"/>
        </w:rPr>
        <w:t>达州市公共资源交易服务网（</w:t>
      </w:r>
      <w:r>
        <w:fldChar w:fldCharType="begin"/>
      </w:r>
      <w:r>
        <w:instrText xml:space="preserve"> HYPERLINK "http://www.dzggzy.cn/" </w:instrText>
      </w:r>
      <w:r>
        <w:fldChar w:fldCharType="separate"/>
      </w:r>
      <w:r>
        <w:rPr>
          <w:rFonts w:hint="eastAsia" w:eastAsia="仿宋_GB2312"/>
          <w:color w:val="000000" w:themeColor="text1"/>
          <w:sz w:val="32"/>
          <w:szCs w:val="32"/>
        </w:rPr>
        <w:t>http://www.dzggzy.cn</w:t>
      </w:r>
      <w:r>
        <w:rPr>
          <w:rFonts w:hint="eastAsia" w:eastAsia="仿宋_GB2312"/>
          <w:color w:val="000000" w:themeColor="text1"/>
          <w:sz w:val="32"/>
          <w:szCs w:val="32"/>
        </w:rPr>
        <w:fldChar w:fldCharType="end"/>
      </w:r>
      <w:r>
        <w:rPr>
          <w:rFonts w:hint="eastAsia" w:eastAsia="仿宋_GB2312"/>
          <w:color w:val="000000" w:themeColor="text1"/>
          <w:sz w:val="32"/>
          <w:szCs w:val="32"/>
        </w:rPr>
        <w:t>）通过系统上传申请文件扫描件并提交申请。申请文件包括：</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1.法人申请的，应提交下列文件：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（4）法人单位有效证明文件；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（5）法定代表人的有效身份证明文件；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（6）申请人委托他人代为办理的，应提交授权委托书及委托代理人的有效身份证明文件；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2.自然人申请的，应提交下列文件：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（4）申请人有效身份证明文件；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（5）申请人委托他人代为办理的，应提交授权委托书及委托代理人的身份证明文件；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3.其他组织申请的，应提交下列文件：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（4）表明该组织合法存在的文件或有效证明；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（5）表明该组织负责人身份的有效证明文件；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（6）申请人委托他人办理的，应提交授权委托书及委托代理人的身份证明文件；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4.境外申请人申请的，应提交下列文件：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（4）境外法人、自然人、其他组织的有效身份证明文件；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上述文件中，申请书必须用中文书写，其他文件可以使用其他语言,但必须附中文译本，所有文件的解释以中文译本为准。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5.联合申请的，应提交下列文件：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（1）联合申请各方共同签署的申请书；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（2）联合申请各方共同签署的保证金承诺书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（3）联合体各方商业金融机构的资信证明；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（4）联合各方的有效身份证明文件；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（三）资格审查</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已提交申请的竞买申请人须在</w:t>
      </w:r>
      <w:r>
        <w:rPr>
          <w:rFonts w:hint="eastAsia" w:ascii="仿宋" w:hAnsi="仿宋" w:eastAsia="仿宋" w:cs="宋体"/>
          <w:b/>
          <w:color w:val="FF0000"/>
          <w:sz w:val="28"/>
          <w:szCs w:val="28"/>
        </w:rPr>
        <w:t>资格审查当日（</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1年10月8日）</w:t>
      </w:r>
      <w:r>
        <w:rPr>
          <w:rFonts w:ascii="仿宋" w:hAnsi="仿宋" w:eastAsia="仿宋" w:cs="宋体"/>
          <w:b/>
          <w:color w:val="000000" w:themeColor="text1"/>
          <w:sz w:val="28"/>
          <w:szCs w:val="28"/>
          <w:u w:val="single"/>
        </w:rPr>
        <w:t>8:30</w:t>
      </w:r>
      <w:r>
        <w:rPr>
          <w:rFonts w:hint="eastAsia" w:eastAsia="仿宋_GB2312"/>
          <w:color w:val="000000" w:themeColor="text1"/>
          <w:sz w:val="32"/>
          <w:szCs w:val="32"/>
        </w:rPr>
        <w:t>之前将竞买申请文件原件提交至4B-17，未按时提交原件的视为自行放弃竞买资格。</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达州市公共资源交易服务中心负责组织相关方进行资格审查。按规定时间提交申请和缴纳竞买保证金且通过资格审查的，方能取得竞买资格。经审查，有下列情形之一的，其申请无效：</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1.申请人不具备竞买资格的；</w:t>
      </w:r>
    </w:p>
    <w:p>
      <w:pPr>
        <w:pStyle w:val="33"/>
        <w:widowControl w:val="0"/>
        <w:spacing w:line="600" w:lineRule="exact"/>
        <w:ind w:left="0"/>
        <w:rPr>
          <w:rFonts w:eastAsia="仿宋_GB2312"/>
          <w:color w:val="000000" w:themeColor="text1"/>
          <w:kern w:val="2"/>
          <w:sz w:val="32"/>
          <w:szCs w:val="32"/>
        </w:rPr>
      </w:pPr>
      <w:r>
        <w:rPr>
          <w:rFonts w:hint="eastAsia" w:eastAsia="仿宋_GB2312"/>
          <w:color w:val="000000" w:themeColor="text1"/>
          <w:kern w:val="2"/>
          <w:sz w:val="32"/>
          <w:szCs w:val="32"/>
        </w:rPr>
        <w:t xml:space="preserve">    2.未按规定交纳竞买保证金的；</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3.申请文件不齐全或不符合法律法规和出让文件规定的；</w:t>
      </w:r>
    </w:p>
    <w:p>
      <w:pPr>
        <w:pStyle w:val="33"/>
        <w:widowControl w:val="0"/>
        <w:spacing w:line="600" w:lineRule="exact"/>
        <w:ind w:left="0" w:firstLine="570"/>
        <w:rPr>
          <w:rFonts w:eastAsia="仿宋_GB2312"/>
          <w:color w:val="000000" w:themeColor="text1"/>
          <w:kern w:val="2"/>
          <w:sz w:val="32"/>
          <w:szCs w:val="32"/>
        </w:rPr>
      </w:pPr>
      <w:r>
        <w:rPr>
          <w:rFonts w:hint="eastAsia" w:eastAsia="仿宋_GB2312"/>
          <w:color w:val="000000" w:themeColor="text1"/>
          <w:kern w:val="2"/>
          <w:sz w:val="32"/>
          <w:szCs w:val="32"/>
        </w:rPr>
        <w:t>4.委托他人代理，委托文件不齐全或不符合规定的；</w:t>
      </w:r>
    </w:p>
    <w:p>
      <w:pPr>
        <w:pStyle w:val="33"/>
        <w:widowControl w:val="0"/>
        <w:spacing w:line="600" w:lineRule="exact"/>
        <w:ind w:left="0" w:firstLine="585"/>
        <w:rPr>
          <w:rFonts w:eastAsia="仿宋_GB2312"/>
          <w:color w:val="000000" w:themeColor="text1"/>
          <w:kern w:val="2"/>
          <w:sz w:val="32"/>
          <w:szCs w:val="32"/>
        </w:rPr>
      </w:pPr>
      <w:r>
        <w:rPr>
          <w:rFonts w:hint="eastAsia" w:eastAsia="仿宋_GB2312"/>
          <w:color w:val="000000" w:themeColor="text1"/>
          <w:kern w:val="2"/>
          <w:sz w:val="32"/>
          <w:szCs w:val="32"/>
        </w:rPr>
        <w:t>5.法律法规规定的其他情形。</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（四）确认竞买人资格</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取得竞买资格的竞买申请人，请在</w:t>
      </w:r>
      <w:r>
        <w:rPr>
          <w:rFonts w:ascii="仿宋" w:hAnsi="仿宋" w:eastAsia="仿宋" w:cs="宋体"/>
          <w:b/>
          <w:color w:val="FF0000"/>
          <w:sz w:val="28"/>
          <w:szCs w:val="28"/>
        </w:rPr>
        <w:t>202</w:t>
      </w:r>
      <w:r>
        <w:rPr>
          <w:rFonts w:hint="eastAsia" w:ascii="仿宋" w:hAnsi="仿宋" w:eastAsia="仿宋" w:cs="宋体"/>
          <w:b/>
          <w:color w:val="FF0000"/>
          <w:sz w:val="28"/>
          <w:szCs w:val="28"/>
        </w:rPr>
        <w:t>1年10月8日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：30</w:t>
      </w:r>
      <w:r>
        <w:rPr>
          <w:rFonts w:hint="eastAsia" w:ascii="仿宋" w:hAnsi="仿宋" w:eastAsia="仿宋" w:cs="宋体"/>
          <w:b/>
          <w:color w:val="000000" w:themeColor="text1"/>
          <w:sz w:val="28"/>
          <w:szCs w:val="28"/>
          <w:u w:val="single"/>
        </w:rPr>
        <w:t>前</w:t>
      </w:r>
      <w:r>
        <w:rPr>
          <w:rFonts w:hint="eastAsia" w:eastAsia="仿宋_GB2312"/>
          <w:color w:val="000000" w:themeColor="text1"/>
          <w:sz w:val="32"/>
          <w:szCs w:val="32"/>
        </w:rPr>
        <w:t>自行登录达州市公共资源交易服务平台打印竞买资格确认书并带到拍卖现场（打印时间可能因资格审查而延迟）。</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（五）答疑及现场踏勘</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竞买申请人取得拍卖出让文件后，应全面仔细阅读其内容并现场踏勘所需竞买的宗地。</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六、本次出让宗地拍卖会时间、地点及拍卖的起叫价、增价幅度</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本次拍卖会地点为：达州市公共资源交易中心开标二厅举行。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本次拍卖会时间为</w:t>
      </w:r>
      <w:r>
        <w:rPr>
          <w:rFonts w:hint="eastAsia" w:eastAsia="仿宋_GB2312"/>
          <w:color w:val="FF0000"/>
          <w:sz w:val="32"/>
          <w:szCs w:val="32"/>
        </w:rPr>
        <w:t>：</w:t>
      </w:r>
      <w:r>
        <w:rPr>
          <w:rFonts w:ascii="仿宋" w:hAnsi="仿宋" w:eastAsia="仿宋"/>
          <w:b/>
          <w:color w:val="FF0000"/>
          <w:sz w:val="28"/>
          <w:szCs w:val="28"/>
          <w:u w:val="single"/>
        </w:rPr>
        <w:t>202</w:t>
      </w:r>
      <w:r>
        <w:rPr>
          <w:rFonts w:hint="eastAsia" w:ascii="仿宋" w:hAnsi="仿宋" w:eastAsia="仿宋"/>
          <w:b/>
          <w:color w:val="FF0000"/>
          <w:sz w:val="28"/>
          <w:szCs w:val="28"/>
          <w:u w:val="single"/>
        </w:rPr>
        <w:t>1年10月8日上午</w:t>
      </w:r>
      <w:r>
        <w:rPr>
          <w:rFonts w:ascii="仿宋" w:hAnsi="仿宋" w:eastAsia="仿宋"/>
          <w:b/>
          <w:color w:val="FF0000"/>
          <w:sz w:val="28"/>
          <w:szCs w:val="28"/>
          <w:u w:val="single"/>
        </w:rPr>
        <w:t>1</w:t>
      </w:r>
      <w:r>
        <w:rPr>
          <w:rFonts w:hint="eastAsia" w:ascii="仿宋" w:hAnsi="仿宋" w:eastAsia="仿宋"/>
          <w:b/>
          <w:color w:val="FF0000"/>
          <w:sz w:val="28"/>
          <w:szCs w:val="28"/>
          <w:u w:val="single"/>
        </w:rPr>
        <w:t>0：30</w:t>
      </w:r>
      <w:r>
        <w:rPr>
          <w:rFonts w:hint="eastAsia" w:eastAsia="仿宋_GB2312"/>
          <w:color w:val="000000" w:themeColor="text1"/>
          <w:sz w:val="32"/>
          <w:szCs w:val="32"/>
        </w:rPr>
        <w:t>（拍卖会时间可能因资格审查而延迟）。</w:t>
      </w:r>
    </w:p>
    <w:p>
      <w:pPr>
        <w:snapToGrid w:val="0"/>
        <w:spacing w:line="600" w:lineRule="exact"/>
        <w:ind w:firstLine="555"/>
        <w:rPr>
          <w:rFonts w:eastAsia="仿宋_GB2312"/>
          <w:color w:val="FF0000"/>
          <w:sz w:val="32"/>
          <w:szCs w:val="32"/>
        </w:rPr>
      </w:pPr>
      <w:r>
        <w:rPr>
          <w:rFonts w:hint="eastAsia" w:eastAsia="仿宋_GB2312"/>
          <w:color w:val="000000" w:themeColor="text1"/>
          <w:sz w:val="32"/>
          <w:szCs w:val="32"/>
        </w:rPr>
        <w:t>本次拍卖</w:t>
      </w:r>
      <w:r>
        <w:rPr>
          <w:rFonts w:hint="eastAsia" w:eastAsia="仿宋_GB2312"/>
          <w:color w:val="FF0000"/>
          <w:sz w:val="32"/>
          <w:szCs w:val="32"/>
        </w:rPr>
        <w:t>起叫价205万元/亩,增价幅度为5万元/亩或5万元/亩的整倍数。成交总地价=拍卖成交最高亩价×出让面积51.04亩。</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七、拍卖程序</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（一）拍卖会程序</w:t>
      </w:r>
    </w:p>
    <w:p>
      <w:pPr>
        <w:snapToGrid w:val="0"/>
        <w:spacing w:line="600" w:lineRule="exact"/>
        <w:ind w:firstLine="555"/>
        <w:rPr>
          <w:rFonts w:eastAsia="仿宋_GB2312"/>
          <w:color w:val="000000" w:themeColor="text1"/>
          <w:sz w:val="32"/>
          <w:szCs w:val="32"/>
        </w:rPr>
      </w:pPr>
      <w:r>
        <w:rPr>
          <w:rFonts w:hint="eastAsia" w:eastAsia="仿宋_GB2312"/>
          <w:sz w:val="32"/>
          <w:szCs w:val="32"/>
        </w:rPr>
        <w:t>1.拍卖主持人亮证并宣布拍卖会开始</w:t>
      </w:r>
      <w:r>
        <w:rPr>
          <w:rFonts w:hint="eastAsia" w:eastAsia="仿宋_GB2312"/>
          <w:color w:val="000000" w:themeColor="text1"/>
          <w:sz w:val="32"/>
          <w:szCs w:val="32"/>
        </w:rPr>
        <w:t>；</w:t>
      </w:r>
    </w:p>
    <w:p>
      <w:pPr>
        <w:snapToGrid w:val="0"/>
        <w:spacing w:line="600" w:lineRule="exact"/>
        <w:ind w:firstLine="555"/>
        <w:rPr>
          <w:rFonts w:eastAsia="仿宋_GB2312"/>
          <w:sz w:val="32"/>
          <w:szCs w:val="32"/>
        </w:rPr>
      </w:pPr>
      <w:r>
        <w:rPr>
          <w:rFonts w:hint="eastAsia" w:eastAsia="仿宋_GB2312"/>
          <w:sz w:val="32"/>
          <w:szCs w:val="32"/>
        </w:rPr>
        <w:t>2.拍卖主持人邀请公证员及记录员就位，并介绍相关人员；</w:t>
      </w:r>
    </w:p>
    <w:p>
      <w:pPr>
        <w:snapToGrid w:val="0"/>
        <w:spacing w:line="600" w:lineRule="exact"/>
        <w:ind w:firstLine="555"/>
        <w:rPr>
          <w:rFonts w:eastAsia="仿宋_GB2312"/>
          <w:sz w:val="32"/>
          <w:szCs w:val="32"/>
        </w:rPr>
      </w:pPr>
      <w:r>
        <w:rPr>
          <w:rFonts w:hint="eastAsia" w:eastAsia="仿宋_GB2312"/>
          <w:sz w:val="32"/>
          <w:szCs w:val="32"/>
        </w:rPr>
        <w:t>3.拍卖主持人清点竞买人到场情况并按次序入座；</w:t>
      </w:r>
    </w:p>
    <w:p>
      <w:pPr>
        <w:snapToGrid w:val="0"/>
        <w:spacing w:line="600" w:lineRule="exact"/>
        <w:ind w:firstLine="555"/>
        <w:rPr>
          <w:rFonts w:eastAsia="仿宋_GB2312"/>
          <w:sz w:val="32"/>
          <w:szCs w:val="32"/>
        </w:rPr>
      </w:pPr>
      <w:r>
        <w:rPr>
          <w:rFonts w:hint="eastAsia" w:eastAsia="仿宋_GB2312"/>
          <w:sz w:val="32"/>
          <w:szCs w:val="32"/>
        </w:rPr>
        <w:t>4.公证员核实竞买人身份和举牌人身份；</w:t>
      </w:r>
    </w:p>
    <w:p>
      <w:pPr>
        <w:snapToGrid w:val="0"/>
        <w:spacing w:line="600" w:lineRule="exact"/>
        <w:ind w:firstLine="555"/>
        <w:rPr>
          <w:rFonts w:eastAsia="仿宋_GB2312"/>
          <w:sz w:val="32"/>
          <w:szCs w:val="32"/>
        </w:rPr>
      </w:pPr>
      <w:r>
        <w:rPr>
          <w:rFonts w:hint="eastAsia" w:eastAsia="仿宋_GB2312"/>
          <w:sz w:val="32"/>
          <w:szCs w:val="32"/>
        </w:rPr>
        <w:t>5．设有底价的，公证员检查并展示底价密封情况后，交予拍卖主持人；</w:t>
      </w:r>
    </w:p>
    <w:p>
      <w:pPr>
        <w:snapToGrid w:val="0"/>
        <w:spacing w:line="600" w:lineRule="exact"/>
        <w:ind w:firstLine="555"/>
        <w:rPr>
          <w:rFonts w:eastAsia="仿宋_GB2312"/>
          <w:color w:val="000000" w:themeColor="text1"/>
          <w:sz w:val="32"/>
          <w:szCs w:val="32"/>
        </w:rPr>
      </w:pPr>
      <w:r>
        <w:rPr>
          <w:rFonts w:hint="eastAsia" w:eastAsia="仿宋_GB2312"/>
          <w:sz w:val="32"/>
          <w:szCs w:val="32"/>
        </w:rPr>
        <w:t>6.拍卖主持人介绍拍卖地块的位</w:t>
      </w:r>
      <w:r>
        <w:rPr>
          <w:rFonts w:hint="eastAsia" w:eastAsia="仿宋_GB2312"/>
          <w:color w:val="000000" w:themeColor="text1"/>
          <w:sz w:val="32"/>
          <w:szCs w:val="32"/>
        </w:rPr>
        <w:t>置、面积、用途、使用年限、规划指标要求、建设时间等；</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7.拍卖主持人宣布拍卖会相关要求：①拍卖宗地的起叫价、增价规则和增价幅度，并明确提示是否设有底价；②在拍卖过程中，拍卖主持人可根据政府批复、现场情况调整增价幅度；③竞买人必须参与一次或一次以上的报价，否则视为违规违约；④竞价时由受托人举牌报价，拍卖过程中不得变更举牌人；</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8.拍卖主持人逐一询问竞买人是否听清、是否明白；</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9.拍卖主持人报出起叫价，宣布竞价开始；</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10.竞买人举牌应价或者报价，首轮竞价完毕后须宣布首轮竞价结束并转为自由竞价；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11.拍卖主持人确认该竞买人应价或者报价后继续竞价；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14.公证员现场致公证词；</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15.拍卖主持人主持拍卖人与竞得人在现场签订《成交确认书》。</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（三）出让人与竞得人依据《成交确认书》的约定签订《国有建设用地使用权出让合同》。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（四）出让结果公布：</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八、竞价规则</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（一）本次拍卖采用增价拍卖方式，按价高者得的原则确定竞得人（高于或等于政府底价的基础上）。</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（二）凡参加拍卖的竞买人必须承认起叫价，</w:t>
      </w:r>
      <w:r>
        <w:rPr>
          <w:rFonts w:hint="eastAsia" w:eastAsia="仿宋_GB2312"/>
          <w:color w:val="FF0000"/>
          <w:sz w:val="32"/>
          <w:szCs w:val="32"/>
        </w:rPr>
        <w:t>即从起叫价(205万元/亩）+最低增价幅度（5万元/亩）=210万元/亩的价格确认，</w:t>
      </w:r>
      <w:r>
        <w:rPr>
          <w:rFonts w:hint="eastAsia" w:eastAsia="仿宋_GB2312"/>
          <w:color w:val="000000" w:themeColor="text1"/>
          <w:sz w:val="32"/>
          <w:szCs w:val="32"/>
        </w:rPr>
        <w:t>并且每位竞买人必须按拍卖主持人的要求在前一应价者基础上按最低增价幅度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（四）若设有政府底价，最后应价未达到底价时，拍卖主持人终止本次拍卖活动，拍卖不成交。</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九、注意事项</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（一）特别提醒：资格审查当日，资格审查结束后即进行拍卖活动，通过资格审查的竞买申请人须做好相关准备。</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（六）有下列情形之一的，拍卖人应当在拍卖会前终止拍卖活动，并通知竞买人：</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 ．竞买人串通损害国家利益、社会利益或他人合法权益的；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2 ．拍卖工作人员私下接触竞买人，足以影响拍卖公正性的；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3 ．应当依法终止拍卖活动的其他情形。</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（七）竞得人有下列行为之一的，视为违约，出让人可取消其竞得人资格，竞买保证金、定金不予退还：</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1.竞得人逾期或拒绝在现场签订《成交确认书》的；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2.竞得人逾期或拒绝签订《国有建设用地使用权出让合同》的；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3.竞得人逾期支付交易服务费的；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adjustRightInd w:val="0"/>
        <w:snapToGrid w:val="0"/>
        <w:spacing w:line="578" w:lineRule="exact"/>
        <w:ind w:firstLine="640" w:firstLineChars="200"/>
        <w:rPr>
          <w:rFonts w:ascii="仿宋_GB2312"/>
          <w:color w:val="000000"/>
          <w:szCs w:val="32"/>
        </w:rPr>
      </w:pPr>
      <w:r>
        <w:rPr>
          <w:rFonts w:hint="eastAsia" w:eastAsia="仿宋_GB2312"/>
          <w:color w:val="000000" w:themeColor="text1"/>
          <w:sz w:val="32"/>
          <w:szCs w:val="32"/>
        </w:rPr>
        <w:t>（九）出让合同签订时间及价款支付：土地拍卖出让成交后须当场签订《成交确认书》，自成交之日起10个工作日内签订《国有建设用地使用权出让合同》，在出让合同签订之日起1个月内缴纳拍卖成交价总额50%的首付款，余款在出让合同签订之日起7个月内缴清（不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（十）土地交付条件及时间：在受让人缴清全部土地价款（含违约金）后30日内，</w:t>
      </w:r>
      <w:r>
        <w:rPr>
          <w:rFonts w:hint="eastAsia" w:ascii="仿宋" w:hAnsi="仿宋" w:eastAsia="仿宋" w:cs="宋体"/>
          <w:b/>
          <w:color w:val="000000" w:themeColor="text1"/>
          <w:sz w:val="28"/>
          <w:szCs w:val="28"/>
          <w:u w:val="single"/>
        </w:rPr>
        <w:t>达州市通川区自然资源局</w:t>
      </w:r>
      <w:r>
        <w:rPr>
          <w:rFonts w:hint="eastAsia" w:eastAsia="仿宋_GB2312"/>
          <w:color w:val="000000" w:themeColor="text1"/>
          <w:sz w:val="32"/>
          <w:szCs w:val="32"/>
        </w:rPr>
        <w:t>按现状土地使用条件交付土地，宗地范围内的地下资源、埋藏物不属于国有建设用地使用权出让范围。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（十一）对出让地块如涉及电力、通讯、光缆、输气管道等设施的，竞得人应按其管理部门避让等规定和要求办理。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（十二）拍卖不成交的或成交不签订《成交确认书》的，由</w:t>
      </w:r>
      <w:r>
        <w:rPr>
          <w:rFonts w:hint="eastAsia" w:ascii="仿宋" w:hAnsi="仿宋" w:eastAsia="仿宋"/>
          <w:color w:val="000000" w:themeColor="text1"/>
          <w:sz w:val="28"/>
          <w:szCs w:val="28"/>
          <w:u w:val="single"/>
        </w:rPr>
        <w:t>达州市公共资源交易服务中心</w:t>
      </w:r>
      <w:r>
        <w:rPr>
          <w:rFonts w:hint="eastAsia" w:eastAsia="仿宋_GB2312"/>
          <w:color w:val="000000" w:themeColor="text1"/>
          <w:sz w:val="32"/>
          <w:szCs w:val="32"/>
        </w:rPr>
        <w:t>在2个工作日内书面函告出让人。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（十三）参加拍卖活动的人员，应遵守现场的纪律，服从管理人员的管理。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（十四）其他未尽事宜依照《招标拍卖挂牌出让国有土地使用权规范》办理。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（十五）达州市通川区自然资源局、达州市公共资源交易服务中心对本《须知》有解释权。</w:t>
      </w:r>
    </w:p>
    <w:p>
      <w:pPr>
        <w:spacing w:line="600" w:lineRule="exact"/>
        <w:ind w:firstLine="1920" w:firstLineChars="6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cols w:space="425" w:num="1"/>
          <w:docGrid w:type="lines" w:linePitch="312" w:charSpace="0"/>
        </w:sectPr>
      </w:pPr>
    </w:p>
    <w:p>
      <w:pPr>
        <w:pStyle w:val="12"/>
        <w:rPr>
          <w:rFonts w:ascii="宋体" w:hAnsi="宋体" w:eastAsia="宋体" w:cs="宋体"/>
          <w:color w:val="000000" w:themeColor="text1"/>
          <w:kern w:val="0"/>
          <w:sz w:val="24"/>
        </w:rPr>
      </w:pPr>
      <w:bookmarkStart w:id="4" w:name="_Toc3391743"/>
      <w:bookmarkStart w:id="5" w:name="_Toc3391972"/>
      <w:r>
        <w:rPr>
          <w:rFonts w:hint="eastAsia" w:ascii="黑体" w:eastAsia="黑体"/>
          <w:color w:val="000000" w:themeColor="text1"/>
          <w:sz w:val="44"/>
          <w:szCs w:val="44"/>
        </w:rPr>
        <w:t>地块规划条件相关资</w:t>
      </w:r>
      <w:bookmarkEnd w:id="4"/>
      <w:bookmarkEnd w:id="5"/>
      <w:r>
        <w:rPr>
          <w:rFonts w:hint="eastAsia" w:ascii="黑体" w:eastAsia="黑体"/>
          <w:color w:val="000000" w:themeColor="text1"/>
          <w:sz w:val="44"/>
          <w:szCs w:val="44"/>
        </w:rPr>
        <w:t>料</w:t>
      </w:r>
      <w:r>
        <w:rPr>
          <w:rFonts w:hint="eastAsia" w:ascii="宋体" w:hAnsi="宋体" w:eastAsia="宋体" w:cs="宋体"/>
          <w:color w:val="000000" w:themeColor="text1"/>
          <w:kern w:val="0"/>
          <w:sz w:val="24"/>
        </w:rPr>
        <w:drawing>
          <wp:inline distT="0" distB="0" distL="114300" distR="114300">
            <wp:extent cx="5267960" cy="7444105"/>
            <wp:effectExtent l="0" t="0" r="8890" b="4445"/>
            <wp:docPr id="4" name="图片 4" descr="双龙镇A-04-02规划条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双龙镇A-04-02规划条件_00"/>
                    <pic:cNvPicPr>
                      <a:picLocks noChangeAspect="1"/>
                    </pic:cNvPicPr>
                  </pic:nvPicPr>
                  <pic:blipFill>
                    <a:blip r:embed="rId25"/>
                    <a:stretch>
                      <a:fillRect/>
                    </a:stretch>
                  </pic:blipFill>
                  <pic:spPr>
                    <a:xfrm>
                      <a:off x="0" y="0"/>
                      <a:ext cx="5267960" cy="7444105"/>
                    </a:xfrm>
                    <a:prstGeom prst="rect">
                      <a:avLst/>
                    </a:prstGeom>
                  </pic:spPr>
                </pic:pic>
              </a:graphicData>
            </a:graphic>
          </wp:inline>
        </w:drawing>
      </w:r>
      <w:r>
        <w:rPr>
          <w:rFonts w:hint="eastAsia" w:ascii="宋体" w:hAnsi="宋体" w:eastAsia="宋体" w:cs="宋体"/>
          <w:color w:val="000000" w:themeColor="text1"/>
          <w:kern w:val="0"/>
          <w:sz w:val="24"/>
        </w:rPr>
        <w:drawing>
          <wp:inline distT="0" distB="0" distL="114300" distR="114300">
            <wp:extent cx="5267960" cy="7444105"/>
            <wp:effectExtent l="0" t="0" r="8890" b="4445"/>
            <wp:docPr id="3" name="图片 3" descr="双龙镇A-04-02规划条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双龙镇A-04-02规划条件_01"/>
                    <pic:cNvPicPr>
                      <a:picLocks noChangeAspect="1"/>
                    </pic:cNvPicPr>
                  </pic:nvPicPr>
                  <pic:blipFill>
                    <a:blip r:embed="rId26"/>
                    <a:stretch>
                      <a:fillRect/>
                    </a:stretch>
                  </pic:blipFill>
                  <pic:spPr>
                    <a:xfrm>
                      <a:off x="0" y="0"/>
                      <a:ext cx="5267960" cy="7444105"/>
                    </a:xfrm>
                    <a:prstGeom prst="rect">
                      <a:avLst/>
                    </a:prstGeom>
                  </pic:spPr>
                </pic:pic>
              </a:graphicData>
            </a:graphic>
          </wp:inline>
        </w:drawing>
      </w:r>
    </w:p>
    <w:p>
      <w:pPr>
        <w:rPr>
          <w:color w:val="000000" w:themeColor="text1"/>
        </w:rPr>
      </w:pPr>
    </w:p>
    <w:p>
      <w:pPr>
        <w:rPr>
          <w:color w:val="000000" w:themeColor="text1"/>
        </w:rPr>
      </w:pPr>
    </w:p>
    <w:p>
      <w:pPr>
        <w:rPr>
          <w:color w:val="000000" w:themeColor="text1"/>
        </w:rPr>
      </w:pPr>
    </w:p>
    <w:p>
      <w:pPr>
        <w:rPr>
          <w:color w:val="000000" w:themeColor="text1"/>
        </w:r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themeColor="text1"/>
          <w:sz w:val="44"/>
          <w:szCs w:val="44"/>
        </w:rPr>
      </w:pPr>
      <w:bookmarkStart w:id="6" w:name="_Toc3391973"/>
      <w:bookmarkStart w:id="7" w:name="_Toc3391744"/>
      <w:r>
        <w:rPr>
          <w:rFonts w:hint="eastAsia" w:ascii="黑体" w:eastAsia="黑体"/>
          <w:color w:val="000000" w:themeColor="text1"/>
          <w:sz w:val="44"/>
          <w:szCs w:val="44"/>
        </w:rPr>
        <w:t>用地红线图</w:t>
      </w:r>
      <w:bookmarkEnd w:id="6"/>
      <w:bookmarkEnd w:id="7"/>
    </w:p>
    <w:p>
      <w:pPr>
        <w:pStyle w:val="12"/>
        <w:rPr>
          <w:rFonts w:ascii="宋体" w:eastAsia="宋体" w:cs="宋体"/>
          <w:color w:val="000000" w:themeColor="text1"/>
          <w:sz w:val="28"/>
          <w:szCs w:val="28"/>
        </w:rPr>
      </w:pPr>
      <w:r>
        <w:rPr>
          <w:rFonts w:hint="eastAsia" w:ascii="宋体" w:eastAsia="宋体" w:cs="宋体"/>
          <w:color w:val="000000" w:themeColor="text1"/>
          <w:sz w:val="28"/>
          <w:szCs w:val="28"/>
        </w:rPr>
        <w:drawing>
          <wp:inline distT="0" distB="0" distL="114300" distR="114300">
            <wp:extent cx="5273040" cy="3725545"/>
            <wp:effectExtent l="0" t="0" r="3810" b="8255"/>
            <wp:docPr id="5" name="图片 5" descr="A-04-02红线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04-02红线图_00"/>
                    <pic:cNvPicPr>
                      <a:picLocks noChangeAspect="1"/>
                    </pic:cNvPicPr>
                  </pic:nvPicPr>
                  <pic:blipFill>
                    <a:blip r:embed="rId27"/>
                    <a:stretch>
                      <a:fillRect/>
                    </a:stretch>
                  </pic:blipFill>
                  <pic:spPr>
                    <a:xfrm>
                      <a:off x="0" y="0"/>
                      <a:ext cx="5273040" cy="3725545"/>
                    </a:xfrm>
                    <a:prstGeom prst="rect">
                      <a:avLst/>
                    </a:prstGeom>
                  </pic:spPr>
                </pic:pic>
              </a:graphicData>
            </a:graphic>
          </wp:inline>
        </w:drawing>
      </w:r>
    </w:p>
    <w:p>
      <w:pPr>
        <w:pStyle w:val="12"/>
        <w:jc w:val="both"/>
        <w:rPr>
          <w:rFonts w:ascii="宋体" w:eastAsia="宋体" w:cs="宋体"/>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themeColor="text1"/>
          <w:sz w:val="44"/>
          <w:szCs w:val="44"/>
        </w:rPr>
      </w:pPr>
      <w:bookmarkStart w:id="8" w:name="_Toc3391745"/>
      <w:bookmarkStart w:id="9" w:name="_Toc3391974"/>
      <w:r>
        <w:rPr>
          <w:rFonts w:hint="eastAsia" w:ascii="黑体" w:eastAsia="黑体"/>
          <w:color w:val="000000" w:themeColor="text1"/>
          <w:sz w:val="44"/>
          <w:szCs w:val="44"/>
        </w:rPr>
        <w:t>地块勘界图</w:t>
      </w:r>
      <w:bookmarkEnd w:id="8"/>
      <w:bookmarkEnd w:id="9"/>
    </w:p>
    <w:p>
      <w:pPr>
        <w:pStyle w:val="12"/>
        <w:rPr>
          <w:rFonts w:ascii="宋体" w:eastAsia="宋体" w:cs="宋体"/>
          <w:color w:val="000000" w:themeColor="text1"/>
          <w:sz w:val="28"/>
          <w:szCs w:val="28"/>
        </w:rPr>
      </w:pPr>
      <w:r>
        <w:rPr>
          <w:rFonts w:hint="eastAsia" w:ascii="宋体" w:eastAsia="宋体" w:cs="宋体"/>
          <w:color w:val="000000" w:themeColor="text1"/>
          <w:sz w:val="28"/>
          <w:szCs w:val="28"/>
        </w:rPr>
        <w:drawing>
          <wp:inline distT="0" distB="0" distL="114300" distR="114300">
            <wp:extent cx="5273040" cy="3725545"/>
            <wp:effectExtent l="0" t="0" r="3810" b="8255"/>
            <wp:docPr id="6" name="图片 6" descr="A-04-02勘界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04-02勘界图_00"/>
                    <pic:cNvPicPr>
                      <a:picLocks noChangeAspect="1"/>
                    </pic:cNvPicPr>
                  </pic:nvPicPr>
                  <pic:blipFill>
                    <a:blip r:embed="rId28"/>
                    <a:stretch>
                      <a:fillRect/>
                    </a:stretch>
                  </pic:blipFill>
                  <pic:spPr>
                    <a:xfrm>
                      <a:off x="0" y="0"/>
                      <a:ext cx="5273040" cy="3725545"/>
                    </a:xfrm>
                    <a:prstGeom prst="rect">
                      <a:avLst/>
                    </a:prstGeom>
                  </pic:spPr>
                </pic:pic>
              </a:graphicData>
            </a:graphic>
          </wp:inline>
        </w:drawing>
      </w:r>
    </w:p>
    <w:p/>
    <w:p>
      <w:pPr>
        <w:pStyle w:val="12"/>
        <w:rPr>
          <w:rFonts w:ascii="宋体" w:eastAsia="宋体" w:cs="宋体"/>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spacing w:before="0" w:after="0" w:line="500" w:lineRule="exact"/>
        <w:rPr>
          <w:rFonts w:ascii="黑体" w:hAnsi="宋体" w:eastAsia="黑体"/>
          <w:color w:val="000000" w:themeColor="text1"/>
          <w:sz w:val="44"/>
          <w:szCs w:val="44"/>
        </w:rPr>
      </w:pPr>
      <w:bookmarkStart w:id="10" w:name="_Toc3391975"/>
      <w:bookmarkStart w:id="11" w:name="_Toc3391746"/>
      <w:r>
        <w:rPr>
          <w:rFonts w:hint="eastAsia" w:ascii="黑体" w:eastAsia="黑体"/>
          <w:color w:val="000000" w:themeColor="text1"/>
          <w:sz w:val="44"/>
          <w:szCs w:val="44"/>
        </w:rPr>
        <w:t>竞买申请书</w:t>
      </w:r>
      <w:bookmarkEnd w:id="10"/>
      <w:bookmarkEnd w:id="11"/>
    </w:p>
    <w:p>
      <w:pPr>
        <w:pStyle w:val="33"/>
        <w:spacing w:line="420" w:lineRule="exact"/>
        <w:rPr>
          <w:rFonts w:ascii="宋体"/>
          <w:color w:val="000000" w:themeColor="text1"/>
          <w:sz w:val="24"/>
          <w:szCs w:val="24"/>
        </w:rPr>
      </w:pPr>
    </w:p>
    <w:p>
      <w:pPr>
        <w:pStyle w:val="33"/>
        <w:spacing w:line="420" w:lineRule="exact"/>
        <w:ind w:left="0"/>
        <w:rPr>
          <w:rFonts w:ascii="宋体"/>
          <w:color w:val="000000" w:themeColor="text1"/>
          <w:sz w:val="24"/>
          <w:szCs w:val="24"/>
        </w:rPr>
      </w:pP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w:t>
      </w:r>
    </w:p>
    <w:p>
      <w:pPr>
        <w:pStyle w:val="33"/>
        <w:spacing w:line="420" w:lineRule="exact"/>
        <w:ind w:left="0" w:firstLine="480" w:firstLineChars="200"/>
        <w:jc w:val="left"/>
        <w:rPr>
          <w:rFonts w:ascii="宋体" w:hAnsi="宋体"/>
          <w:color w:val="000000" w:themeColor="text1"/>
          <w:sz w:val="28"/>
          <w:szCs w:val="28"/>
          <w:u w:val="single"/>
        </w:rPr>
      </w:pPr>
      <w:r>
        <w:rPr>
          <w:rFonts w:hint="eastAsia" w:ascii="宋体" w:hAnsi="宋体"/>
          <w:color w:val="000000" w:themeColor="text1"/>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33"/>
        <w:spacing w:line="420" w:lineRule="exact"/>
        <w:ind w:left="105" w:leftChars="50" w:firstLine="480" w:firstLineChars="200"/>
        <w:jc w:val="left"/>
        <w:rPr>
          <w:rFonts w:ascii="宋体" w:hAnsi="宋体"/>
          <w:color w:val="000000" w:themeColor="text1"/>
          <w:sz w:val="24"/>
          <w:szCs w:val="24"/>
        </w:rPr>
      </w:pPr>
      <w:r>
        <w:rPr>
          <w:rFonts w:hint="eastAsia" w:ascii="宋体" w:hAnsi="宋体"/>
          <w:color w:val="000000" w:themeColor="text1"/>
          <w:sz w:val="24"/>
          <w:szCs w:val="24"/>
        </w:rPr>
        <w:t>我方正式申请参加你中心于</w:t>
      </w:r>
      <w:r>
        <w:rPr>
          <w:rFonts w:ascii="宋体" w:hAnsi="宋体"/>
          <w:color w:val="000000" w:themeColor="text1"/>
          <w:sz w:val="24"/>
          <w:szCs w:val="24"/>
          <w:u w:val="single"/>
        </w:rPr>
        <w:t xml:space="preserve">202 </w:t>
      </w:r>
      <w:r>
        <w:rPr>
          <w:rFonts w:hint="eastAsia" w:ascii="宋体" w:hAnsi="宋体"/>
          <w:color w:val="000000" w:themeColor="text1"/>
          <w:sz w:val="24"/>
          <w:szCs w:val="24"/>
          <w:u w:val="single"/>
        </w:rPr>
        <w:t>年  月  日</w:t>
      </w:r>
      <w:r>
        <w:rPr>
          <w:rFonts w:hint="eastAsia"/>
          <w:color w:val="000000" w:themeColor="text1"/>
          <w:sz w:val="24"/>
          <w:szCs w:val="24"/>
        </w:rPr>
        <w:t>在</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举行的</w:t>
      </w:r>
      <w:r>
        <w:rPr>
          <w:rFonts w:hint="eastAsia" w:ascii="宋体" w:hAnsi="宋体"/>
          <w:b/>
          <w:color w:val="000000" w:themeColor="text1"/>
          <w:sz w:val="24"/>
          <w:szCs w:val="24"/>
          <w:u w:val="single"/>
        </w:rPr>
        <w:t>X</w:t>
      </w:r>
      <w:r>
        <w:rPr>
          <w:rFonts w:ascii="宋体" w:hAnsi="宋体"/>
          <w:b/>
          <w:color w:val="000000" w:themeColor="text1"/>
          <w:sz w:val="24"/>
          <w:szCs w:val="24"/>
          <w:u w:val="single"/>
        </w:rPr>
        <w:t>XX</w:t>
      </w:r>
      <w:r>
        <w:rPr>
          <w:rFonts w:hint="eastAsia" w:ascii="宋体" w:hAnsi="宋体"/>
          <w:color w:val="000000" w:themeColor="text1"/>
          <w:sz w:val="24"/>
          <w:szCs w:val="24"/>
        </w:rPr>
        <w:t>地块国有建设用地使用权拍卖活动，愿意按拍卖出让文件规定缴纳竞买保证金人民币万元（大写）（</w:t>
      </w:r>
      <w:r>
        <w:rPr>
          <w:rFonts w:hint="eastAsia" w:ascii="仿宋_GB2312" w:hAnsi="仿宋" w:eastAsia="仿宋_GB2312"/>
          <w:color w:val="000000" w:themeColor="text1"/>
          <w:w w:val="90"/>
          <w:sz w:val="24"/>
          <w:szCs w:val="24"/>
        </w:rPr>
        <w:t>￥</w:t>
      </w:r>
      <w:r>
        <w:rPr>
          <w:rFonts w:hint="eastAsia" w:ascii="宋体" w:hAnsi="宋体"/>
          <w:color w:val="000000" w:themeColor="text1"/>
          <w:sz w:val="24"/>
          <w:szCs w:val="24"/>
        </w:rPr>
        <w:t>万元）。</w:t>
      </w:r>
    </w:p>
    <w:p>
      <w:pPr>
        <w:pStyle w:val="33"/>
        <w:spacing w:line="420" w:lineRule="exact"/>
        <w:ind w:left="0" w:firstLine="480" w:firstLineChars="200"/>
        <w:jc w:val="left"/>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33"/>
        <w:spacing w:line="420" w:lineRule="exact"/>
        <w:ind w:left="0" w:firstLine="482" w:firstLineChars="200"/>
        <w:jc w:val="left"/>
        <w:rPr>
          <w:rFonts w:ascii="宋体"/>
          <w:b/>
          <w:color w:val="000000" w:themeColor="text1"/>
          <w:sz w:val="24"/>
          <w:szCs w:val="24"/>
          <w:u w:val="single"/>
        </w:rPr>
      </w:pPr>
      <w:r>
        <w:rPr>
          <w:rFonts w:hint="eastAsia" w:ascii="宋体" w:hAnsi="宋体"/>
          <w:b/>
          <w:color w:val="000000" w:themeColor="text1"/>
          <w:sz w:val="24"/>
          <w:szCs w:val="24"/>
        </w:rPr>
        <w:t>（一）竞得土地使用权后</w:t>
      </w:r>
      <w:r>
        <w:rPr>
          <w:rFonts w:ascii="宋体" w:hAnsi="宋体"/>
          <w:b/>
          <w:color w:val="000000" w:themeColor="text1"/>
          <w:sz w:val="24"/>
          <w:szCs w:val="24"/>
        </w:rPr>
        <w:t>3</w:t>
      </w:r>
      <w:r>
        <w:rPr>
          <w:rFonts w:hint="eastAsia" w:ascii="宋体" w:hAnsi="宋体"/>
          <w:b/>
          <w:color w:val="000000" w:themeColor="text1"/>
          <w:sz w:val="24"/>
          <w:szCs w:val="24"/>
        </w:rPr>
        <w:t>个月内在</w:t>
      </w:r>
      <w:r>
        <w:rPr>
          <w:rFonts w:hint="eastAsia" w:ascii="宋体" w:hAnsi="宋体"/>
          <w:b/>
          <w:color w:val="000000" w:themeColor="text1"/>
          <w:sz w:val="24"/>
          <w:szCs w:val="24"/>
          <w:u w:val="single"/>
        </w:rPr>
        <w:t>土地所在辖区</w:t>
      </w:r>
      <w:r>
        <w:rPr>
          <w:rFonts w:hint="eastAsia" w:ascii="宋体" w:hAnsi="宋体"/>
          <w:b/>
          <w:color w:val="000000" w:themeColor="text1"/>
          <w:sz w:val="24"/>
          <w:szCs w:val="24"/>
        </w:rPr>
        <w:t>注册成立一家公司对竞得土地进行开发建设，新公司出资构成为</w:t>
      </w:r>
      <w:r>
        <w:rPr>
          <w:rFonts w:ascii="宋体" w:hAnsi="宋体"/>
          <w:b/>
          <w:color w:val="000000" w:themeColor="text1"/>
          <w:sz w:val="24"/>
          <w:szCs w:val="24"/>
        </w:rPr>
        <w:t>(</w:t>
      </w:r>
      <w:r>
        <w:rPr>
          <w:rFonts w:hint="eastAsia" w:ascii="宋体" w:hAnsi="宋体"/>
          <w:b/>
          <w:color w:val="000000" w:themeColor="text1"/>
          <w:sz w:val="24"/>
          <w:szCs w:val="24"/>
        </w:rPr>
        <w:t>竞得后拟成立新公司的填写，竞得人在新公司的出资比例必须在</w:t>
      </w:r>
      <w:r>
        <w:rPr>
          <w:rFonts w:ascii="宋体" w:hAnsi="宋体"/>
          <w:b/>
          <w:color w:val="000000" w:themeColor="text1"/>
          <w:sz w:val="24"/>
          <w:szCs w:val="24"/>
        </w:rPr>
        <w:t>51%</w:t>
      </w:r>
      <w:r>
        <w:rPr>
          <w:rFonts w:hint="eastAsia" w:ascii="宋体" w:hAnsi="宋体"/>
          <w:b/>
          <w:color w:val="000000" w:themeColor="text1"/>
          <w:sz w:val="24"/>
          <w:szCs w:val="24"/>
        </w:rPr>
        <w:t>（含）以上。该条</w:t>
      </w:r>
      <w:r>
        <w:rPr>
          <w:rFonts w:hint="eastAsia" w:ascii="宋体" w:hAnsi="宋体"/>
          <w:b/>
          <w:color w:val="FF0000"/>
          <w:sz w:val="24"/>
          <w:szCs w:val="24"/>
        </w:rPr>
        <w:t>土地所在辖区外</w:t>
      </w:r>
      <w:r>
        <w:rPr>
          <w:rFonts w:hint="eastAsia" w:ascii="宋体" w:hAnsi="宋体"/>
          <w:b/>
          <w:color w:val="000000" w:themeColor="text1"/>
          <w:sz w:val="24"/>
          <w:szCs w:val="24"/>
        </w:rPr>
        <w:t>的竞买人必须承诺</w:t>
      </w:r>
      <w:r>
        <w:rPr>
          <w:rFonts w:ascii="宋体" w:hAnsi="宋体"/>
          <w:b/>
          <w:color w:val="000000" w:themeColor="text1"/>
          <w:sz w:val="24"/>
          <w:szCs w:val="24"/>
        </w:rPr>
        <w:t>)</w:t>
      </w:r>
      <w:r>
        <w:rPr>
          <w:rFonts w:hint="eastAsia" w:ascii="宋体" w:hAnsi="宋体"/>
          <w:b/>
          <w:color w:val="000000" w:themeColor="text1"/>
          <w:sz w:val="24"/>
          <w:szCs w:val="24"/>
        </w:rPr>
        <w:t>。</w:t>
      </w:r>
    </w:p>
    <w:p>
      <w:pPr>
        <w:pStyle w:val="33"/>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（二）保证按照拍卖出让文件的规定和要求履行全部义务，如有违约行为，我方愿意承担全部法律责任，并赔偿由此产生的损失。</w:t>
      </w:r>
    </w:p>
    <w:p>
      <w:pPr>
        <w:pStyle w:val="33"/>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33"/>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ascii="宋体" w:hAnsi="宋体"/>
          <w:color w:val="000000" w:themeColor="text1"/>
          <w:sz w:val="24"/>
          <w:szCs w:val="24"/>
        </w:rPr>
        <w:t>1.</w:t>
      </w:r>
      <w:r>
        <w:rPr>
          <w:rFonts w:hint="eastAsia" w:ascii="宋体" w:hAnsi="宋体"/>
          <w:color w:val="000000" w:themeColor="text1"/>
          <w:sz w:val="24"/>
          <w:szCs w:val="24"/>
        </w:rPr>
        <w:t>统一社会信用代码复印件；</w:t>
      </w:r>
      <w:r>
        <w:rPr>
          <w:rFonts w:ascii="宋体" w:hAnsi="宋体"/>
          <w:color w:val="000000" w:themeColor="text1"/>
          <w:sz w:val="24"/>
          <w:szCs w:val="24"/>
        </w:rPr>
        <w:t>2.</w:t>
      </w:r>
      <w:r>
        <w:rPr>
          <w:rFonts w:hint="eastAsia" w:ascii="宋体" w:hAnsi="宋体"/>
          <w:color w:val="000000" w:themeColor="text1"/>
          <w:sz w:val="24"/>
          <w:szCs w:val="24"/>
        </w:rPr>
        <w:t>组织机构代码证复印件</w:t>
      </w:r>
      <w:r>
        <w:rPr>
          <w:rFonts w:ascii="宋体" w:hAnsi="宋体"/>
          <w:color w:val="000000" w:themeColor="text1"/>
          <w:sz w:val="24"/>
          <w:szCs w:val="24"/>
        </w:rPr>
        <w:t>3.</w:t>
      </w:r>
      <w:r>
        <w:rPr>
          <w:rFonts w:hint="eastAsia" w:ascii="宋体" w:hAnsi="宋体"/>
          <w:color w:val="000000" w:themeColor="text1"/>
          <w:sz w:val="24"/>
          <w:szCs w:val="24"/>
        </w:rPr>
        <w:t>法定代表人身份证明；</w:t>
      </w:r>
      <w:r>
        <w:rPr>
          <w:rFonts w:ascii="宋体" w:hAnsi="宋体"/>
          <w:color w:val="000000" w:themeColor="text1"/>
          <w:sz w:val="24"/>
          <w:szCs w:val="24"/>
        </w:rPr>
        <w:t>4.</w:t>
      </w:r>
      <w:r>
        <w:rPr>
          <w:rFonts w:hint="eastAsia" w:ascii="宋体" w:hAnsi="宋体"/>
          <w:color w:val="000000" w:themeColor="text1"/>
          <w:sz w:val="24"/>
          <w:szCs w:val="24"/>
        </w:rPr>
        <w:t>法定代表人身份证复印件；</w:t>
      </w:r>
      <w:r>
        <w:rPr>
          <w:rFonts w:ascii="宋体" w:hAnsi="宋体"/>
          <w:color w:val="000000" w:themeColor="text1"/>
          <w:sz w:val="24"/>
          <w:szCs w:val="24"/>
        </w:rPr>
        <w:t>5.</w:t>
      </w:r>
      <w:r>
        <w:rPr>
          <w:rFonts w:hint="eastAsia" w:ascii="宋体" w:hAnsi="宋体"/>
          <w:color w:val="000000" w:themeColor="text1"/>
          <w:sz w:val="24"/>
          <w:szCs w:val="24"/>
        </w:rPr>
        <w:t>授权委托书；</w:t>
      </w:r>
      <w:r>
        <w:rPr>
          <w:rFonts w:ascii="宋体" w:hAnsi="宋体"/>
          <w:color w:val="000000" w:themeColor="text1"/>
          <w:sz w:val="24"/>
          <w:szCs w:val="24"/>
        </w:rPr>
        <w:t>6.</w:t>
      </w:r>
      <w:r>
        <w:rPr>
          <w:rFonts w:hint="eastAsia" w:ascii="宋体" w:hAnsi="宋体"/>
          <w:color w:val="000000" w:themeColor="text1"/>
          <w:sz w:val="24"/>
          <w:szCs w:val="24"/>
        </w:rPr>
        <w:t>受托人身份证复印件；</w:t>
      </w:r>
      <w:r>
        <w:rPr>
          <w:rFonts w:ascii="宋体" w:hAnsi="宋体"/>
          <w:color w:val="000000" w:themeColor="text1"/>
          <w:sz w:val="24"/>
          <w:szCs w:val="24"/>
        </w:rPr>
        <w:t>7.</w:t>
      </w:r>
      <w:r>
        <w:rPr>
          <w:rFonts w:hint="eastAsia" w:ascii="宋体" w:hAnsi="宋体"/>
          <w:color w:val="000000" w:themeColor="text1"/>
          <w:sz w:val="24"/>
          <w:szCs w:val="24"/>
        </w:rPr>
        <w:t>竞买保证金交纳凭证；</w:t>
      </w:r>
      <w:r>
        <w:rPr>
          <w:rFonts w:ascii="宋体" w:hAnsi="宋体"/>
          <w:color w:val="000000" w:themeColor="text1"/>
          <w:sz w:val="24"/>
          <w:szCs w:val="24"/>
        </w:rPr>
        <w:t>8.</w:t>
      </w:r>
      <w:r>
        <w:rPr>
          <w:rFonts w:hint="eastAsia" w:ascii="宋体" w:hAnsi="宋体"/>
          <w:color w:val="000000" w:themeColor="text1"/>
          <w:sz w:val="24"/>
          <w:szCs w:val="24"/>
        </w:rPr>
        <w:t>其它应提供的依据等。</w:t>
      </w:r>
    </w:p>
    <w:p>
      <w:pPr>
        <w:pStyle w:val="33"/>
        <w:spacing w:line="420" w:lineRule="exact"/>
        <w:ind w:firstLine="470" w:firstLineChars="196"/>
        <w:rPr>
          <w:rFonts w:ascii="宋体"/>
          <w:color w:val="000000" w:themeColor="text1"/>
          <w:sz w:val="24"/>
          <w:szCs w:val="24"/>
        </w:rPr>
      </w:pP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竞买申请人（盖章）：</w:t>
      </w: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法定代表人（本人签名）：</w:t>
      </w: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联系人：</w:t>
      </w: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地址：</w:t>
      </w: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电话：</w:t>
      </w: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申请日期：  年   月   日</w:t>
      </w:r>
    </w:p>
    <w:p>
      <w:pPr>
        <w:pStyle w:val="33"/>
        <w:spacing w:line="420" w:lineRule="exact"/>
        <w:ind w:left="0" w:firstLine="510"/>
        <w:rPr>
          <w:rFonts w:ascii="宋体"/>
          <w:color w:val="000000" w:themeColor="text1"/>
          <w:sz w:val="24"/>
          <w:szCs w:val="24"/>
        </w:rPr>
      </w:pPr>
    </w:p>
    <w:p>
      <w:pPr>
        <w:pStyle w:val="33"/>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12"/>
        <w:spacing w:before="0" w:after="0" w:line="600" w:lineRule="exact"/>
        <w:rPr>
          <w:rFonts w:ascii="黑体" w:eastAsia="黑体"/>
          <w:color w:val="000000" w:themeColor="text1"/>
          <w:sz w:val="44"/>
          <w:szCs w:val="44"/>
        </w:rPr>
      </w:pPr>
      <w:r>
        <w:rPr>
          <w:rFonts w:ascii="宋体" w:hAnsi="宋体" w:eastAsia="宋体"/>
          <w:color w:val="000000" w:themeColor="text1"/>
          <w:w w:val="90"/>
        </w:rPr>
        <w:br w:type="page"/>
      </w:r>
      <w:bookmarkStart w:id="12" w:name="_Toc3391747"/>
      <w:bookmarkStart w:id="13" w:name="_Toc3391976"/>
      <w:r>
        <w:rPr>
          <w:rFonts w:hint="eastAsia" w:ascii="黑体" w:eastAsia="黑体"/>
          <w:color w:val="000000" w:themeColor="text1"/>
          <w:sz w:val="44"/>
          <w:szCs w:val="44"/>
        </w:rPr>
        <w:t>保证金承诺书</w:t>
      </w:r>
      <w:bookmarkEnd w:id="12"/>
      <w:bookmarkEnd w:id="13"/>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我方承诺参加</w:t>
      </w:r>
      <w:r>
        <w:rPr>
          <w:rFonts w:ascii="仿宋_GB2312" w:hAnsi="仿宋_GB2312" w:eastAsia="仿宋_GB2312" w:cs="仿宋_GB2312"/>
          <w:color w:val="000000" w:themeColor="text1"/>
          <w:sz w:val="30"/>
          <w:szCs w:val="30"/>
          <w:u w:val="single"/>
        </w:rPr>
        <w:t>2021</w:t>
      </w:r>
      <w:r>
        <w:rPr>
          <w:rFonts w:hint="eastAsia" w:ascii="仿宋_GB2312" w:hAnsi="仿宋_GB2312" w:eastAsia="仿宋_GB2312" w:cs="仿宋_GB2312"/>
          <w:color w:val="000000" w:themeColor="text1"/>
          <w:sz w:val="30"/>
          <w:szCs w:val="30"/>
          <w:u w:val="single"/>
        </w:rPr>
        <w:t>年  月  日</w:t>
      </w:r>
      <w:r>
        <w:rPr>
          <w:rFonts w:hint="eastAsia" w:ascii="仿宋_GB2312" w:hAnsi="仿宋_GB2312" w:eastAsia="仿宋_GB2312" w:cs="仿宋_GB2312"/>
          <w:color w:val="000000" w:themeColor="text1"/>
          <w:sz w:val="30"/>
          <w:szCs w:val="30"/>
        </w:rPr>
        <w:t>拍卖出让的地块竞买，我方所交保证金不属于银行贷款、股东借款、转贷和募集资金。</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特此承诺。</w:t>
      </w: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承诺人（法定代表人）签字：</w:t>
      </w:r>
    </w:p>
    <w:p>
      <w:pPr>
        <w:ind w:firstLine="750" w:firstLineChars="250"/>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p>
    <w:p>
      <w:pPr>
        <w:ind w:right="900" w:firstLine="750" w:firstLineChars="25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12"/>
        <w:rPr>
          <w:rFonts w:ascii="黑体" w:eastAsia="黑体"/>
          <w:color w:val="000000" w:themeColor="text1"/>
          <w:sz w:val="44"/>
          <w:szCs w:val="44"/>
        </w:rPr>
      </w:pPr>
      <w:r>
        <w:rPr>
          <w:rFonts w:ascii="仿宋_GB2312" w:hAnsi="仿宋_GB2312" w:eastAsia="仿宋_GB2312" w:cs="仿宋_GB2312"/>
          <w:color w:val="000000" w:themeColor="text1"/>
          <w:sz w:val="30"/>
          <w:szCs w:val="30"/>
        </w:rPr>
        <w:br w:type="page"/>
      </w:r>
      <w:bookmarkStart w:id="14" w:name="_Toc3391748"/>
      <w:bookmarkStart w:id="15" w:name="_Toc3391977"/>
      <w:r>
        <w:rPr>
          <w:rFonts w:hint="eastAsia" w:ascii="黑体" w:eastAsia="黑体"/>
          <w:color w:val="000000" w:themeColor="text1"/>
          <w:sz w:val="44"/>
          <w:szCs w:val="44"/>
        </w:rPr>
        <w:t>法定代表人身份证明书</w:t>
      </w:r>
      <w:bookmarkEnd w:id="14"/>
      <w:bookmarkEnd w:id="15"/>
    </w:p>
    <w:p>
      <w:pPr>
        <w:pStyle w:val="33"/>
        <w:spacing w:line="627" w:lineRule="atLeast"/>
        <w:ind w:left="0"/>
        <w:jc w:val="left"/>
        <w:rPr>
          <w:rFonts w:ascii="黑体" w:eastAsia="黑体"/>
          <w:color w:val="000000" w:themeColor="text1"/>
          <w:sz w:val="36"/>
          <w:szCs w:val="36"/>
        </w:rPr>
      </w:pPr>
    </w:p>
    <w:p>
      <w:pPr>
        <w:pStyle w:val="33"/>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pStyle w:val="33"/>
        <w:spacing w:line="627" w:lineRule="atLeast"/>
        <w:ind w:left="0" w:firstLine="750" w:firstLineChars="25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××同志在我单位任职务，系我单位法定代表人，特此证明。</w:t>
      </w:r>
    </w:p>
    <w:p>
      <w:pPr>
        <w:pStyle w:val="33"/>
        <w:spacing w:line="627" w:lineRule="atLeast"/>
        <w:ind w:firstLine="900" w:firstLineChars="300"/>
        <w:jc w:val="left"/>
        <w:rPr>
          <w:rFonts w:ascii="仿宋_GB2312" w:hAnsi="仿宋_GB2312" w:eastAsia="仿宋_GB2312" w:cs="仿宋_GB2312"/>
          <w:color w:val="000000" w:themeColor="text1"/>
          <w:sz w:val="30"/>
          <w:szCs w:val="30"/>
        </w:rPr>
      </w:pPr>
    </w:p>
    <w:p>
      <w:pPr>
        <w:pStyle w:val="33"/>
        <w:spacing w:line="627" w:lineRule="atLeast"/>
        <w:ind w:right="900"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33"/>
        <w:spacing w:line="586" w:lineRule="atLeast"/>
        <w:jc w:val="center"/>
        <w:rPr>
          <w:rFonts w:ascii="宋体"/>
          <w:color w:val="000000" w:themeColor="text1"/>
          <w:sz w:val="28"/>
          <w:szCs w:val="28"/>
        </w:rPr>
      </w:pPr>
    </w:p>
    <w:p>
      <w:pPr>
        <w:pStyle w:val="33"/>
        <w:spacing w:line="586" w:lineRule="atLeast"/>
        <w:jc w:val="center"/>
        <w:rPr>
          <w:rFonts w:ascii="宋体"/>
          <w:color w:val="000000" w:themeColor="text1"/>
          <w:sz w:val="28"/>
          <w:szCs w:val="28"/>
        </w:rPr>
      </w:pPr>
    </w:p>
    <w:p>
      <w:pPr>
        <w:pStyle w:val="33"/>
        <w:spacing w:line="586" w:lineRule="atLeast"/>
        <w:jc w:val="center"/>
        <w:rPr>
          <w:rFonts w:ascii="宋体"/>
          <w:color w:val="000000" w:themeColor="text1"/>
          <w:sz w:val="28"/>
          <w:szCs w:val="28"/>
        </w:rPr>
      </w:pPr>
    </w:p>
    <w:p>
      <w:pPr>
        <w:pStyle w:val="33"/>
        <w:spacing w:line="586" w:lineRule="atLeast"/>
        <w:jc w:val="center"/>
        <w:rPr>
          <w:rFonts w:ascii="宋体"/>
          <w:color w:val="000000" w:themeColor="text1"/>
          <w:sz w:val="28"/>
          <w:szCs w:val="28"/>
        </w:rPr>
      </w:pPr>
    </w:p>
    <w:p>
      <w:pPr>
        <w:pStyle w:val="33"/>
        <w:spacing w:line="586" w:lineRule="atLeast"/>
        <w:jc w:val="center"/>
        <w:rPr>
          <w:rFonts w:ascii="宋体"/>
          <w:color w:val="000000" w:themeColor="text1"/>
          <w:sz w:val="28"/>
          <w:szCs w:val="28"/>
        </w:rPr>
      </w:pPr>
    </w:p>
    <w:p>
      <w:pPr>
        <w:pStyle w:val="33"/>
        <w:spacing w:line="586" w:lineRule="atLeast"/>
        <w:rPr>
          <w:rFonts w:ascii="宋体"/>
          <w:color w:val="000000" w:themeColor="text1"/>
          <w:sz w:val="28"/>
          <w:szCs w:val="28"/>
        </w:rPr>
      </w:pPr>
    </w:p>
    <w:p>
      <w:pPr>
        <w:pStyle w:val="33"/>
        <w:spacing w:line="586" w:lineRule="atLeast"/>
        <w:jc w:val="center"/>
        <w:rPr>
          <w:rFonts w:ascii="宋体"/>
          <w:color w:val="000000" w:themeColor="text1"/>
          <w:sz w:val="28"/>
          <w:szCs w:val="28"/>
        </w:rPr>
      </w:pPr>
    </w:p>
    <w:p>
      <w:pPr>
        <w:pStyle w:val="33"/>
        <w:spacing w:line="586" w:lineRule="atLeast"/>
        <w:jc w:val="left"/>
        <w:rPr>
          <w:rFonts w:ascii="宋体"/>
          <w:color w:val="000000" w:themeColor="text1"/>
          <w:sz w:val="28"/>
          <w:szCs w:val="28"/>
        </w:rPr>
      </w:pPr>
    </w:p>
    <w:p>
      <w:pPr>
        <w:pStyle w:val="33"/>
        <w:spacing w:line="586" w:lineRule="atLeast"/>
        <w:jc w:val="left"/>
        <w:rPr>
          <w:rFonts w:ascii="宋体"/>
          <w:color w:val="000000" w:themeColor="text1"/>
          <w:sz w:val="28"/>
          <w:szCs w:val="28"/>
        </w:rPr>
      </w:pPr>
      <w:r>
        <w:rPr>
          <w:rFonts w:hint="eastAsia" w:ascii="宋体" w:hAnsi="宋体"/>
          <w:color w:val="000000" w:themeColor="text1"/>
          <w:sz w:val="28"/>
          <w:szCs w:val="28"/>
        </w:rPr>
        <w:t>附注：</w:t>
      </w:r>
    </w:p>
    <w:p>
      <w:pPr>
        <w:pStyle w:val="33"/>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33"/>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p>
    <w:p>
      <w:pPr>
        <w:pStyle w:val="33"/>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p>
    <w:p>
      <w:pPr>
        <w:pStyle w:val="33"/>
        <w:spacing w:line="586" w:lineRule="atLeast"/>
        <w:ind w:left="0" w:firstLine="560" w:firstLineChars="200"/>
        <w:jc w:val="left"/>
        <w:rPr>
          <w:rFonts w:ascii="宋体"/>
          <w:color w:val="000000" w:themeColor="text1"/>
          <w:sz w:val="28"/>
          <w:szCs w:val="28"/>
        </w:rPr>
      </w:pPr>
      <w:r>
        <w:rPr>
          <w:rFonts w:hint="eastAsia" w:ascii="宋体" w:hAnsi="宋体"/>
          <w:color w:val="000000" w:themeColor="text1"/>
          <w:sz w:val="28"/>
          <w:szCs w:val="28"/>
        </w:rPr>
        <w:t>④法定代表人联系电话：。</w:t>
      </w:r>
    </w:p>
    <w:p>
      <w:pPr>
        <w:pStyle w:val="12"/>
        <w:rPr>
          <w:rFonts w:ascii="黑体" w:eastAsia="黑体"/>
          <w:color w:val="000000" w:themeColor="text1"/>
          <w:sz w:val="44"/>
          <w:szCs w:val="44"/>
        </w:rPr>
      </w:pPr>
      <w:r>
        <w:rPr>
          <w:rFonts w:ascii="Dotum" w:eastAsia="Dotum" w:cs="Dotum"/>
          <w:color w:val="000000" w:themeColor="text1"/>
          <w:sz w:val="44"/>
          <w:szCs w:val="44"/>
        </w:rPr>
        <w:br w:type="page"/>
      </w:r>
      <w:bookmarkStart w:id="16" w:name="_Toc3391978"/>
      <w:bookmarkStart w:id="17" w:name="_Toc3391749"/>
      <w:r>
        <w:rPr>
          <w:rFonts w:hint="eastAsia" w:ascii="黑体" w:eastAsia="黑体"/>
          <w:color w:val="000000" w:themeColor="text1"/>
          <w:sz w:val="44"/>
          <w:szCs w:val="44"/>
        </w:rPr>
        <w:t>授权委托书</w:t>
      </w:r>
      <w:bookmarkEnd w:id="16"/>
      <w:bookmarkEnd w:id="17"/>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本人授权（受托人）代表本人参加  年  月   日在</w:t>
            </w:r>
            <w:r>
              <w:rPr>
                <w:rFonts w:ascii="仿宋_GB2312" w:eastAsia="仿宋_GB2312"/>
                <w:color w:val="000000" w:themeColor="text1"/>
                <w:kern w:val="0"/>
                <w:sz w:val="24"/>
              </w:rPr>
              <w:t>马踏洞新区龙马大道与鱼泉路交叉口处新政务服务大楼</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color w:val="000000" w:themeColor="text1"/>
                <w:kern w:val="0"/>
                <w:sz w:val="24"/>
              </w:rPr>
              <w:t>举行的</w:t>
            </w:r>
            <w:r>
              <w:rPr>
                <w:rFonts w:hint="eastAsia" w:ascii="宋体" w:hAnsi="宋体"/>
                <w:b/>
                <w:color w:val="000000" w:themeColor="text1"/>
                <w:sz w:val="24"/>
                <w:u w:val="single"/>
              </w:rPr>
              <w:t>X</w:t>
            </w:r>
            <w:r>
              <w:rPr>
                <w:rFonts w:ascii="宋体" w:hAnsi="宋体"/>
                <w:b/>
                <w:color w:val="000000" w:themeColor="text1"/>
                <w:sz w:val="24"/>
                <w:u w:val="single"/>
              </w:rPr>
              <w:t>XX</w:t>
            </w:r>
            <w:r>
              <w:rPr>
                <w:rFonts w:hint="eastAsia" w:ascii="仿宋_GB2312"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委托人（签名）：</w:t>
            </w:r>
          </w:p>
          <w:p>
            <w:pPr>
              <w:widowControl/>
              <w:spacing w:line="500" w:lineRule="exact"/>
              <w:ind w:firstLine="3360" w:firstLineChars="1400"/>
              <w:jc w:val="left"/>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bl>
    <w:p>
      <w:pPr>
        <w:pStyle w:val="33"/>
        <w:spacing w:line="760" w:lineRule="exact"/>
        <w:ind w:left="0"/>
        <w:jc w:val="center"/>
        <w:rPr>
          <w:rFonts w:ascii="方正小标宋简体" w:hAnsi="宋体" w:eastAsia="方正小标宋简体"/>
          <w:color w:val="000000" w:themeColor="text1"/>
          <w:spacing w:val="-5"/>
          <w:kern w:val="2"/>
          <w:sz w:val="44"/>
          <w:szCs w:val="44"/>
        </w:rPr>
      </w:pPr>
    </w:p>
    <w:p>
      <w:pPr>
        <w:jc w:val="center"/>
        <w:rPr>
          <w:rFonts w:ascii="黑体" w:hAnsi="Cambria" w:eastAsia="黑体"/>
          <w:b/>
          <w:bCs/>
          <w:color w:val="000000" w:themeColor="text1"/>
          <w:sz w:val="44"/>
          <w:szCs w:val="44"/>
        </w:rPr>
      </w:pPr>
      <w:r>
        <w:rPr>
          <w:rFonts w:ascii="方正小标宋简体" w:hAnsi="宋体" w:eastAsia="方正小标宋简体"/>
          <w:color w:val="000000" w:themeColor="text1"/>
          <w:spacing w:val="-5"/>
          <w:sz w:val="44"/>
          <w:szCs w:val="44"/>
        </w:rPr>
        <w:br w:type="page"/>
      </w:r>
      <w:r>
        <w:rPr>
          <w:rFonts w:hint="eastAsia" w:ascii="黑体" w:hAnsi="Cambria" w:eastAsia="黑体"/>
          <w:b/>
          <w:bCs/>
          <w:color w:val="000000" w:themeColor="text1"/>
          <w:sz w:val="44"/>
          <w:szCs w:val="44"/>
        </w:rPr>
        <w:t>国有建设用地使用权出让成交确认书</w:t>
      </w:r>
    </w:p>
    <w:p>
      <w:pPr>
        <w:spacing w:line="560" w:lineRule="exact"/>
        <w:jc w:val="center"/>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受</w:t>
      </w:r>
      <w:r>
        <w:rPr>
          <w:rFonts w:hint="eastAsia" w:ascii="仿宋_GB2312" w:hAnsi="宋体" w:eastAsia="仿宋_GB2312"/>
          <w:color w:val="000000" w:themeColor="text1"/>
          <w:sz w:val="30"/>
          <w:szCs w:val="30"/>
          <w:u w:val="single"/>
        </w:rPr>
        <w:t xml:space="preserve">（出让人） </w:t>
      </w:r>
      <w:r>
        <w:rPr>
          <w:rFonts w:hint="eastAsia" w:ascii="仿宋_GB2312" w:hAnsi="宋体" w:eastAsia="仿宋_GB2312"/>
          <w:color w:val="000000" w:themeColor="text1"/>
          <w:sz w:val="30"/>
          <w:szCs w:val="30"/>
        </w:rPr>
        <w:t>委托， 年  月  日，</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color w:val="000000" w:themeColor="text1"/>
          <w:sz w:val="30"/>
          <w:szCs w:val="30"/>
        </w:rPr>
        <w:t>对</w:t>
      </w:r>
      <w:r>
        <w:rPr>
          <w:rFonts w:ascii="仿宋_GB2312" w:hAnsi="宋体" w:eastAsia="仿宋_GB2312"/>
          <w:b/>
          <w:color w:val="000000" w:themeColor="text1"/>
          <w:sz w:val="30"/>
          <w:szCs w:val="30"/>
          <w:u w:val="single"/>
        </w:rPr>
        <w:t>XXX</w:t>
      </w:r>
      <w:r>
        <w:rPr>
          <w:rFonts w:hint="eastAsia" w:ascii="仿宋_GB2312" w:hAnsi="宋体" w:eastAsia="仿宋_GB2312"/>
          <w:color w:val="000000" w:themeColor="text1"/>
          <w:sz w:val="30"/>
          <w:szCs w:val="30"/>
          <w:u w:val="single"/>
        </w:rPr>
        <w:t>号</w:t>
      </w:r>
      <w:r>
        <w:rPr>
          <w:rFonts w:hint="eastAsia" w:ascii="仿宋_GB2312" w:hAnsi="宋体" w:eastAsia="仿宋_GB2312"/>
          <w:color w:val="000000" w:themeColor="text1"/>
          <w:sz w:val="30"/>
          <w:szCs w:val="30"/>
        </w:rPr>
        <w:t xml:space="preserve">国有建设用地使用权进行了公开 </w:t>
      </w:r>
      <w:r>
        <w:rPr>
          <w:rFonts w:hint="eastAsia" w:ascii="仿宋_GB2312" w:hAnsi="宋体" w:eastAsia="仿宋_GB2312"/>
          <w:color w:val="000000" w:themeColor="text1"/>
          <w:sz w:val="30"/>
          <w:szCs w:val="30"/>
          <w:u w:val="single"/>
        </w:rPr>
        <w:t xml:space="preserve"> （招标、拍卖、挂牌）</w:t>
      </w:r>
      <w:r>
        <w:rPr>
          <w:rFonts w:hint="eastAsia" w:ascii="仿宋_GB2312" w:hAnsi="宋体" w:eastAsia="仿宋_GB2312"/>
          <w:color w:val="000000" w:themeColor="text1"/>
          <w:sz w:val="30"/>
          <w:szCs w:val="30"/>
        </w:rPr>
        <w:t>出让，由</w:t>
      </w:r>
      <w:r>
        <w:rPr>
          <w:rFonts w:hint="eastAsia" w:ascii="仿宋_GB2312" w:hAnsi="宋体" w:eastAsia="仿宋_GB2312"/>
          <w:color w:val="000000" w:themeColor="text1"/>
          <w:sz w:val="30"/>
          <w:szCs w:val="30"/>
          <w:u w:val="single"/>
        </w:rPr>
        <w:t xml:space="preserve">   （竞得人）   </w:t>
      </w:r>
      <w:r>
        <w:rPr>
          <w:rFonts w:hint="eastAsia" w:ascii="仿宋_GB2312" w:hAnsi="宋体" w:eastAsia="仿宋_GB2312"/>
          <w:color w:val="000000" w:themeColor="text1"/>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二、竞得人缴纳的竞买保证金自成交之日起自动转作受让地块的定金。</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四、竞得人应在本《成交确认书》签订后10个工作日内，持本《成交确认书》与</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rPr>
        <w:t>（出让人）</w:t>
      </w:r>
      <w:r>
        <w:rPr>
          <w:rFonts w:hint="eastAsia" w:ascii="仿宋_GB2312" w:hAnsi="宋体" w:eastAsia="仿宋_GB2312"/>
          <w:color w:val="000000" w:themeColor="text1"/>
          <w:sz w:val="30"/>
          <w:szCs w:val="30"/>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五、本《成交确认书》一式陆份，拍卖人、出让人、竞得人各执 2 份。</w:t>
      </w:r>
    </w:p>
    <w:p>
      <w:pPr>
        <w:spacing w:line="560" w:lineRule="exact"/>
        <w:rPr>
          <w:rFonts w:ascii="仿宋_GB2312" w:hAnsi="宋体" w:eastAsia="仿宋_GB2312"/>
          <w:color w:val="000000" w:themeColor="text1"/>
          <w:sz w:val="30"/>
          <w:szCs w:val="30"/>
        </w:rPr>
      </w:pPr>
      <w:r>
        <w:rPr>
          <w:rFonts w:hint="eastAsia" w:ascii="仿宋_GB2312" w:hAnsi="宋体" w:eastAsia="仿宋_GB2312"/>
          <w:b/>
          <w:color w:val="000000" w:themeColor="text1"/>
          <w:sz w:val="30"/>
          <w:szCs w:val="30"/>
        </w:rPr>
        <w:t>出让人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color w:val="000000" w:themeColor="text1"/>
          <w:sz w:val="30"/>
          <w:szCs w:val="30"/>
          <w:u w:val="single"/>
        </w:rPr>
      </w:pPr>
      <w:r>
        <w:rPr>
          <w:rFonts w:hint="eastAsia" w:ascii="仿宋_GB2312" w:hAnsi="宋体" w:eastAsia="仿宋_GB2312"/>
          <w:b/>
          <w:color w:val="000000" w:themeColor="text1"/>
          <w:sz w:val="30"/>
          <w:szCs w:val="30"/>
        </w:rPr>
        <w:t>竞得人：</w:t>
      </w:r>
      <w:r>
        <w:rPr>
          <w:rFonts w:hint="eastAsia" w:ascii="仿宋_GB2312" w:hAnsi="宋体" w:eastAsia="仿宋_GB2312"/>
          <w:color w:val="000000" w:themeColor="text1"/>
          <w:sz w:val="30"/>
          <w:szCs w:val="30"/>
        </w:rPr>
        <w:t>联系电话：</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拍卖人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 xml:space="preserve">公证员：                    </w:t>
      </w:r>
      <w:r>
        <w:rPr>
          <w:rFonts w:hint="eastAsia" w:ascii="仿宋_GB2312" w:hAnsi="宋体" w:eastAsia="仿宋_GB2312"/>
          <w:color w:val="000000" w:themeColor="text1"/>
          <w:sz w:val="30"/>
          <w:szCs w:val="30"/>
        </w:rPr>
        <w:t>签定时间：年   月   日</w:t>
      </w:r>
    </w:p>
    <w:p>
      <w:pPr>
        <w:pStyle w:val="33"/>
        <w:spacing w:line="560" w:lineRule="exact"/>
        <w:ind w:left="0"/>
        <w:jc w:val="left"/>
        <w:rPr>
          <w:rFonts w:ascii="仿宋_GB2312" w:hAnsi="仿宋" w:eastAsia="仿宋_GB2312"/>
          <w:color w:val="000000" w:themeColor="text1"/>
          <w:sz w:val="32"/>
          <w:szCs w:val="32"/>
        </w:rPr>
        <w:sectPr>
          <w:pgSz w:w="11906" w:h="16838"/>
          <w:pgMar w:top="1418" w:right="1418" w:bottom="1418" w:left="1701" w:header="851" w:footer="992" w:gutter="0"/>
          <w:cols w:space="425" w:num="1"/>
          <w:docGrid w:type="lines" w:linePitch="312" w:charSpace="0"/>
        </w:sectPr>
      </w:pPr>
    </w:p>
    <w:p>
      <w:pPr>
        <w:pStyle w:val="33"/>
        <w:spacing w:line="600" w:lineRule="exact"/>
        <w:ind w:left="0"/>
        <w:rPr>
          <w:color w:val="000000" w:themeColor="text1"/>
        </w:rPr>
      </w:pPr>
    </w:p>
    <w:p>
      <w:pPr>
        <w:pStyle w:val="33"/>
        <w:spacing w:line="600" w:lineRule="exact"/>
        <w:rPr>
          <w:rFonts w:ascii="宋体"/>
          <w:color w:val="000000" w:themeColor="text1"/>
          <w:w w:val="90"/>
          <w:sz w:val="32"/>
          <w:szCs w:val="32"/>
        </w:rPr>
      </w:pPr>
      <w:r>
        <w:rPr>
          <w:color w:val="000000" w:themeColor="text1"/>
        </w:rPr>
        <w:pict>
          <v:shape id="AutoShape 6" o:spid="_x0000_s1029" o:spt="100" style="position:absolute;left:0pt;margin-left:0pt;margin-top:0pt;height:50pt;width:50pt;visibility:hidden;z-index:251660288;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adj="," path="m10800,10800l0,0,0,0,10800,10800,10800,10800,0,0,0,0,0,0,0,0,0,0,0,0xe">
            <v:path textboxrect="0,0,20000,20000" o:connecttype="segments"/>
            <v:fill focussize="0,0"/>
            <v:stroke joinstyle="round"/>
            <v:imagedata o:title=""/>
            <o:lock v:ext="edit" selection="t"/>
            <v:textbox>
              <w:txbxContent>
                <w:p/>
              </w:txbxContent>
            </v:textbox>
          </v:shape>
        </w:pict>
      </w:r>
      <w:r>
        <w:rPr>
          <w:rFonts w:ascii="黑体" w:hAnsi="宋体" w:eastAsia="黑体" w:cs="黑体"/>
          <w:color w:val="000000" w:themeColor="text1"/>
          <w:sz w:val="36"/>
          <w:szCs w:val="36"/>
        </w:rPr>
        <w:drawing>
          <wp:inline distT="0" distB="0" distL="0" distR="0">
            <wp:extent cx="1590675" cy="381000"/>
            <wp:effectExtent l="0" t="0" r="0" b="0"/>
            <wp:docPr id="10"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4"/>
        <w:wordWrap w:val="0"/>
        <w:jc w:val="right"/>
        <w:rPr>
          <w:rFonts w:hAnsi="宋体"/>
          <w:color w:val="000000" w:themeColor="text1"/>
        </w:rPr>
      </w:pPr>
      <w:r>
        <w:rPr>
          <w:rFonts w:hint="eastAsia" w:hAnsi="宋体"/>
          <w:color w:val="000000" w:themeColor="text1"/>
        </w:rPr>
        <w:t>电子监管号：</w:t>
      </w:r>
    </w:p>
    <w:p>
      <w:pPr>
        <w:pStyle w:val="4"/>
        <w:rPr>
          <w:color w:val="000000" w:themeColor="text1"/>
        </w:rPr>
      </w:pPr>
    </w:p>
    <w:p>
      <w:pPr>
        <w:pStyle w:val="4"/>
        <w:rPr>
          <w:rFonts w:ascii="黑体" w:hAnsi="黑体" w:eastAsia="黑体"/>
          <w:color w:val="000000" w:themeColor="text1"/>
        </w:rPr>
      </w:pPr>
      <w:r>
        <w:rPr>
          <w:rFonts w:hint="eastAsia" w:ascii="黑体" w:hAnsi="黑体" w:eastAsia="黑体"/>
          <w:color w:val="000000" w:themeColor="text1"/>
        </w:rPr>
        <w:t>（样本）</w:t>
      </w:r>
    </w:p>
    <w:p>
      <w:pPr>
        <w:pStyle w:val="4"/>
        <w:rPr>
          <w:rStyle w:val="27"/>
          <w:rFonts w:hAnsi="宋体" w:cs="宋体"/>
          <w:color w:val="000000" w:themeColor="text1"/>
        </w:rPr>
      </w:pPr>
    </w:p>
    <w:p>
      <w:pPr>
        <w:pStyle w:val="4"/>
        <w:rPr>
          <w:rStyle w:val="27"/>
          <w:rFonts w:hAnsi="宋体" w:cs="宋体"/>
          <w:color w:val="000000" w:themeColor="text1"/>
        </w:rPr>
      </w:pPr>
    </w:p>
    <w:p>
      <w:pPr>
        <w:pStyle w:val="2"/>
        <w:jc w:val="center"/>
        <w:rPr>
          <w:rFonts w:ascii="宋体" w:hAnsi="宋体" w:eastAsia="宋体"/>
          <w:color w:val="000000" w:themeColor="text1"/>
          <w:sz w:val="18"/>
          <w:szCs w:val="18"/>
        </w:rPr>
      </w:pPr>
      <w:bookmarkStart w:id="18" w:name="_Toc3391980"/>
      <w:bookmarkStart w:id="19" w:name="_Toc3391751"/>
      <w:r>
        <w:rPr>
          <w:rFonts w:hint="eastAsia" w:ascii="宋体" w:hAnsi="宋体" w:eastAsia="宋体"/>
          <w:color w:val="000000" w:themeColor="text1"/>
        </w:rPr>
        <w:t>国有建设用地使用权出让合同</w:t>
      </w:r>
      <w:bookmarkEnd w:id="18"/>
      <w:bookmarkEnd w:id="19"/>
    </w:p>
    <w:p>
      <w:pPr>
        <w:pStyle w:val="4"/>
        <w:rPr>
          <w:rFonts w:hAnsi="宋体"/>
          <w:b/>
          <w:bCs/>
          <w:color w:val="000000" w:themeColor="text1"/>
          <w:sz w:val="18"/>
          <w:szCs w:val="1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spacing w:line="500" w:lineRule="exact"/>
        <w:jc w:val="left"/>
        <w:rPr>
          <w:rFonts w:hAnsi="宋体"/>
          <w:bCs/>
          <w:color w:val="000000" w:themeColor="text1"/>
        </w:rPr>
      </w:pPr>
      <w:r>
        <w:rPr>
          <w:color w:val="000000" w:themeColor="text1"/>
        </w:rPr>
        <w:pict>
          <v:rect id="Rectangle 7" o:spid="_x0000_s1028" o:spt="1" style="position:absolute;left:0pt;margin-left:319.5pt;margin-top:11.85pt;height:35.1pt;width:48.75pt;z-index:251661312;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color w:val="000000" w:themeColor="text1"/>
        </w:rPr>
        <w:pict>
          <v:rect id="Rectangle 8" o:spid="_x0000_s1027" o:spt="1" style="position:absolute;left:0pt;margin-left:36pt;margin-top:0pt;height:62.4pt;width:288pt;z-index:251661312;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4"/>
        <w:spacing w:line="500" w:lineRule="exact"/>
        <w:jc w:val="left"/>
        <w:rPr>
          <w:rFonts w:hAnsi="宋体"/>
          <w:b/>
          <w:bCs/>
          <w:color w:val="000000" w:themeColor="text1"/>
          <w:sz w:val="36"/>
          <w:szCs w:val="36"/>
        </w:rPr>
      </w:pPr>
    </w:p>
    <w:p>
      <w:pPr>
        <w:pStyle w:val="4"/>
        <w:spacing w:line="578" w:lineRule="exact"/>
        <w:ind w:right="640"/>
        <w:jc w:val="right"/>
        <w:rPr>
          <w:rFonts w:hAnsi="宋体"/>
          <w:color w:val="000000" w:themeColor="text1"/>
          <w:sz w:val="28"/>
          <w:szCs w:val="28"/>
        </w:rPr>
      </w:pPr>
    </w:p>
    <w:p>
      <w:pPr>
        <w:pStyle w:val="4"/>
        <w:spacing w:line="578" w:lineRule="exact"/>
        <w:ind w:right="640"/>
        <w:jc w:val="right"/>
        <w:rPr>
          <w:rFonts w:hAnsi="宋体"/>
          <w:color w:val="000000" w:themeColor="text1"/>
          <w:sz w:val="28"/>
          <w:szCs w:val="28"/>
          <w:u w:val="single"/>
        </w:rPr>
      </w:pPr>
      <w:r>
        <w:rPr>
          <w:rFonts w:hint="eastAsia" w:hAnsi="宋体"/>
          <w:color w:val="000000" w:themeColor="text1"/>
          <w:sz w:val="28"/>
          <w:szCs w:val="28"/>
        </w:rPr>
        <w:t>合同编号：</w:t>
      </w:r>
    </w:p>
    <w:p>
      <w:pPr>
        <w:pStyle w:val="4"/>
        <w:spacing w:line="578" w:lineRule="exact"/>
        <w:jc w:val="center"/>
        <w:rPr>
          <w:rFonts w:ascii="方正小标宋简体" w:hAnsi="宋体" w:eastAsia="方正小标宋简体" w:cs="黑体"/>
          <w:color w:val="000000" w:themeColor="text1"/>
          <w:sz w:val="44"/>
          <w:szCs w:val="44"/>
        </w:rPr>
      </w:pPr>
    </w:p>
    <w:p>
      <w:pPr>
        <w:pStyle w:val="4"/>
        <w:spacing w:line="578"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s="黑体"/>
          <w:color w:val="000000" w:themeColor="text1"/>
          <w:sz w:val="44"/>
          <w:szCs w:val="44"/>
        </w:rPr>
        <w:t>国有建设用地使用权出让合同</w:t>
      </w:r>
    </w:p>
    <w:p>
      <w:pPr>
        <w:pStyle w:val="4"/>
        <w:spacing w:line="578" w:lineRule="exact"/>
        <w:jc w:val="center"/>
        <w:rPr>
          <w:rFonts w:hAnsi="宋体"/>
          <w:color w:val="000000" w:themeColor="text1"/>
          <w:sz w:val="28"/>
          <w:szCs w:val="28"/>
        </w:rPr>
      </w:pP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出让人：；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受让人：；</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第一章总则</w:t>
      </w:r>
    </w:p>
    <w:p>
      <w:pPr>
        <w:pStyle w:val="4"/>
        <w:spacing w:line="578" w:lineRule="exact"/>
        <w:jc w:val="center"/>
        <w:rPr>
          <w:rFonts w:hAnsi="宋体" w:cs="仿宋_GB2312"/>
          <w:color w:val="000000" w:themeColor="text1"/>
          <w:sz w:val="28"/>
          <w:szCs w:val="28"/>
        </w:rPr>
      </w:pPr>
    </w:p>
    <w:p>
      <w:pPr>
        <w:pStyle w:val="4"/>
        <w:spacing w:line="578" w:lineRule="exact"/>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出让土地的所有权属中华人民共和国，出让人根据法律的授权出让国有建设用地使用权，地下资源、埋藏物不属于国有建设用地使用权出让范围。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第三条</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第二章出让土地的交付与出让价款的缴纳</w:t>
      </w:r>
    </w:p>
    <w:p>
      <w:pPr>
        <w:pStyle w:val="4"/>
        <w:spacing w:line="578" w:lineRule="exact"/>
        <w:jc w:val="center"/>
        <w:rPr>
          <w:rFonts w:hAnsi="宋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本合同项下出让宗地编号为，宗地总面积大写平方米（小写平方米），其中出让宗地面积为大写平方米（小写平方米）。</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本合同项下出让宗地的平面界址为；出让宗地的平面界址图见附件</w:t>
      </w:r>
      <w:r>
        <w:rPr>
          <w:rFonts w:hAnsi="宋体" w:cs="仿宋_GB2312"/>
          <w:color w:val="000000" w:themeColor="text1"/>
          <w:sz w:val="28"/>
          <w:szCs w:val="28"/>
        </w:rPr>
        <w:t>1</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本合同项下出让宗地的竖向界限以为上界限，以为下界限，高差为米。出让宗地竖向界限见附件</w:t>
      </w:r>
      <w:r>
        <w:rPr>
          <w:rFonts w:hAnsi="宋体" w:cs="仿宋_GB2312"/>
          <w:color w:val="000000" w:themeColor="text1"/>
          <w:sz w:val="28"/>
          <w:szCs w:val="28"/>
        </w:rPr>
        <w:t>2</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4"/>
        <w:tabs>
          <w:tab w:val="left" w:pos="1260"/>
        </w:tabs>
        <w:spacing w:line="578" w:lineRule="exact"/>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第五条</w:t>
      </w:r>
      <w:r>
        <w:rPr>
          <w:rFonts w:hint="eastAsia" w:hAnsi="宋体" w:cs="仿宋_GB2312"/>
          <w:color w:val="000000" w:themeColor="text1"/>
          <w:sz w:val="28"/>
          <w:szCs w:val="28"/>
        </w:rPr>
        <w:t>本合同项下出让宗地的用途为</w:t>
      </w:r>
      <w:r>
        <w:rPr>
          <w:rFonts w:hint="eastAsia" w:hAnsi="宋体" w:cs="仿宋_GB2312"/>
          <w:color w:val="000000" w:themeColor="text1"/>
          <w:sz w:val="28"/>
          <w:szCs w:val="28"/>
          <w:u w:val="single"/>
        </w:rPr>
        <w:t>：</w:t>
      </w:r>
      <w:r>
        <w:rPr>
          <w:rFonts w:hint="eastAsia" w:hAnsi="宋体" w:cs="仿宋_GB2312"/>
          <w:color w:val="000000" w:themeColor="text1"/>
          <w:sz w:val="28"/>
          <w:szCs w:val="28"/>
        </w:rPr>
        <w:t>。</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int="eastAsia" w:hAnsi="宋体" w:cs="仿宋_GB2312"/>
          <w:color w:val="000000" w:themeColor="text1"/>
          <w:sz w:val="28"/>
          <w:szCs w:val="28"/>
          <w:u w:val="single"/>
        </w:rPr>
        <w:t>二</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项规定的土地条件：</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第七条</w:t>
      </w:r>
      <w:r>
        <w:rPr>
          <w:rFonts w:hint="eastAsia" w:hAnsi="宋体" w:cs="仿宋_GB2312"/>
          <w:color w:val="000000" w:themeColor="text1"/>
          <w:sz w:val="28"/>
          <w:szCs w:val="28"/>
        </w:rPr>
        <w:t>本合同项下的国有建设用地使用权出让年期为</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本合同项下宗地的国有建设用地使用权出让价款为人民币大写元（小写元），每平方米人民币大写元（小写元）。</w:t>
      </w:r>
    </w:p>
    <w:p>
      <w:pPr>
        <w:pStyle w:val="4"/>
        <w:spacing w:line="578" w:lineRule="exact"/>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第九条</w:t>
      </w:r>
      <w:r>
        <w:rPr>
          <w:rFonts w:hint="eastAsia" w:hAnsi="宋体" w:cs="仿宋_GB2312"/>
          <w:color w:val="000000" w:themeColor="text1"/>
          <w:sz w:val="28"/>
          <w:szCs w:val="28"/>
        </w:rPr>
        <w:t>本合同项下宗地的定金为人民币大写元（小写元），定金抵作土地出让价款。</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受让人同意按照本条第一款第项的规定向出让人支付国有建设用地使用权出让价款：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（一）本合同签订之日起日内，一次性付清国有建设用地使用权出让价款；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（二）按以下时间和金额分期向出让人支付国有建设用地使用权出让价款。</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该宗地分期支付国有建设用地使用权出让价款不计利息。</w:t>
      </w:r>
    </w:p>
    <w:p>
      <w:pPr>
        <w:pStyle w:val="4"/>
        <w:spacing w:line="578" w:lineRule="exact"/>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受让人应在按本合同约定付清本宗地全部出让价款后，持本合同和出让价款缴纳凭证等相关证明材料，申请出让国有建设用地使用权登记。</w:t>
      </w:r>
    </w:p>
    <w:p>
      <w:pPr>
        <w:pStyle w:val="4"/>
        <w:spacing w:line="578" w:lineRule="exact"/>
        <w:ind w:firstLine="560" w:firstLineChars="200"/>
        <w:rPr>
          <w:rFonts w:hAnsi="宋体"/>
          <w:color w:val="000000" w:themeColor="text1"/>
          <w:kern w:val="0"/>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第三章土地开发建设与利用</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受让人同意本合同项下宗地开发投资强度按本条项规定执行：</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（二）本合同项下宗地用于非工业项目建设，受让人承诺本合同项下宗地的开发投资总额不低于人民币大写万元（小写万元）。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int="eastAsia" w:hAnsi="宋体" w:cs="仿宋_GB2312"/>
          <w:color w:val="000000" w:themeColor="text1"/>
          <w:sz w:val="28"/>
          <w:szCs w:val="28"/>
        </w:rPr>
        <w:t>）。其中：</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主体建筑物性质；</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附属建筑物性质；</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建筑总面积平方米；</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建筑容积率不高于不低于</w:t>
      </w:r>
      <w:r>
        <w:rPr>
          <w:rFonts w:hint="eastAsia" w:hAnsi="宋体" w:cs="仿宋_GB2312"/>
          <w:b/>
          <w:bCs/>
          <w:color w:val="000000" w:themeColor="text1"/>
          <w:sz w:val="28"/>
          <w:szCs w:val="28"/>
        </w:rPr>
        <w:t>；</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建筑限高不高于不低于；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建筑密度不高于不低于；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绿地率不高于不低于；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其他土地利用要求。</w:t>
      </w:r>
    </w:p>
    <w:p>
      <w:pPr>
        <w:pStyle w:val="4"/>
        <w:spacing w:line="578" w:lineRule="exact"/>
        <w:ind w:firstLine="645"/>
        <w:jc w:val="left"/>
        <w:rPr>
          <w:rFonts w:hAnsi="宋体"/>
          <w:color w:val="000000" w:themeColor="text1"/>
          <w:sz w:val="28"/>
          <w:szCs w:val="28"/>
        </w:rPr>
      </w:pPr>
      <w:r>
        <w:rPr>
          <w:rFonts w:hint="eastAsia" w:hAnsi="宋体" w:cs="仿宋_GB2312"/>
          <w:b/>
          <w:bCs/>
          <w:color w:val="000000" w:themeColor="text1"/>
          <w:sz w:val="28"/>
          <w:szCs w:val="28"/>
        </w:rPr>
        <w:t>第十四条</w:t>
      </w:r>
      <w:r>
        <w:rPr>
          <w:rFonts w:hint="eastAsia" w:hAnsi="宋体" w:cs="仿宋_GB2312"/>
          <w:color w:val="000000" w:themeColor="text1"/>
          <w:sz w:val="28"/>
          <w:szCs w:val="28"/>
        </w:rPr>
        <w:t>受让人同意本合同项下宗地建设配套按本条第项规定执行：</w:t>
      </w:r>
    </w:p>
    <w:p>
      <w:pPr>
        <w:pStyle w:val="4"/>
        <w:spacing w:line="578" w:lineRule="exact"/>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4"/>
        <w:spacing w:line="578" w:lineRule="exact"/>
        <w:ind w:left="6" w:leftChars="3"/>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w:t>
      </w:r>
      <w:r>
        <w:rPr>
          <w:rFonts w:hAnsi="宋体" w:cs="仿宋_GB2312"/>
          <w:color w:val="000000" w:themeColor="text1"/>
          <w:sz w:val="28"/>
          <w:szCs w:val="28"/>
        </w:rPr>
        <w:t xml:space="preserve">, </w:t>
      </w:r>
      <w:r>
        <w:rPr>
          <w:rFonts w:hint="eastAsia" w:hAnsi="宋体" w:cs="仿宋_GB2312"/>
          <w:color w:val="000000" w:themeColor="text1"/>
          <w:sz w:val="28"/>
          <w:szCs w:val="28"/>
        </w:rPr>
        <w:t>建筑面积不超过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4"/>
        <w:spacing w:line="578" w:lineRule="exact"/>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平方米以下住房套数不少于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套，住宅建设套型要求为。本合同项下宗地范围内套型建筑面积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hAnsi="宋体"/>
          <w:color w:val="000000" w:themeColor="text1"/>
          <w:sz w:val="28"/>
          <w:szCs w:val="28"/>
        </w:rPr>
      </w:pPr>
      <w:r>
        <w:rPr>
          <w:rFonts w:hAnsi="宋体" w:cs="仿宋_GB2312"/>
          <w:color w:val="000000" w:themeColor="text1"/>
          <w:sz w:val="28"/>
          <w:szCs w:val="28"/>
        </w:rPr>
        <w:t>1</w:t>
      </w:r>
      <w:r>
        <w:rPr>
          <w:rFonts w:hint="eastAsia" w:hAnsi="宋体" w:cs="仿宋_GB2312"/>
          <w:color w:val="000000" w:themeColor="text1"/>
          <w:sz w:val="28"/>
          <w:szCs w:val="28"/>
        </w:rPr>
        <w:t>．移交给政府；</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2</w:t>
      </w:r>
      <w:r>
        <w:rPr>
          <w:rFonts w:hint="eastAsia" w:hAnsi="宋体" w:cs="仿宋_GB2312"/>
          <w:color w:val="000000" w:themeColor="text1"/>
          <w:sz w:val="28"/>
          <w:szCs w:val="28"/>
        </w:rPr>
        <w:t>．由政府回购；</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3</w:t>
      </w:r>
      <w:r>
        <w:rPr>
          <w:rFonts w:hint="eastAsia" w:hAnsi="宋体" w:cs="仿宋_GB2312"/>
          <w:color w:val="000000" w:themeColor="text1"/>
          <w:sz w:val="28"/>
          <w:szCs w:val="28"/>
        </w:rPr>
        <w:t>．按政府经济适用住房建设和销售管理的有关规定执行；</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4</w:t>
      </w:r>
      <w:r>
        <w:rPr>
          <w:rFonts w:hint="eastAsia" w:hAnsi="宋体" w:cs="仿宋_GB2312"/>
          <w:color w:val="000000" w:themeColor="text1"/>
          <w:sz w:val="28"/>
          <w:szCs w:val="28"/>
        </w:rPr>
        <w:t>．。</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第十五条</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4"/>
        <w:spacing w:line="578" w:lineRule="exact"/>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受让人同意本合同项下宗地建设项目在</w:t>
      </w:r>
    </w:p>
    <w:p>
      <w:pPr>
        <w:pStyle w:val="4"/>
        <w:spacing w:line="578" w:lineRule="exact"/>
        <w:rPr>
          <w:rFonts w:hAnsi="宋体"/>
          <w:color w:val="000000" w:themeColor="text1"/>
          <w:sz w:val="28"/>
          <w:szCs w:val="28"/>
          <w:u w:val="single"/>
        </w:rPr>
      </w:pPr>
      <w:r>
        <w:rPr>
          <w:rFonts w:hint="eastAsia" w:hAnsi="宋体" w:cs="仿宋_GB2312"/>
          <w:color w:val="000000" w:themeColor="text1"/>
          <w:sz w:val="28"/>
          <w:szCs w:val="28"/>
        </w:rPr>
        <w:t>年月日之前开工，在年月日之前竣工。</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受让人不能按期开工，应提前</w:t>
      </w:r>
      <w:r>
        <w:rPr>
          <w:rFonts w:hAnsi="宋体" w:cs="仿宋_GB2312"/>
          <w:color w:val="000000" w:themeColor="text1"/>
          <w:sz w:val="28"/>
          <w:szCs w:val="28"/>
        </w:rPr>
        <w:t>30</w:t>
      </w:r>
      <w:r>
        <w:rPr>
          <w:rFonts w:hint="eastAsia" w:hAnsi="宋体" w:cs="仿宋_GB2312"/>
          <w:color w:val="000000" w:themeColor="text1"/>
          <w:sz w:val="28"/>
          <w:szCs w:val="28"/>
        </w:rPr>
        <w:t>日向出让人提出延建申请，经出让人同意延建的，其项目竣工时间相应顺延，但延建期限不得超过一年。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第十七条</w:t>
      </w:r>
      <w:r>
        <w:rPr>
          <w:rFonts w:hint="eastAsia" w:hAnsi="宋体" w:cs="仿宋_GB2312"/>
          <w:color w:val="000000" w:themeColor="text1"/>
          <w:sz w:val="28"/>
          <w:szCs w:val="28"/>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hAnsi="宋体"/>
          <w:b/>
          <w:color w:val="000000" w:themeColor="text1"/>
          <w:sz w:val="28"/>
          <w:szCs w:val="28"/>
        </w:rPr>
      </w:pPr>
      <w:r>
        <w:rPr>
          <w:rFonts w:hint="eastAsia" w:hAnsi="宋体" w:cs="仿宋_GB2312"/>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第四章国有建设用地使用权转让、出租、抵押</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（二）按照本合同约定进行投资开发，已形成工业用地或其他建设用地条件。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国有建设用地使用权的转让、出租及抵押合同，不得违背国家法律、法规规定和本合同约定。</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第二十四条</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第五章期限届满</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第六章不可抗力</w:t>
      </w:r>
    </w:p>
    <w:p>
      <w:pPr>
        <w:pStyle w:val="4"/>
        <w:spacing w:line="578" w:lineRule="exact"/>
        <w:ind w:firstLine="560" w:firstLineChars="200"/>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遇有不可抗力的一方，应在</w:t>
      </w:r>
      <w:r>
        <w:rPr>
          <w:rFonts w:hAnsi="宋体" w:cs="仿宋_GB2312"/>
          <w:color w:val="000000" w:themeColor="text1"/>
          <w:sz w:val="28"/>
          <w:szCs w:val="28"/>
        </w:rPr>
        <w:t>7</w:t>
      </w:r>
      <w:r>
        <w:rPr>
          <w:rFonts w:hint="eastAsia" w:hAnsi="宋体" w:cs="仿宋_GB2312"/>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int="eastAsia" w:hAnsi="宋体" w:cs="仿宋_GB2312"/>
          <w:color w:val="000000" w:themeColor="text1"/>
          <w:sz w:val="28"/>
          <w:szCs w:val="28"/>
        </w:rPr>
        <w:t>日内，向另一方提交本合同部分或全部不能履行或需要延期履行的报告及证明。</w:t>
      </w:r>
    </w:p>
    <w:p>
      <w:pPr>
        <w:pStyle w:val="4"/>
        <w:spacing w:line="578" w:lineRule="exact"/>
        <w:ind w:firstLine="645"/>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第七章违约责任</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第三十条</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4"/>
        <w:spacing w:line="578" w:lineRule="exact"/>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w:t>
      </w:r>
      <w:r>
        <w:rPr>
          <w:rFonts w:hAnsi="宋体" w:cs="仿宋_GB2312"/>
          <w:color w:val="000000" w:themeColor="text1"/>
          <w:sz w:val="28"/>
          <w:szCs w:val="28"/>
        </w:rPr>
        <w:t>60</w:t>
      </w:r>
      <w:r>
        <w:rPr>
          <w:rFonts w:hint="eastAsia" w:hAnsi="宋体" w:cs="仿宋_GB2312"/>
          <w:color w:val="000000" w:themeColor="text1"/>
          <w:sz w:val="28"/>
          <w:szCs w:val="28"/>
        </w:rPr>
        <w:t>日，经出让人催交后仍不能支付国有建设用地使用权出让价款的，出让人有权解除合同，受让人无权要求返还定金，出让人并可请求受让人赔偿损失。</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日向出让人提出申请的，出让人在扣除定金后退还受让人已支付的国有建设用地使用权出让价款；</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日向出让人提出申请的，出让人应在扣除本合同约定的定金，并按照规定征收土地闲置费后，将剩余的已付国有建设用地使用权出让价款退还受让人。</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受让人造成土地闲置，闲置满一年不满两年的，应依法缴纳土地闲置费；土地闲置满两年且未开工建设的，出让人有权无偿收回国有建设用地使用权。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themeColor="text1"/>
          <w:sz w:val="28"/>
          <w:szCs w:val="28"/>
        </w:rPr>
        <w:t>60</w:t>
      </w:r>
      <w:r>
        <w:rPr>
          <w:rFonts w:hint="eastAsia" w:hAnsi="宋体" w:cs="仿宋_GB2312"/>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pPr>
        <w:pStyle w:val="4"/>
        <w:spacing w:line="578" w:lineRule="exact"/>
        <w:ind w:firstLine="645"/>
        <w:rPr>
          <w:rFonts w:hAnsi="宋体"/>
          <w:b/>
          <w:color w:val="000000" w:themeColor="text1"/>
          <w:sz w:val="28"/>
          <w:szCs w:val="28"/>
        </w:rPr>
      </w:pPr>
      <w:r>
        <w:rPr>
          <w:rFonts w:hint="eastAsia" w:hAnsi="宋体" w:cs="仿宋_GB2312"/>
          <w:b/>
          <w:bCs/>
          <w:color w:val="000000" w:themeColor="text1"/>
          <w:sz w:val="28"/>
          <w:szCs w:val="28"/>
        </w:rPr>
        <w:t>第三十八条</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第八章适用法律及争议解决</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本合同订立、效力、解释、履行及争议的解决，适用中华人民共和国法律。</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因履行本合同发生争议，由争议双方协商解决，协商不成的，按本条第项约定的方式解决：</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（一）提交仲裁委员会仲裁；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（二）依法向人民法院起诉。</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第九章附则</w:t>
      </w:r>
    </w:p>
    <w:p>
      <w:pPr>
        <w:pStyle w:val="4"/>
        <w:spacing w:line="578" w:lineRule="exact"/>
        <w:jc w:val="center"/>
        <w:rPr>
          <w:rFonts w:hAnsi="宋体"/>
          <w:color w:val="000000" w:themeColor="text1"/>
          <w:sz w:val="28"/>
          <w:szCs w:val="28"/>
        </w:rPr>
      </w:pP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本合同项下宗地出让方案业经人民政府批准，本合同自双方签订之日起生效。</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第四十二条</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int="eastAsia" w:hAnsi="宋体" w:cs="仿宋_GB2312"/>
          <w:color w:val="000000" w:themeColor="text1"/>
          <w:kern w:val="0"/>
          <w:sz w:val="28"/>
          <w:szCs w:val="28"/>
        </w:rPr>
        <w:t>日内以书面形式告知对方，否则由此引起的无法及时告知的责任由信息变更方承担。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本合同和附件共页整，以中文书写为准。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本合同的价款、金额、面积等项应当同时以大、小写表示，大小写数额应当一致，不一致的，以大写为准。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本合同未尽事宜，可由双方约定后作为合同附件，与本合同具有同等法律效力。</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本合同一式</w:t>
      </w:r>
      <w:r>
        <w:rPr>
          <w:rFonts w:hint="eastAsia" w:hAnsi="宋体" w:cs="仿宋_GB2312"/>
          <w:color w:val="000000" w:themeColor="text1"/>
          <w:sz w:val="28"/>
          <w:szCs w:val="28"/>
          <w:u w:val="single"/>
        </w:rPr>
        <w:t>陆</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w:t>
      </w:r>
      <w:r>
        <w:rPr>
          <w:rFonts w:hAnsi="宋体" w:cs="仿宋_GB2312"/>
          <w:color w:val="000000" w:themeColor="text1"/>
          <w:sz w:val="28"/>
          <w:szCs w:val="28"/>
        </w:rPr>
        <w:t>,</w:t>
      </w:r>
      <w:r>
        <w:rPr>
          <w:rFonts w:hint="eastAsia" w:hAnsi="宋体" w:cs="仿宋_GB2312"/>
          <w:color w:val="000000" w:themeColor="text1"/>
          <w:sz w:val="28"/>
          <w:szCs w:val="28"/>
        </w:rPr>
        <w:t>受让人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份，具有同等法律效力。</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补充条款</w:t>
      </w:r>
      <w:r>
        <w:rPr>
          <w:rFonts w:hAnsi="宋体" w:cs="仿宋_GB2312"/>
          <w:color w:val="000000" w:themeColor="text1"/>
          <w:sz w:val="28"/>
          <w:szCs w:val="28"/>
        </w:rPr>
        <w:t>：</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ind w:firstLine="560" w:firstLineChars="200"/>
        <w:rPr>
          <w:rFonts w:hAnsi="宋体"/>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出让人（章）：受让人（章）：</w:t>
      </w:r>
    </w:p>
    <w:p>
      <w:pPr>
        <w:pStyle w:val="4"/>
        <w:spacing w:line="578" w:lineRule="exact"/>
        <w:rPr>
          <w:rFonts w:hAnsi="宋体" w:cs="仿宋_GB2312"/>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法定代表人（委托代理人）法定代表人</w:t>
      </w:r>
      <w:r>
        <w:rPr>
          <w:rFonts w:hAnsi="宋体" w:cs="仿宋_GB2312"/>
          <w:color w:val="000000" w:themeColor="text1"/>
          <w:sz w:val="28"/>
          <w:szCs w:val="28"/>
        </w:rPr>
        <w:t>(</w:t>
      </w:r>
      <w:r>
        <w:rPr>
          <w:rFonts w:hint="eastAsia" w:hAnsi="宋体" w:cs="仿宋_GB2312"/>
          <w:color w:val="000000" w:themeColor="text1"/>
          <w:sz w:val="28"/>
          <w:szCs w:val="28"/>
        </w:rPr>
        <w:t>委托代理人</w:t>
      </w:r>
      <w:r>
        <w:rPr>
          <w:rFonts w:hAnsi="宋体" w:cs="仿宋_GB2312"/>
          <w:color w:val="000000" w:themeColor="text1"/>
          <w:sz w:val="28"/>
          <w:szCs w:val="28"/>
        </w:rPr>
        <w:t>)</w:t>
      </w:r>
      <w:r>
        <w:rPr>
          <w:rFonts w:hint="eastAsia" w:hAnsi="宋体" w:cs="仿宋_GB2312"/>
          <w:color w:val="000000" w:themeColor="text1"/>
          <w:sz w:val="28"/>
          <w:szCs w:val="28"/>
        </w:rPr>
        <w:t>：</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（签字）：（签字）：</w:t>
      </w:r>
    </w:p>
    <w:p>
      <w:pPr>
        <w:pStyle w:val="4"/>
        <w:spacing w:line="578" w:lineRule="exact"/>
        <w:rPr>
          <w:rFonts w:hAnsi="宋体"/>
          <w:color w:val="000000" w:themeColor="text1"/>
          <w:sz w:val="28"/>
          <w:szCs w:val="28"/>
        </w:rPr>
      </w:pPr>
    </w:p>
    <w:p>
      <w:pPr>
        <w:pStyle w:val="4"/>
        <w:spacing w:line="578" w:lineRule="exact"/>
        <w:rPr>
          <w:rFonts w:hAnsi="宋体"/>
          <w:color w:val="000000" w:themeColor="text1"/>
          <w:sz w:val="28"/>
          <w:szCs w:val="28"/>
        </w:rPr>
      </w:pPr>
    </w:p>
    <w:p>
      <w:pPr>
        <w:pStyle w:val="4"/>
        <w:ind w:firstLine="5180" w:firstLineChars="1850"/>
        <w:rPr>
          <w:rFonts w:hAnsi="宋体"/>
          <w:color w:val="000000" w:themeColor="text1"/>
        </w:rPr>
      </w:pPr>
      <w:r>
        <w:rPr>
          <w:rFonts w:hint="eastAsia" w:hAnsi="宋体" w:cs="仿宋_GB2312"/>
          <w:color w:val="000000" w:themeColor="text1"/>
          <w:sz w:val="28"/>
          <w:szCs w:val="28"/>
        </w:rPr>
        <w:t>年  月  日</w:t>
      </w:r>
    </w:p>
    <w:p>
      <w:pPr>
        <w:pStyle w:val="4"/>
        <w:spacing w:line="578" w:lineRule="exact"/>
        <w:jc w:val="right"/>
        <w:rPr>
          <w:rFonts w:hAnsi="宋体" w:cs="仿宋_GB2312"/>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hAnsi="宋体" w:eastAsia="黑体"/>
          <w:color w:val="000000" w:themeColor="text1"/>
          <w:sz w:val="44"/>
          <w:szCs w:val="44"/>
        </w:rPr>
      </w:pPr>
      <w:bookmarkStart w:id="20" w:name="_Toc3391981"/>
      <w:r>
        <w:rPr>
          <w:rFonts w:hint="eastAsia" w:ascii="黑体" w:hAnsi="宋体" w:eastAsia="黑体"/>
          <w:color w:val="000000" w:themeColor="text1"/>
          <w:sz w:val="44"/>
          <w:szCs w:val="44"/>
        </w:rPr>
        <w:t>国有建设用地交接地确认书</w:t>
      </w:r>
      <w:bookmarkEnd w:id="20"/>
    </w:p>
    <w:p>
      <w:pPr>
        <w:jc w:val="center"/>
        <w:rPr>
          <w:rFonts w:ascii="方正小标宋简体" w:eastAsia="仿宋_GB2312"/>
          <w:color w:val="000000" w:themeColor="text1"/>
          <w:sz w:val="32"/>
          <w:szCs w:val="32"/>
        </w:rPr>
      </w:pPr>
      <w:r>
        <w:rPr>
          <w:rFonts w:hint="eastAsia" w:ascii="仿宋_GB2312" w:eastAsia="仿宋_GB2312"/>
          <w:color w:val="000000" w:themeColor="text1"/>
          <w:sz w:val="32"/>
          <w:szCs w:val="32"/>
        </w:rPr>
        <w:t>达市通自然资交字〔〕号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根据号《国有建设用地使用权出让合同》</w:t>
      </w: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《国有建设用地使用权划拨决定书》的相关要求，地块已达到交地条件，从即日起取得该宗地的国有建设用地使用权。局于年月日将该宗地实际交付给，现场接收。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本确认书一式三份，局执二份，接地方执一份。</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交地方：            （印章）</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接地方：               （印章）</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4176" w:firstLineChars="13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年  月  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接地方须为受让方；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2.</w:t>
      </w:r>
      <w:r>
        <w:rPr>
          <w:rFonts w:hint="eastAsia" w:ascii="仿宋" w:hAnsi="仿宋" w:eastAsia="仿宋" w:cs="仿宋"/>
          <w:color w:val="000000" w:themeColor="text1"/>
          <w:sz w:val="32"/>
          <w:szCs w:val="32"/>
        </w:rPr>
        <w:t>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3.</w:t>
      </w:r>
      <w:r>
        <w:rPr>
          <w:rFonts w:hint="eastAsia" w:ascii="仿宋" w:hAnsi="仿宋" w:eastAsia="仿宋" w:cs="仿宋"/>
          <w:color w:val="000000" w:themeColor="text1"/>
          <w:sz w:val="32"/>
          <w:szCs w:val="32"/>
        </w:rPr>
        <w:t>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4.</w:t>
      </w:r>
      <w:r>
        <w:rPr>
          <w:rFonts w:hint="eastAsia" w:ascii="仿宋" w:hAnsi="仿宋" w:eastAsia="仿宋" w:cs="仿宋"/>
          <w:color w:val="000000" w:themeColor="text1"/>
          <w:sz w:val="32"/>
          <w:szCs w:val="32"/>
        </w:rPr>
        <w:t>三份确认书中只二份加盖接地方印章。</w:t>
      </w:r>
    </w:p>
    <w:p>
      <w:pPr>
        <w:spacing w:line="560" w:lineRule="exact"/>
        <w:ind w:firstLine="645"/>
        <w:rPr>
          <w:rFonts w:ascii="仿宋" w:hAnsi="仿宋" w:eastAsia="仿宋" w:cs="仿宋"/>
          <w:color w:val="000000" w:themeColor="text1"/>
          <w:sz w:val="32"/>
          <w:szCs w:val="32"/>
        </w:rPr>
      </w:pPr>
    </w:p>
    <w:p>
      <w:pPr>
        <w:spacing w:line="560" w:lineRule="exact"/>
        <w:ind w:firstLine="645"/>
        <w:rPr>
          <w:rFonts w:ascii="仿宋" w:hAnsi="仿宋" w:eastAsia="仿宋" w:cs="仿宋"/>
          <w:color w:val="000000" w:themeColor="text1"/>
          <w:sz w:val="32"/>
          <w:szCs w:val="32"/>
        </w:rPr>
      </w:pPr>
    </w:p>
    <w:p>
      <w:pPr>
        <w:spacing w:line="560" w:lineRule="exact"/>
        <w:jc w:val="center"/>
        <w:rPr>
          <w:rFonts w:ascii="黑体" w:hAnsi="黑体" w:eastAsia="黑体" w:cs="仿宋"/>
          <w:color w:val="000000" w:themeColor="text1"/>
          <w:sz w:val="44"/>
          <w:szCs w:val="44"/>
        </w:rPr>
      </w:pPr>
    </w:p>
    <w:p>
      <w:pPr>
        <w:spacing w:line="560" w:lineRule="exact"/>
        <w:jc w:val="center"/>
        <w:rPr>
          <w:rFonts w:ascii="黑体" w:hAnsi="黑体" w:eastAsia="黑体" w:cs="仿宋"/>
          <w:color w:val="000000" w:themeColor="text1"/>
          <w:sz w:val="44"/>
          <w:szCs w:val="44"/>
        </w:rPr>
      </w:pPr>
      <w:r>
        <w:rPr>
          <w:rFonts w:hint="eastAsia" w:ascii="黑体" w:hAnsi="黑体" w:eastAsia="黑体" w:cs="仿宋"/>
          <w:color w:val="000000" w:themeColor="text1"/>
          <w:sz w:val="44"/>
          <w:szCs w:val="44"/>
        </w:rPr>
        <w:t>国有建设用地交接地现场人员签到表</w:t>
      </w:r>
    </w:p>
    <w:p>
      <w:pPr>
        <w:spacing w:line="560" w:lineRule="exact"/>
        <w:ind w:firstLine="645"/>
        <w:rPr>
          <w:rFonts w:ascii="仿宋" w:hAnsi="仿宋" w:eastAsia="仿宋" w:cs="仿宋"/>
          <w:color w:val="000000" w:themeColor="text1"/>
          <w:sz w:val="32"/>
          <w:szCs w:val="32"/>
        </w:rPr>
      </w:pP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姓名</w:t>
            </w:r>
          </w:p>
        </w:tc>
        <w:tc>
          <w:tcPr>
            <w:tcW w:w="2736"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4" w:type="dxa"/>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职务</w:t>
            </w:r>
          </w:p>
          <w:p>
            <w:pPr>
              <w:spacing w:line="360" w:lineRule="exact"/>
              <w:jc w:val="center"/>
              <w:rPr>
                <w:rFonts w:ascii="仿宋" w:hAnsi="仿宋" w:eastAsia="仿宋" w:cs="仿宋"/>
                <w:b/>
                <w:color w:val="000000" w:themeColor="text1"/>
                <w:sz w:val="32"/>
                <w:szCs w:val="32"/>
              </w:rPr>
            </w:pP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或职称</w:t>
            </w:r>
            <w:r>
              <w:rPr>
                <w:rFonts w:ascii="仿宋" w:hAnsi="仿宋" w:eastAsia="仿宋" w:cs="仿宋"/>
                <w:b/>
                <w:color w:val="000000" w:themeColor="text1"/>
                <w:sz w:val="32"/>
                <w:szCs w:val="32"/>
              </w:rPr>
              <w:t>)</w:t>
            </w:r>
          </w:p>
        </w:tc>
        <w:tc>
          <w:tcPr>
            <w:tcW w:w="226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表格内容须由现场人员亲自填写；</w:t>
      </w:r>
    </w:p>
    <w:p>
      <w:pPr>
        <w:spacing w:line="560" w:lineRule="exact"/>
        <w:rPr>
          <w:rFonts w:ascii="仿宋" w:hAnsi="仿宋" w:eastAsia="仿宋" w:cs="仿宋"/>
          <w:color w:val="000000" w:themeColor="text1"/>
          <w:sz w:val="32"/>
          <w:szCs w:val="32"/>
        </w:rPr>
      </w:pPr>
      <w:r>
        <w:rPr>
          <w:rFonts w:ascii="仿宋" w:hAnsi="仿宋" w:eastAsia="仿宋" w:cs="仿宋"/>
          <w:color w:val="000000" w:themeColor="text1"/>
          <w:sz w:val="32"/>
          <w:szCs w:val="32"/>
        </w:rPr>
        <w:t xml:space="preserve">    2.</w:t>
      </w:r>
      <w:r>
        <w:rPr>
          <w:rFonts w:hint="eastAsia" w:ascii="仿宋" w:hAnsi="仿宋" w:eastAsia="仿宋" w:cs="仿宋"/>
          <w:color w:val="000000" w:themeColor="text1"/>
          <w:sz w:val="32"/>
          <w:szCs w:val="32"/>
        </w:rPr>
        <w:t>接地方主要代表须现场按手印。</w:t>
      </w:r>
    </w:p>
    <w:p>
      <w:pPr>
        <w:pStyle w:val="4"/>
        <w:ind w:left="-141" w:leftChars="-67" w:right="480"/>
        <w:jc w:val="center"/>
        <w:rPr>
          <w:rFonts w:ascii="黑体" w:hAnsi="宋体" w:eastAsia="黑体"/>
          <w:color w:val="000000" w:themeColor="text1"/>
          <w:sz w:val="44"/>
          <w:szCs w:val="44"/>
        </w:rPr>
      </w:pPr>
    </w:p>
    <w:p>
      <w:pPr>
        <w:pStyle w:val="4"/>
        <w:ind w:left="-141" w:leftChars="-67" w:right="480"/>
        <w:jc w:val="center"/>
        <w:rPr>
          <w:rFonts w:ascii="黑体" w:hAnsi="宋体" w:eastAsia="黑体"/>
          <w:color w:val="000000" w:themeColor="text1"/>
          <w:sz w:val="44"/>
          <w:szCs w:val="44"/>
        </w:rPr>
      </w:pPr>
      <w:r>
        <w:rPr>
          <w:rFonts w:hint="eastAsia" w:ascii="黑体" w:hAnsi="宋体" w:eastAsia="黑体"/>
          <w:color w:val="000000" w:themeColor="text1"/>
          <w:sz w:val="44"/>
          <w:szCs w:val="44"/>
        </w:rPr>
        <w:t>建设项目动工开发申报书</w:t>
      </w:r>
    </w:p>
    <w:p>
      <w:pPr>
        <w:pStyle w:val="4"/>
        <w:ind w:left="-141" w:leftChars="-67" w:right="480"/>
        <w:jc w:val="left"/>
        <w:rPr>
          <w:rFonts w:hAnsi="宋体"/>
          <w:color w:val="000000" w:themeColor="text1"/>
        </w:rPr>
      </w:pPr>
    </w:p>
    <w:p>
      <w:pPr>
        <w:pStyle w:val="4"/>
        <w:ind w:right="480"/>
        <w:jc w:val="left"/>
        <w:rPr>
          <w:rFonts w:hAnsi="宋体"/>
          <w:color w:val="000000" w:themeColor="text1"/>
        </w:rPr>
      </w:pPr>
      <w:r>
        <w:rPr>
          <w:rFonts w:hint="eastAsia" w:hAnsi="宋体"/>
          <w:color w:val="000000" w:themeColor="text1"/>
        </w:rPr>
        <w:t>×××局：</w:t>
      </w:r>
    </w:p>
    <w:p>
      <w:pPr>
        <w:pStyle w:val="4"/>
        <w:ind w:left="-141" w:leftChars="-67" w:right="480" w:firstLine="480" w:firstLineChars="150"/>
        <w:jc w:val="left"/>
        <w:rPr>
          <w:rFonts w:hAnsi="宋体"/>
          <w:color w:val="000000" w:themeColor="text1"/>
          <w:u w:val="single"/>
        </w:rPr>
      </w:pPr>
      <w:r>
        <w:rPr>
          <w:rFonts w:hint="eastAsia" w:hAnsi="宋体"/>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hint="eastAsia" w:hAnsi="宋体"/>
          <w:color w:val="000000" w:themeColor="text1"/>
          <w:u w:val="single"/>
        </w:rPr>
        <w:t>。</w:t>
      </w:r>
    </w:p>
    <w:p>
      <w:pPr>
        <w:pStyle w:val="4"/>
        <w:ind w:left="-141" w:leftChars="-67" w:right="480" w:firstLine="480" w:firstLineChars="150"/>
        <w:jc w:val="left"/>
        <w:rPr>
          <w:rFonts w:hAnsi="宋体"/>
          <w:color w:val="000000" w:themeColor="text1"/>
        </w:rPr>
      </w:pPr>
      <w:r>
        <w:rPr>
          <w:rFonts w:hint="eastAsia" w:hAnsi="宋体"/>
          <w:color w:val="000000" w:themeColor="text1"/>
        </w:rPr>
        <w:t>我方拟在上述宗地建设项目，目前已取得部分（全部）的建设施工许可证（编号为：），并于  年  月 日已达到动工标准。请予检查复核。</w:t>
      </w:r>
    </w:p>
    <w:p>
      <w:pPr>
        <w:pStyle w:val="4"/>
        <w:ind w:left="-141" w:leftChars="-67" w:right="480"/>
        <w:jc w:val="left"/>
        <w:rPr>
          <w:rFonts w:hAnsi="宋体"/>
          <w:color w:val="000000" w:themeColor="text1"/>
        </w:rPr>
      </w:pPr>
      <w:r>
        <w:rPr>
          <w:rFonts w:hint="eastAsia" w:hAnsi="宋体"/>
          <w:color w:val="000000" w:themeColor="text1"/>
        </w:rPr>
        <w:t>特此申报。</w:t>
      </w:r>
    </w:p>
    <w:p>
      <w:pPr>
        <w:pStyle w:val="4"/>
        <w:ind w:left="-141" w:leftChars="-67" w:right="480"/>
        <w:jc w:val="left"/>
        <w:rPr>
          <w:rFonts w:hAnsi="宋体"/>
          <w:color w:val="000000" w:themeColor="text1"/>
        </w:rPr>
      </w:pPr>
    </w:p>
    <w:p>
      <w:pPr>
        <w:pStyle w:val="4"/>
        <w:ind w:left="-141" w:leftChars="-67" w:right="480"/>
        <w:jc w:val="left"/>
        <w:rPr>
          <w:rFonts w:hAnsi="宋体"/>
          <w:color w:val="000000" w:themeColor="text1"/>
        </w:rPr>
      </w:pPr>
      <w:r>
        <w:rPr>
          <w:rFonts w:hint="eastAsia" w:hAnsi="宋体"/>
          <w:color w:val="000000" w:themeColor="text1"/>
        </w:rPr>
        <w:t>单位（印章）</w:t>
      </w:r>
      <w:r>
        <w:rPr>
          <w:rFonts w:hAnsi="宋体"/>
          <w:color w:val="000000" w:themeColor="text1"/>
        </w:rPr>
        <w:t>/</w:t>
      </w:r>
      <w:r>
        <w:rPr>
          <w:rFonts w:hint="eastAsia" w:hAnsi="宋体"/>
          <w:color w:val="000000" w:themeColor="text1"/>
        </w:rPr>
        <w:t>个人：</w:t>
      </w:r>
    </w:p>
    <w:p>
      <w:pPr>
        <w:pStyle w:val="4"/>
        <w:wordWrap w:val="0"/>
        <w:ind w:left="-141" w:leftChars="-67" w:right="800"/>
        <w:jc w:val="right"/>
        <w:rPr>
          <w:rFonts w:hAnsi="宋体"/>
          <w:color w:val="000000" w:themeColor="text1"/>
        </w:rPr>
      </w:pPr>
      <w:r>
        <w:rPr>
          <w:rFonts w:hint="eastAsia" w:hAnsi="宋体"/>
          <w:color w:val="000000" w:themeColor="text1"/>
        </w:rPr>
        <w:t>年 月 日</w:t>
      </w:r>
    </w:p>
    <w:p>
      <w:pPr>
        <w:pStyle w:val="4"/>
        <w:ind w:left="-141" w:leftChars="-67" w:right="480"/>
        <w:jc w:val="left"/>
        <w:rPr>
          <w:rFonts w:hAnsi="宋体"/>
          <w:color w:val="000000" w:themeColor="text1"/>
        </w:rPr>
      </w:pPr>
    </w:p>
    <w:p>
      <w:pPr>
        <w:pStyle w:val="4"/>
        <w:spacing w:line="578" w:lineRule="atLeast"/>
        <w:ind w:left="-141" w:leftChars="-67" w:right="482"/>
        <w:jc w:val="center"/>
        <w:rPr>
          <w:rFonts w:ascii="方正小标宋简体" w:hAnsi="宋体" w:eastAsia="方正小标宋简体"/>
          <w:sz w:val="44"/>
          <w:szCs w:val="44"/>
        </w:rPr>
      </w:pPr>
      <w:r>
        <w:rPr>
          <w:rFonts w:hAnsi="宋体"/>
          <w:color w:val="000000" w:themeColor="text1"/>
        </w:rPr>
        <w:br w:type="page"/>
      </w:r>
      <w:r>
        <w:rPr>
          <w:rFonts w:hint="eastAsia" w:ascii="方正小标宋简体" w:hAnsi="宋体" w:eastAsia="方正小标宋简体"/>
          <w:sz w:val="44"/>
          <w:szCs w:val="44"/>
        </w:rPr>
        <w:t>建设项目国土规划核验（实）申请书</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r>
        <w:rPr>
          <w:rFonts w:hint="eastAsia" w:ascii="仿宋_GB2312" w:hAnsi="宋体" w:eastAsia="仿宋_GB2312"/>
        </w:rPr>
        <w:t>局：</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你局与我方签订的国有建设用地使用权出让合同，合同电子监管号为（你局向我方核发的国有建设用地划拨决定书，划拨决定书电子监管号为），宗地四至为，面积为平方米，约定动工日期为年月日，土地权利证号。</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我方在上述宗地按号《建设工程规划许可证》要求建设了项目，已于年月日竣工，完成出让合同（划拨决定书）规定的规划建设内容。请予校验核实。</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特此申请。</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right"/>
        <w:rPr>
          <w:rFonts w:ascii="仿宋_GB2312" w:hAnsi="宋体" w:eastAsia="仿宋_GB2312"/>
        </w:rPr>
      </w:pPr>
      <w:r>
        <w:rPr>
          <w:rFonts w:hint="eastAsia" w:ascii="仿宋_GB2312" w:hAnsi="宋体" w:eastAsia="仿宋_GB2312"/>
        </w:rPr>
        <w:t>单位（印章）/个人</w:t>
      </w:r>
    </w:p>
    <w:p>
      <w:pPr>
        <w:pStyle w:val="4"/>
        <w:spacing w:line="578" w:lineRule="atLeast"/>
        <w:ind w:left="-141" w:leftChars="-67" w:right="802"/>
        <w:jc w:val="right"/>
        <w:rPr>
          <w:rFonts w:ascii="仿宋_GB2312" w:hAnsi="宋体" w:eastAsia="仿宋_GB2312"/>
        </w:rPr>
      </w:pPr>
      <w:r>
        <w:rPr>
          <w:rFonts w:hint="eastAsia" w:ascii="仿宋_GB2312" w:hAnsi="宋体" w:eastAsia="仿宋_GB2312"/>
        </w:rPr>
        <w:t>年   月   日</w:t>
      </w:r>
    </w:p>
    <w:p>
      <w:pPr>
        <w:pStyle w:val="4"/>
        <w:ind w:left="-141" w:leftChars="-67" w:right="480"/>
        <w:jc w:val="left"/>
        <w:rPr>
          <w:rFonts w:hAnsi="宋体"/>
          <w:color w:val="000000" w:themeColor="text1"/>
        </w:rPr>
      </w:pPr>
    </w:p>
    <w:p>
      <w:pPr>
        <w:jc w:val="left"/>
        <w:rPr>
          <w:rFonts w:ascii="宋体"/>
          <w:color w:val="000000" w:themeColor="text1"/>
          <w:w w:val="90"/>
          <w:sz w:val="32"/>
          <w:szCs w:val="32"/>
        </w:rPr>
      </w:pPr>
    </w:p>
    <w:p>
      <w:pPr>
        <w:jc w:val="left"/>
        <w:rPr>
          <w:rFonts w:ascii="宋体"/>
          <w:color w:val="000000" w:themeColor="text1"/>
          <w:w w:val="90"/>
          <w:sz w:val="32"/>
          <w:szCs w:val="32"/>
        </w:rPr>
      </w:pPr>
    </w:p>
    <w:p>
      <w:pPr>
        <w:jc w:val="left"/>
        <w:rPr>
          <w:rFonts w:ascii="宋体"/>
          <w:color w:val="000000" w:themeColor="text1"/>
          <w:w w:val="90"/>
          <w:sz w:val="32"/>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Dotu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方正黑体_GBK">
    <w:panose1 w:val="03000509000000000000"/>
    <w:charset w:val="86"/>
    <w:family w:val="script"/>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6" o:spid="_x0000_s2052" o:spt="202" type="#_x0000_t202" style="position:absolute;left:0pt;margin-top:0pt;height:10.35pt;width:4.55pt;mso-position-horizontal:right;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g0G0EAIAABA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w:r>
  </w:p>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7" o:spid="_x0000_s2051" o:spt="202" type="#_x0000_t202" style="position:absolute;left:0pt;margin-top:0pt;height:10.35pt;width:4.55pt;mso-position-horizontal:right;mso-position-horizontal-relative:margin;mso-wrap-style:none;z-index:25166643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BWuFWD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6</w:t>
                </w:r>
                <w:r>
                  <w:rPr>
                    <w:lang w:val="zh-CN"/>
                  </w:rPr>
                  <w:fldChar w:fldCharType="end"/>
                </w:r>
              </w:p>
            </w:txbxContent>
          </v:textbox>
        </v:shape>
      </w:pic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8" o:spid="_x0000_s2050" o:spt="202" type="#_x0000_t202" style="position:absolute;left:0pt;margin-top:0pt;height:10.35pt;width:9.05pt;mso-position-horizontal:right;mso-position-horizontal-relative:margin;mso-wrap-style:none;z-index:25166438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GB9R3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30</w:t>
                </w:r>
                <w:r>
                  <w:rPr>
                    <w:lang w:val="zh-CN"/>
                  </w:rPr>
                  <w:fldChar w:fldCharType="end"/>
                </w:r>
              </w:p>
            </w:txbxContent>
          </v:textbox>
        </v:shape>
      </w:pic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文本框 19" o:spid="_x0000_s2049" o:spt="202" type="#_x0000_t202" style="position:absolute;left:0pt;margin-top:0pt;height:10.35pt;width:9.05pt;mso-position-horizontal:right;mso-position-horizontal-relative:margin;mso-wrap-style:none;z-index:25166540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nOO6vEAIAABIEAAAOAAAAAAAAAAEAIAAA&#10;AB8BAABkcnMvZTJvRG9jLnhtbFBLBQYAAAAABgAGAFkBAAChBQAAAAA=&#10;">
          <v:path/>
          <v:fill on="f" focussize="0,0"/>
          <v:stroke on="f" joinstyle="miter"/>
          <v:imagedata o:title=""/>
          <o:lock v:ext="edit"/>
          <v:textbox inset="0mm,0mm,0mm,0mm" style="mso-fit-shape-to-text:t;">
            <w:txbxContent>
              <w:p>
                <w:pPr>
                  <w:pStyle w:val="6"/>
                </w:pPr>
                <w:r>
                  <w:fldChar w:fldCharType="begin"/>
                </w:r>
                <w:r>
                  <w:instrText xml:space="preserve"> PAGE  \* MERGEFORMAT </w:instrText>
                </w:r>
                <w:r>
                  <w:fldChar w:fldCharType="separate"/>
                </w:r>
                <w:r>
                  <w:t>47</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1EC776F7"/>
    <w:multiLevelType w:val="multilevel"/>
    <w:tmpl w:val="1EC776F7"/>
    <w:lvl w:ilvl="0" w:tentative="0">
      <w:start w:val="1"/>
      <w:numFmt w:val="japaneseCounting"/>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381D7D"/>
    <w:rsid w:val="00005CB8"/>
    <w:rsid w:val="0001446D"/>
    <w:rsid w:val="0001456E"/>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230A"/>
    <w:rsid w:val="000A26D3"/>
    <w:rsid w:val="000A5F2E"/>
    <w:rsid w:val="000B272F"/>
    <w:rsid w:val="000B3325"/>
    <w:rsid w:val="000B3D29"/>
    <w:rsid w:val="000C512D"/>
    <w:rsid w:val="000D17E6"/>
    <w:rsid w:val="000D28F8"/>
    <w:rsid w:val="000D3955"/>
    <w:rsid w:val="000E3493"/>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13CB"/>
    <w:rsid w:val="00171736"/>
    <w:rsid w:val="00176BEE"/>
    <w:rsid w:val="00177F59"/>
    <w:rsid w:val="00182313"/>
    <w:rsid w:val="00182674"/>
    <w:rsid w:val="001849B2"/>
    <w:rsid w:val="0019277E"/>
    <w:rsid w:val="001927B6"/>
    <w:rsid w:val="00192F08"/>
    <w:rsid w:val="001972E9"/>
    <w:rsid w:val="00197CCD"/>
    <w:rsid w:val="001A20DE"/>
    <w:rsid w:val="001B1530"/>
    <w:rsid w:val="001B25BB"/>
    <w:rsid w:val="001B3C9A"/>
    <w:rsid w:val="001B6B40"/>
    <w:rsid w:val="001C0C0A"/>
    <w:rsid w:val="001C0F29"/>
    <w:rsid w:val="001C3A38"/>
    <w:rsid w:val="001C43DD"/>
    <w:rsid w:val="001C7DA8"/>
    <w:rsid w:val="001D1C4D"/>
    <w:rsid w:val="001D3F39"/>
    <w:rsid w:val="001D7321"/>
    <w:rsid w:val="001E62A7"/>
    <w:rsid w:val="001E7746"/>
    <w:rsid w:val="001F03A5"/>
    <w:rsid w:val="001F0745"/>
    <w:rsid w:val="001F1022"/>
    <w:rsid w:val="001F207D"/>
    <w:rsid w:val="001F3381"/>
    <w:rsid w:val="001F3CAE"/>
    <w:rsid w:val="001F53E4"/>
    <w:rsid w:val="00202093"/>
    <w:rsid w:val="00203818"/>
    <w:rsid w:val="002043D0"/>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72B3"/>
    <w:rsid w:val="00243717"/>
    <w:rsid w:val="002505B2"/>
    <w:rsid w:val="00253807"/>
    <w:rsid w:val="0025569D"/>
    <w:rsid w:val="00256765"/>
    <w:rsid w:val="00260DEB"/>
    <w:rsid w:val="00265FCB"/>
    <w:rsid w:val="00270033"/>
    <w:rsid w:val="00271597"/>
    <w:rsid w:val="00273103"/>
    <w:rsid w:val="00280F72"/>
    <w:rsid w:val="00291512"/>
    <w:rsid w:val="00292C2B"/>
    <w:rsid w:val="002A09DD"/>
    <w:rsid w:val="002A1020"/>
    <w:rsid w:val="002A2A5A"/>
    <w:rsid w:val="002A5D9D"/>
    <w:rsid w:val="002A6ACC"/>
    <w:rsid w:val="002B0778"/>
    <w:rsid w:val="002B0B72"/>
    <w:rsid w:val="002B3C94"/>
    <w:rsid w:val="002B72FB"/>
    <w:rsid w:val="002C259B"/>
    <w:rsid w:val="002C7E5C"/>
    <w:rsid w:val="002D41B1"/>
    <w:rsid w:val="002D7C12"/>
    <w:rsid w:val="002E2DC6"/>
    <w:rsid w:val="002E40B4"/>
    <w:rsid w:val="002E6E46"/>
    <w:rsid w:val="002F3378"/>
    <w:rsid w:val="002F3788"/>
    <w:rsid w:val="003026FD"/>
    <w:rsid w:val="003055EA"/>
    <w:rsid w:val="00310264"/>
    <w:rsid w:val="00311336"/>
    <w:rsid w:val="003235F6"/>
    <w:rsid w:val="00324175"/>
    <w:rsid w:val="00327996"/>
    <w:rsid w:val="00330403"/>
    <w:rsid w:val="0033062A"/>
    <w:rsid w:val="003349CC"/>
    <w:rsid w:val="0034122B"/>
    <w:rsid w:val="0034334B"/>
    <w:rsid w:val="003509FA"/>
    <w:rsid w:val="00356351"/>
    <w:rsid w:val="00357146"/>
    <w:rsid w:val="00362478"/>
    <w:rsid w:val="00362C25"/>
    <w:rsid w:val="00364A66"/>
    <w:rsid w:val="00366006"/>
    <w:rsid w:val="0036696E"/>
    <w:rsid w:val="0037094F"/>
    <w:rsid w:val="00372A5B"/>
    <w:rsid w:val="003807EA"/>
    <w:rsid w:val="00381A67"/>
    <w:rsid w:val="00381D7D"/>
    <w:rsid w:val="0038397F"/>
    <w:rsid w:val="00383D67"/>
    <w:rsid w:val="00384828"/>
    <w:rsid w:val="003865B1"/>
    <w:rsid w:val="003878D6"/>
    <w:rsid w:val="00387A36"/>
    <w:rsid w:val="0039354C"/>
    <w:rsid w:val="003958D5"/>
    <w:rsid w:val="00396103"/>
    <w:rsid w:val="00396F3F"/>
    <w:rsid w:val="00397C01"/>
    <w:rsid w:val="003A0A02"/>
    <w:rsid w:val="003A0D10"/>
    <w:rsid w:val="003A2D99"/>
    <w:rsid w:val="003B1DDA"/>
    <w:rsid w:val="003B4F54"/>
    <w:rsid w:val="003C36E9"/>
    <w:rsid w:val="003C3B99"/>
    <w:rsid w:val="003C4FC2"/>
    <w:rsid w:val="003C5F96"/>
    <w:rsid w:val="003D45E8"/>
    <w:rsid w:val="003D6ADC"/>
    <w:rsid w:val="003D7E6D"/>
    <w:rsid w:val="003E59A8"/>
    <w:rsid w:val="003E5D4C"/>
    <w:rsid w:val="003E78F8"/>
    <w:rsid w:val="003F0CB9"/>
    <w:rsid w:val="003F7096"/>
    <w:rsid w:val="00403F5C"/>
    <w:rsid w:val="00404620"/>
    <w:rsid w:val="004051A9"/>
    <w:rsid w:val="004053CC"/>
    <w:rsid w:val="00411519"/>
    <w:rsid w:val="00413AE8"/>
    <w:rsid w:val="00415951"/>
    <w:rsid w:val="004173EA"/>
    <w:rsid w:val="00417927"/>
    <w:rsid w:val="00420668"/>
    <w:rsid w:val="004243A2"/>
    <w:rsid w:val="004252F2"/>
    <w:rsid w:val="00426100"/>
    <w:rsid w:val="00434234"/>
    <w:rsid w:val="00437E6F"/>
    <w:rsid w:val="00445175"/>
    <w:rsid w:val="00447C97"/>
    <w:rsid w:val="00447DE7"/>
    <w:rsid w:val="00453F39"/>
    <w:rsid w:val="00454B2E"/>
    <w:rsid w:val="00457421"/>
    <w:rsid w:val="0046082D"/>
    <w:rsid w:val="0046186E"/>
    <w:rsid w:val="00461FAB"/>
    <w:rsid w:val="00465846"/>
    <w:rsid w:val="0046770E"/>
    <w:rsid w:val="00467912"/>
    <w:rsid w:val="00473DBF"/>
    <w:rsid w:val="004742E7"/>
    <w:rsid w:val="00476150"/>
    <w:rsid w:val="00476358"/>
    <w:rsid w:val="00483A0F"/>
    <w:rsid w:val="004851CE"/>
    <w:rsid w:val="004935C4"/>
    <w:rsid w:val="004A0672"/>
    <w:rsid w:val="004A1B6A"/>
    <w:rsid w:val="004A29A7"/>
    <w:rsid w:val="004A39A5"/>
    <w:rsid w:val="004B0B4C"/>
    <w:rsid w:val="004B41A6"/>
    <w:rsid w:val="004B5459"/>
    <w:rsid w:val="004B5F1C"/>
    <w:rsid w:val="004B7005"/>
    <w:rsid w:val="004B7400"/>
    <w:rsid w:val="004C0748"/>
    <w:rsid w:val="004C1A60"/>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485"/>
    <w:rsid w:val="00511D32"/>
    <w:rsid w:val="0051204E"/>
    <w:rsid w:val="0051287F"/>
    <w:rsid w:val="00514998"/>
    <w:rsid w:val="0052113C"/>
    <w:rsid w:val="00523EAD"/>
    <w:rsid w:val="00524E38"/>
    <w:rsid w:val="005308EF"/>
    <w:rsid w:val="00530B1F"/>
    <w:rsid w:val="00533D25"/>
    <w:rsid w:val="005348A9"/>
    <w:rsid w:val="00536417"/>
    <w:rsid w:val="00554A0F"/>
    <w:rsid w:val="00555FE0"/>
    <w:rsid w:val="00563CCD"/>
    <w:rsid w:val="0057687B"/>
    <w:rsid w:val="00577714"/>
    <w:rsid w:val="00580358"/>
    <w:rsid w:val="00580E05"/>
    <w:rsid w:val="005946D7"/>
    <w:rsid w:val="005963A4"/>
    <w:rsid w:val="00596871"/>
    <w:rsid w:val="005A0412"/>
    <w:rsid w:val="005A39E7"/>
    <w:rsid w:val="005A3A15"/>
    <w:rsid w:val="005A3BAE"/>
    <w:rsid w:val="005A4C2A"/>
    <w:rsid w:val="005A7F23"/>
    <w:rsid w:val="005B038C"/>
    <w:rsid w:val="005B2CBB"/>
    <w:rsid w:val="005B2EEF"/>
    <w:rsid w:val="005B7258"/>
    <w:rsid w:val="005C77E6"/>
    <w:rsid w:val="005D062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1B13"/>
    <w:rsid w:val="00601EA4"/>
    <w:rsid w:val="006072B2"/>
    <w:rsid w:val="00607C4B"/>
    <w:rsid w:val="00610EDC"/>
    <w:rsid w:val="00611265"/>
    <w:rsid w:val="00614130"/>
    <w:rsid w:val="006144F9"/>
    <w:rsid w:val="00616642"/>
    <w:rsid w:val="00616A5A"/>
    <w:rsid w:val="00617AA1"/>
    <w:rsid w:val="006216F0"/>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5AAD"/>
    <w:rsid w:val="0066625D"/>
    <w:rsid w:val="00671872"/>
    <w:rsid w:val="006746D5"/>
    <w:rsid w:val="00690289"/>
    <w:rsid w:val="0069191F"/>
    <w:rsid w:val="00691AAD"/>
    <w:rsid w:val="00697A08"/>
    <w:rsid w:val="006A35D3"/>
    <w:rsid w:val="006A3807"/>
    <w:rsid w:val="006A4F5F"/>
    <w:rsid w:val="006A6687"/>
    <w:rsid w:val="006A718E"/>
    <w:rsid w:val="006B079A"/>
    <w:rsid w:val="006B1277"/>
    <w:rsid w:val="006B2DF6"/>
    <w:rsid w:val="006B4991"/>
    <w:rsid w:val="006B54CB"/>
    <w:rsid w:val="006B6F97"/>
    <w:rsid w:val="006B7400"/>
    <w:rsid w:val="006B76F7"/>
    <w:rsid w:val="006C0987"/>
    <w:rsid w:val="006C336D"/>
    <w:rsid w:val="006C5540"/>
    <w:rsid w:val="006C58F0"/>
    <w:rsid w:val="006D58D2"/>
    <w:rsid w:val="006E3F71"/>
    <w:rsid w:val="006E4100"/>
    <w:rsid w:val="006E462A"/>
    <w:rsid w:val="006E4D01"/>
    <w:rsid w:val="006E6F1A"/>
    <w:rsid w:val="006F0FC4"/>
    <w:rsid w:val="00705DD8"/>
    <w:rsid w:val="007070A8"/>
    <w:rsid w:val="00713E08"/>
    <w:rsid w:val="00721ECA"/>
    <w:rsid w:val="007241C8"/>
    <w:rsid w:val="00734FE1"/>
    <w:rsid w:val="00736E1D"/>
    <w:rsid w:val="00741212"/>
    <w:rsid w:val="0074570F"/>
    <w:rsid w:val="00745DAF"/>
    <w:rsid w:val="00746AE7"/>
    <w:rsid w:val="00747AFB"/>
    <w:rsid w:val="00750647"/>
    <w:rsid w:val="00754D53"/>
    <w:rsid w:val="007575F2"/>
    <w:rsid w:val="00757855"/>
    <w:rsid w:val="0077022B"/>
    <w:rsid w:val="00781EAD"/>
    <w:rsid w:val="00786746"/>
    <w:rsid w:val="00786963"/>
    <w:rsid w:val="007933DA"/>
    <w:rsid w:val="00796228"/>
    <w:rsid w:val="00796BCF"/>
    <w:rsid w:val="007A25EF"/>
    <w:rsid w:val="007A4F2F"/>
    <w:rsid w:val="007A61CF"/>
    <w:rsid w:val="007B0ECF"/>
    <w:rsid w:val="007B4CD9"/>
    <w:rsid w:val="007C083D"/>
    <w:rsid w:val="007C0910"/>
    <w:rsid w:val="007C1CC7"/>
    <w:rsid w:val="007C2D9D"/>
    <w:rsid w:val="007C545F"/>
    <w:rsid w:val="007C7D14"/>
    <w:rsid w:val="007D2A4D"/>
    <w:rsid w:val="007D3752"/>
    <w:rsid w:val="007D5974"/>
    <w:rsid w:val="007F2305"/>
    <w:rsid w:val="007F2568"/>
    <w:rsid w:val="00804172"/>
    <w:rsid w:val="0080624C"/>
    <w:rsid w:val="00811EF7"/>
    <w:rsid w:val="0081446E"/>
    <w:rsid w:val="00821046"/>
    <w:rsid w:val="00823100"/>
    <w:rsid w:val="008239EA"/>
    <w:rsid w:val="008272CD"/>
    <w:rsid w:val="00833446"/>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676D"/>
    <w:rsid w:val="00897D2E"/>
    <w:rsid w:val="008A124F"/>
    <w:rsid w:val="008A24D1"/>
    <w:rsid w:val="008A5BFF"/>
    <w:rsid w:val="008A5C9E"/>
    <w:rsid w:val="008A5F24"/>
    <w:rsid w:val="008A6AB4"/>
    <w:rsid w:val="008B0DDE"/>
    <w:rsid w:val="008B261E"/>
    <w:rsid w:val="008B4CA0"/>
    <w:rsid w:val="008C1D25"/>
    <w:rsid w:val="008C3B9B"/>
    <w:rsid w:val="008C4B3C"/>
    <w:rsid w:val="008C7754"/>
    <w:rsid w:val="008D0522"/>
    <w:rsid w:val="008D0E33"/>
    <w:rsid w:val="008D109B"/>
    <w:rsid w:val="008D1470"/>
    <w:rsid w:val="008D331A"/>
    <w:rsid w:val="008D3B54"/>
    <w:rsid w:val="008D79C1"/>
    <w:rsid w:val="008E53D0"/>
    <w:rsid w:val="008F0331"/>
    <w:rsid w:val="008F2775"/>
    <w:rsid w:val="008F7205"/>
    <w:rsid w:val="00904D15"/>
    <w:rsid w:val="00905C13"/>
    <w:rsid w:val="00906353"/>
    <w:rsid w:val="009116AC"/>
    <w:rsid w:val="009207C8"/>
    <w:rsid w:val="00921CF5"/>
    <w:rsid w:val="00921E02"/>
    <w:rsid w:val="0092224F"/>
    <w:rsid w:val="009244B6"/>
    <w:rsid w:val="0092591E"/>
    <w:rsid w:val="00937BC4"/>
    <w:rsid w:val="009453C1"/>
    <w:rsid w:val="00946FE0"/>
    <w:rsid w:val="00947BCF"/>
    <w:rsid w:val="00950D95"/>
    <w:rsid w:val="0095603D"/>
    <w:rsid w:val="0095642C"/>
    <w:rsid w:val="009605ED"/>
    <w:rsid w:val="00962E09"/>
    <w:rsid w:val="00963318"/>
    <w:rsid w:val="00964C8A"/>
    <w:rsid w:val="00965A46"/>
    <w:rsid w:val="00970555"/>
    <w:rsid w:val="0097220F"/>
    <w:rsid w:val="009802A2"/>
    <w:rsid w:val="009823D2"/>
    <w:rsid w:val="009824F1"/>
    <w:rsid w:val="00987EF8"/>
    <w:rsid w:val="00990ECB"/>
    <w:rsid w:val="00991688"/>
    <w:rsid w:val="00993F29"/>
    <w:rsid w:val="00994A8D"/>
    <w:rsid w:val="009955F0"/>
    <w:rsid w:val="009A0DF1"/>
    <w:rsid w:val="009A1C61"/>
    <w:rsid w:val="009A6B81"/>
    <w:rsid w:val="009B3B2C"/>
    <w:rsid w:val="009B4BBA"/>
    <w:rsid w:val="009B56A4"/>
    <w:rsid w:val="009C010F"/>
    <w:rsid w:val="009C0BF9"/>
    <w:rsid w:val="009C3A17"/>
    <w:rsid w:val="009C5366"/>
    <w:rsid w:val="009D7829"/>
    <w:rsid w:val="009E21FF"/>
    <w:rsid w:val="009E2EDB"/>
    <w:rsid w:val="009E502E"/>
    <w:rsid w:val="009E78C7"/>
    <w:rsid w:val="009F0745"/>
    <w:rsid w:val="009F249F"/>
    <w:rsid w:val="009F32EE"/>
    <w:rsid w:val="009F35C6"/>
    <w:rsid w:val="009F3F08"/>
    <w:rsid w:val="009F5BFB"/>
    <w:rsid w:val="009F740F"/>
    <w:rsid w:val="00A00BCC"/>
    <w:rsid w:val="00A012DE"/>
    <w:rsid w:val="00A04FDF"/>
    <w:rsid w:val="00A0561C"/>
    <w:rsid w:val="00A104B8"/>
    <w:rsid w:val="00A12205"/>
    <w:rsid w:val="00A127E5"/>
    <w:rsid w:val="00A169A8"/>
    <w:rsid w:val="00A21B04"/>
    <w:rsid w:val="00A23C18"/>
    <w:rsid w:val="00A33953"/>
    <w:rsid w:val="00A34857"/>
    <w:rsid w:val="00A41050"/>
    <w:rsid w:val="00A459F9"/>
    <w:rsid w:val="00A45ACA"/>
    <w:rsid w:val="00A469BB"/>
    <w:rsid w:val="00A56A0A"/>
    <w:rsid w:val="00A56CFB"/>
    <w:rsid w:val="00A575CA"/>
    <w:rsid w:val="00A57825"/>
    <w:rsid w:val="00A71758"/>
    <w:rsid w:val="00A722AF"/>
    <w:rsid w:val="00A72A79"/>
    <w:rsid w:val="00A74F29"/>
    <w:rsid w:val="00A76546"/>
    <w:rsid w:val="00A81454"/>
    <w:rsid w:val="00A82414"/>
    <w:rsid w:val="00A87045"/>
    <w:rsid w:val="00A9398B"/>
    <w:rsid w:val="00A9578E"/>
    <w:rsid w:val="00A95A39"/>
    <w:rsid w:val="00A95ADC"/>
    <w:rsid w:val="00A96098"/>
    <w:rsid w:val="00A96370"/>
    <w:rsid w:val="00A97109"/>
    <w:rsid w:val="00AA1989"/>
    <w:rsid w:val="00AA1C15"/>
    <w:rsid w:val="00AA242A"/>
    <w:rsid w:val="00AA3FA9"/>
    <w:rsid w:val="00AA4032"/>
    <w:rsid w:val="00AA493D"/>
    <w:rsid w:val="00AA7696"/>
    <w:rsid w:val="00AB1099"/>
    <w:rsid w:val="00AB68BC"/>
    <w:rsid w:val="00AB7F39"/>
    <w:rsid w:val="00AC1AF4"/>
    <w:rsid w:val="00AC1C3A"/>
    <w:rsid w:val="00AC46DD"/>
    <w:rsid w:val="00AC4F29"/>
    <w:rsid w:val="00AC6525"/>
    <w:rsid w:val="00AC7880"/>
    <w:rsid w:val="00AD1DDD"/>
    <w:rsid w:val="00AD1EBF"/>
    <w:rsid w:val="00AD4262"/>
    <w:rsid w:val="00AD60E8"/>
    <w:rsid w:val="00AE37F0"/>
    <w:rsid w:val="00AE66FD"/>
    <w:rsid w:val="00AE75F5"/>
    <w:rsid w:val="00AF30CA"/>
    <w:rsid w:val="00AF40D0"/>
    <w:rsid w:val="00AF49F2"/>
    <w:rsid w:val="00AF7ADC"/>
    <w:rsid w:val="00B019E0"/>
    <w:rsid w:val="00B01A31"/>
    <w:rsid w:val="00B0610E"/>
    <w:rsid w:val="00B06BAC"/>
    <w:rsid w:val="00B077AD"/>
    <w:rsid w:val="00B10AAE"/>
    <w:rsid w:val="00B11E05"/>
    <w:rsid w:val="00B1211A"/>
    <w:rsid w:val="00B131E7"/>
    <w:rsid w:val="00B16260"/>
    <w:rsid w:val="00B16785"/>
    <w:rsid w:val="00B228FE"/>
    <w:rsid w:val="00B35EF3"/>
    <w:rsid w:val="00B409CB"/>
    <w:rsid w:val="00B40AC7"/>
    <w:rsid w:val="00B4222B"/>
    <w:rsid w:val="00B44699"/>
    <w:rsid w:val="00B44FE8"/>
    <w:rsid w:val="00B47BA0"/>
    <w:rsid w:val="00B50B2D"/>
    <w:rsid w:val="00B53000"/>
    <w:rsid w:val="00B53020"/>
    <w:rsid w:val="00B53911"/>
    <w:rsid w:val="00B5486C"/>
    <w:rsid w:val="00B62E69"/>
    <w:rsid w:val="00B64C4C"/>
    <w:rsid w:val="00B7283A"/>
    <w:rsid w:val="00B733D7"/>
    <w:rsid w:val="00B738FB"/>
    <w:rsid w:val="00B76519"/>
    <w:rsid w:val="00B77DD4"/>
    <w:rsid w:val="00B80355"/>
    <w:rsid w:val="00B922C1"/>
    <w:rsid w:val="00B949A2"/>
    <w:rsid w:val="00B97469"/>
    <w:rsid w:val="00BA026F"/>
    <w:rsid w:val="00BB0038"/>
    <w:rsid w:val="00BB371C"/>
    <w:rsid w:val="00BB54F9"/>
    <w:rsid w:val="00BB55DA"/>
    <w:rsid w:val="00BC0563"/>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63AB"/>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6EE8"/>
    <w:rsid w:val="00C616C5"/>
    <w:rsid w:val="00C636B6"/>
    <w:rsid w:val="00C672B5"/>
    <w:rsid w:val="00C7096B"/>
    <w:rsid w:val="00C7517C"/>
    <w:rsid w:val="00C7582F"/>
    <w:rsid w:val="00C75D92"/>
    <w:rsid w:val="00C76511"/>
    <w:rsid w:val="00C842D1"/>
    <w:rsid w:val="00C85C75"/>
    <w:rsid w:val="00C87A9A"/>
    <w:rsid w:val="00C94633"/>
    <w:rsid w:val="00C95338"/>
    <w:rsid w:val="00C9774E"/>
    <w:rsid w:val="00CA0BE6"/>
    <w:rsid w:val="00CA15BD"/>
    <w:rsid w:val="00CA18AF"/>
    <w:rsid w:val="00CA2135"/>
    <w:rsid w:val="00CA6D1D"/>
    <w:rsid w:val="00CB1156"/>
    <w:rsid w:val="00CC1A44"/>
    <w:rsid w:val="00CC28C8"/>
    <w:rsid w:val="00CC4CC1"/>
    <w:rsid w:val="00CC62FF"/>
    <w:rsid w:val="00CC6EB2"/>
    <w:rsid w:val="00CD3DB7"/>
    <w:rsid w:val="00CE00D6"/>
    <w:rsid w:val="00CE28C5"/>
    <w:rsid w:val="00CE4A09"/>
    <w:rsid w:val="00CE61B2"/>
    <w:rsid w:val="00CE6C09"/>
    <w:rsid w:val="00CF24CB"/>
    <w:rsid w:val="00CF5254"/>
    <w:rsid w:val="00D027AD"/>
    <w:rsid w:val="00D02A5E"/>
    <w:rsid w:val="00D033D6"/>
    <w:rsid w:val="00D04275"/>
    <w:rsid w:val="00D07BFC"/>
    <w:rsid w:val="00D16877"/>
    <w:rsid w:val="00D2163E"/>
    <w:rsid w:val="00D21B59"/>
    <w:rsid w:val="00D34BFE"/>
    <w:rsid w:val="00D37EFE"/>
    <w:rsid w:val="00D502DD"/>
    <w:rsid w:val="00D54BD2"/>
    <w:rsid w:val="00D559F4"/>
    <w:rsid w:val="00D61FE4"/>
    <w:rsid w:val="00D6514B"/>
    <w:rsid w:val="00D65217"/>
    <w:rsid w:val="00D71F65"/>
    <w:rsid w:val="00D724A2"/>
    <w:rsid w:val="00D728BF"/>
    <w:rsid w:val="00D731EF"/>
    <w:rsid w:val="00D73D5C"/>
    <w:rsid w:val="00D74E83"/>
    <w:rsid w:val="00D75282"/>
    <w:rsid w:val="00D75534"/>
    <w:rsid w:val="00D81510"/>
    <w:rsid w:val="00D827EB"/>
    <w:rsid w:val="00D8565B"/>
    <w:rsid w:val="00D859E6"/>
    <w:rsid w:val="00D902F6"/>
    <w:rsid w:val="00D9643B"/>
    <w:rsid w:val="00DA0224"/>
    <w:rsid w:val="00DA10A1"/>
    <w:rsid w:val="00DA4EC6"/>
    <w:rsid w:val="00DA64D4"/>
    <w:rsid w:val="00DA7315"/>
    <w:rsid w:val="00DB30EC"/>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5170"/>
    <w:rsid w:val="00DF65D3"/>
    <w:rsid w:val="00E15713"/>
    <w:rsid w:val="00E15DD9"/>
    <w:rsid w:val="00E17607"/>
    <w:rsid w:val="00E229C4"/>
    <w:rsid w:val="00E32FA9"/>
    <w:rsid w:val="00E35121"/>
    <w:rsid w:val="00E366C7"/>
    <w:rsid w:val="00E36781"/>
    <w:rsid w:val="00E41CF0"/>
    <w:rsid w:val="00E42045"/>
    <w:rsid w:val="00E4311B"/>
    <w:rsid w:val="00E467BA"/>
    <w:rsid w:val="00E4752B"/>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7CA6"/>
    <w:rsid w:val="00EC0B3D"/>
    <w:rsid w:val="00EC1570"/>
    <w:rsid w:val="00EC3320"/>
    <w:rsid w:val="00ED3AC3"/>
    <w:rsid w:val="00ED4CC4"/>
    <w:rsid w:val="00ED4E76"/>
    <w:rsid w:val="00ED6307"/>
    <w:rsid w:val="00ED6BDE"/>
    <w:rsid w:val="00ED7FA5"/>
    <w:rsid w:val="00EE1AF2"/>
    <w:rsid w:val="00EE445A"/>
    <w:rsid w:val="00EE503F"/>
    <w:rsid w:val="00EE5414"/>
    <w:rsid w:val="00EF0BF7"/>
    <w:rsid w:val="00EF778C"/>
    <w:rsid w:val="00F00A4C"/>
    <w:rsid w:val="00F02FD2"/>
    <w:rsid w:val="00F03066"/>
    <w:rsid w:val="00F069E9"/>
    <w:rsid w:val="00F10224"/>
    <w:rsid w:val="00F10ADD"/>
    <w:rsid w:val="00F11623"/>
    <w:rsid w:val="00F1162F"/>
    <w:rsid w:val="00F14636"/>
    <w:rsid w:val="00F16AE0"/>
    <w:rsid w:val="00F334C0"/>
    <w:rsid w:val="00F375E2"/>
    <w:rsid w:val="00F522C4"/>
    <w:rsid w:val="00F56FC9"/>
    <w:rsid w:val="00F576BB"/>
    <w:rsid w:val="00F600BD"/>
    <w:rsid w:val="00F61870"/>
    <w:rsid w:val="00F638A7"/>
    <w:rsid w:val="00F6541D"/>
    <w:rsid w:val="00F65BAE"/>
    <w:rsid w:val="00F6767D"/>
    <w:rsid w:val="00F74BA6"/>
    <w:rsid w:val="00F77BA9"/>
    <w:rsid w:val="00F831BD"/>
    <w:rsid w:val="00F86296"/>
    <w:rsid w:val="00F871B6"/>
    <w:rsid w:val="00F92F5F"/>
    <w:rsid w:val="00F93AAF"/>
    <w:rsid w:val="00F94E1E"/>
    <w:rsid w:val="00F97C26"/>
    <w:rsid w:val="00FA15CE"/>
    <w:rsid w:val="00FA4D29"/>
    <w:rsid w:val="00FB0064"/>
    <w:rsid w:val="00FB0B96"/>
    <w:rsid w:val="00FB6B3E"/>
    <w:rsid w:val="00FC5906"/>
    <w:rsid w:val="00FD0152"/>
    <w:rsid w:val="00FD17E6"/>
    <w:rsid w:val="00FD19A5"/>
    <w:rsid w:val="00FD268D"/>
    <w:rsid w:val="00FD3163"/>
    <w:rsid w:val="00FD3832"/>
    <w:rsid w:val="00FD68AF"/>
    <w:rsid w:val="00FE0D35"/>
    <w:rsid w:val="00FE153F"/>
    <w:rsid w:val="00FE5D43"/>
    <w:rsid w:val="00FE7476"/>
    <w:rsid w:val="00FF0451"/>
    <w:rsid w:val="00FF17A3"/>
    <w:rsid w:val="00FF3B64"/>
    <w:rsid w:val="01BB709B"/>
    <w:rsid w:val="01EB1421"/>
    <w:rsid w:val="02683395"/>
    <w:rsid w:val="029972DE"/>
    <w:rsid w:val="038D2C79"/>
    <w:rsid w:val="038F57CD"/>
    <w:rsid w:val="03AA19C7"/>
    <w:rsid w:val="03B74AF0"/>
    <w:rsid w:val="03DE645D"/>
    <w:rsid w:val="04430AA5"/>
    <w:rsid w:val="04B417B8"/>
    <w:rsid w:val="04C05D0D"/>
    <w:rsid w:val="055F5F8F"/>
    <w:rsid w:val="05E1083F"/>
    <w:rsid w:val="05EB6930"/>
    <w:rsid w:val="06071262"/>
    <w:rsid w:val="06D24CA6"/>
    <w:rsid w:val="06FA7189"/>
    <w:rsid w:val="070078AF"/>
    <w:rsid w:val="07C85206"/>
    <w:rsid w:val="07CE7F6A"/>
    <w:rsid w:val="08831E6D"/>
    <w:rsid w:val="08B20E87"/>
    <w:rsid w:val="08F8506B"/>
    <w:rsid w:val="09563133"/>
    <w:rsid w:val="09716552"/>
    <w:rsid w:val="09930DCF"/>
    <w:rsid w:val="0A0A4443"/>
    <w:rsid w:val="0A555DC8"/>
    <w:rsid w:val="0A617182"/>
    <w:rsid w:val="0B1166D4"/>
    <w:rsid w:val="0B1A4AB9"/>
    <w:rsid w:val="0B230F97"/>
    <w:rsid w:val="0C497608"/>
    <w:rsid w:val="0CD833D2"/>
    <w:rsid w:val="0DE1762A"/>
    <w:rsid w:val="0E2D6DD1"/>
    <w:rsid w:val="0E5731F5"/>
    <w:rsid w:val="0EC02526"/>
    <w:rsid w:val="0F8E6491"/>
    <w:rsid w:val="10C679D7"/>
    <w:rsid w:val="10EA6A3A"/>
    <w:rsid w:val="11623ABF"/>
    <w:rsid w:val="11797BE6"/>
    <w:rsid w:val="12223B9B"/>
    <w:rsid w:val="128C0E51"/>
    <w:rsid w:val="13245BF3"/>
    <w:rsid w:val="132F26C0"/>
    <w:rsid w:val="13557F4C"/>
    <w:rsid w:val="13ED13EF"/>
    <w:rsid w:val="146D5FF7"/>
    <w:rsid w:val="147F467C"/>
    <w:rsid w:val="14E16390"/>
    <w:rsid w:val="15994615"/>
    <w:rsid w:val="15CA3584"/>
    <w:rsid w:val="165501C7"/>
    <w:rsid w:val="1669724D"/>
    <w:rsid w:val="16801789"/>
    <w:rsid w:val="175B5274"/>
    <w:rsid w:val="193057B7"/>
    <w:rsid w:val="1DCF1CAD"/>
    <w:rsid w:val="1EAE1A51"/>
    <w:rsid w:val="1FF6360A"/>
    <w:rsid w:val="202662CF"/>
    <w:rsid w:val="20C02E3B"/>
    <w:rsid w:val="20E5353A"/>
    <w:rsid w:val="21300BE1"/>
    <w:rsid w:val="215C6E1C"/>
    <w:rsid w:val="21916B72"/>
    <w:rsid w:val="21AD621F"/>
    <w:rsid w:val="22B4258F"/>
    <w:rsid w:val="22FB3716"/>
    <w:rsid w:val="23AD634E"/>
    <w:rsid w:val="23E54776"/>
    <w:rsid w:val="23F01B5E"/>
    <w:rsid w:val="244B0FB9"/>
    <w:rsid w:val="249F1FCC"/>
    <w:rsid w:val="250840B1"/>
    <w:rsid w:val="2681566A"/>
    <w:rsid w:val="26993A1D"/>
    <w:rsid w:val="269F7E2E"/>
    <w:rsid w:val="26AF0309"/>
    <w:rsid w:val="27CE0267"/>
    <w:rsid w:val="283D005B"/>
    <w:rsid w:val="289F46CC"/>
    <w:rsid w:val="28AF3A48"/>
    <w:rsid w:val="2959300C"/>
    <w:rsid w:val="29C36319"/>
    <w:rsid w:val="2A524AC0"/>
    <w:rsid w:val="2C2C4570"/>
    <w:rsid w:val="2D2B72D6"/>
    <w:rsid w:val="2DAB3E8A"/>
    <w:rsid w:val="2DFB7CF8"/>
    <w:rsid w:val="2E1100C3"/>
    <w:rsid w:val="2F246B5F"/>
    <w:rsid w:val="2F3436B1"/>
    <w:rsid w:val="2F52394D"/>
    <w:rsid w:val="2FE843C0"/>
    <w:rsid w:val="306F1C58"/>
    <w:rsid w:val="308C2EED"/>
    <w:rsid w:val="31070868"/>
    <w:rsid w:val="32125574"/>
    <w:rsid w:val="327B74C9"/>
    <w:rsid w:val="33147AFF"/>
    <w:rsid w:val="33853158"/>
    <w:rsid w:val="33DC02C1"/>
    <w:rsid w:val="346C488F"/>
    <w:rsid w:val="35CA5CF9"/>
    <w:rsid w:val="35D85810"/>
    <w:rsid w:val="365111B7"/>
    <w:rsid w:val="368532F2"/>
    <w:rsid w:val="37A26727"/>
    <w:rsid w:val="37A84496"/>
    <w:rsid w:val="37DA4387"/>
    <w:rsid w:val="39525AEE"/>
    <w:rsid w:val="39C15E10"/>
    <w:rsid w:val="3B373BF0"/>
    <w:rsid w:val="3B3E5006"/>
    <w:rsid w:val="3B586279"/>
    <w:rsid w:val="3B970C5E"/>
    <w:rsid w:val="3BF5424D"/>
    <w:rsid w:val="3CAC0CBC"/>
    <w:rsid w:val="3CE50140"/>
    <w:rsid w:val="3CED456F"/>
    <w:rsid w:val="3D1179C2"/>
    <w:rsid w:val="3DBC6E76"/>
    <w:rsid w:val="3DCE3DD0"/>
    <w:rsid w:val="3DF86F11"/>
    <w:rsid w:val="3E4C593B"/>
    <w:rsid w:val="3E637C3C"/>
    <w:rsid w:val="3EB30628"/>
    <w:rsid w:val="40C32B14"/>
    <w:rsid w:val="41452A05"/>
    <w:rsid w:val="414B7BD9"/>
    <w:rsid w:val="421B1352"/>
    <w:rsid w:val="425126BB"/>
    <w:rsid w:val="42CB665B"/>
    <w:rsid w:val="42F24DC1"/>
    <w:rsid w:val="44036F51"/>
    <w:rsid w:val="44336E6F"/>
    <w:rsid w:val="449B3B70"/>
    <w:rsid w:val="449C1698"/>
    <w:rsid w:val="44C95FCA"/>
    <w:rsid w:val="452C62DB"/>
    <w:rsid w:val="45826DE9"/>
    <w:rsid w:val="45FB587F"/>
    <w:rsid w:val="462F681E"/>
    <w:rsid w:val="46C66632"/>
    <w:rsid w:val="47EF2633"/>
    <w:rsid w:val="48000CA4"/>
    <w:rsid w:val="481171B5"/>
    <w:rsid w:val="482863DE"/>
    <w:rsid w:val="482A565B"/>
    <w:rsid w:val="48C65B68"/>
    <w:rsid w:val="49862F88"/>
    <w:rsid w:val="49E179D3"/>
    <w:rsid w:val="4A012ACA"/>
    <w:rsid w:val="4A3D01D8"/>
    <w:rsid w:val="4A8F60B9"/>
    <w:rsid w:val="4A985E05"/>
    <w:rsid w:val="4B942F9B"/>
    <w:rsid w:val="4BFC1744"/>
    <w:rsid w:val="4C05223E"/>
    <w:rsid w:val="4CBB71D4"/>
    <w:rsid w:val="4CC20504"/>
    <w:rsid w:val="4D335D46"/>
    <w:rsid w:val="4D692582"/>
    <w:rsid w:val="4E066114"/>
    <w:rsid w:val="4E477264"/>
    <w:rsid w:val="4F82784F"/>
    <w:rsid w:val="503B5814"/>
    <w:rsid w:val="507D52C1"/>
    <w:rsid w:val="50E7373C"/>
    <w:rsid w:val="51025ACF"/>
    <w:rsid w:val="51C06615"/>
    <w:rsid w:val="52E12CD1"/>
    <w:rsid w:val="536415F1"/>
    <w:rsid w:val="53746902"/>
    <w:rsid w:val="544A2F78"/>
    <w:rsid w:val="54944520"/>
    <w:rsid w:val="55085C3D"/>
    <w:rsid w:val="55253541"/>
    <w:rsid w:val="55381293"/>
    <w:rsid w:val="558F06D4"/>
    <w:rsid w:val="55AB6EFA"/>
    <w:rsid w:val="55BA7C2C"/>
    <w:rsid w:val="55E81647"/>
    <w:rsid w:val="56364920"/>
    <w:rsid w:val="56D174FF"/>
    <w:rsid w:val="57164958"/>
    <w:rsid w:val="584F1732"/>
    <w:rsid w:val="59893690"/>
    <w:rsid w:val="59F4713C"/>
    <w:rsid w:val="5BDE3891"/>
    <w:rsid w:val="5CF9463A"/>
    <w:rsid w:val="5F5C11C0"/>
    <w:rsid w:val="5FBF30CA"/>
    <w:rsid w:val="5FCD01EE"/>
    <w:rsid w:val="601B7A0C"/>
    <w:rsid w:val="603132DE"/>
    <w:rsid w:val="60D878CF"/>
    <w:rsid w:val="616C1701"/>
    <w:rsid w:val="61D76440"/>
    <w:rsid w:val="626A37A7"/>
    <w:rsid w:val="62734F95"/>
    <w:rsid w:val="62F8125D"/>
    <w:rsid w:val="640E1A5D"/>
    <w:rsid w:val="64A518E4"/>
    <w:rsid w:val="65BA7EE1"/>
    <w:rsid w:val="66380011"/>
    <w:rsid w:val="67392E82"/>
    <w:rsid w:val="67B25079"/>
    <w:rsid w:val="67D75C3C"/>
    <w:rsid w:val="67ED50B4"/>
    <w:rsid w:val="687E1002"/>
    <w:rsid w:val="692D7E27"/>
    <w:rsid w:val="693550E1"/>
    <w:rsid w:val="69784A22"/>
    <w:rsid w:val="697945C1"/>
    <w:rsid w:val="69977CE2"/>
    <w:rsid w:val="6A7D0C97"/>
    <w:rsid w:val="6ADE1D94"/>
    <w:rsid w:val="6BCF0CA1"/>
    <w:rsid w:val="6BFF4848"/>
    <w:rsid w:val="6C2072E6"/>
    <w:rsid w:val="6CD52D3E"/>
    <w:rsid w:val="6D105FA2"/>
    <w:rsid w:val="6D57262D"/>
    <w:rsid w:val="6DA03CFA"/>
    <w:rsid w:val="6E7532FC"/>
    <w:rsid w:val="6F2C2D85"/>
    <w:rsid w:val="6FC11C94"/>
    <w:rsid w:val="70197FD7"/>
    <w:rsid w:val="70E058EA"/>
    <w:rsid w:val="71954671"/>
    <w:rsid w:val="71E70E5B"/>
    <w:rsid w:val="725A352D"/>
    <w:rsid w:val="72997548"/>
    <w:rsid w:val="73352EAF"/>
    <w:rsid w:val="74507187"/>
    <w:rsid w:val="745C561E"/>
    <w:rsid w:val="745D03BD"/>
    <w:rsid w:val="75473782"/>
    <w:rsid w:val="75493809"/>
    <w:rsid w:val="764D51C5"/>
    <w:rsid w:val="772C4780"/>
    <w:rsid w:val="77476B2A"/>
    <w:rsid w:val="776124F3"/>
    <w:rsid w:val="77F55219"/>
    <w:rsid w:val="78B54D8B"/>
    <w:rsid w:val="79023D50"/>
    <w:rsid w:val="7B0074E6"/>
    <w:rsid w:val="7B256E54"/>
    <w:rsid w:val="7B3D5FC0"/>
    <w:rsid w:val="7B5363E1"/>
    <w:rsid w:val="7BE65DC2"/>
    <w:rsid w:val="7C0F455C"/>
    <w:rsid w:val="7CA601FE"/>
    <w:rsid w:val="7E5C1CCC"/>
    <w:rsid w:val="7FD75EEF"/>
    <w:rsid w:val="7FF2452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qFormat="1" w:uiPriority="99" w:name="HTML Acronym" w:locked="1"/>
    <w:lsdException w:uiPriority="99" w:name="HTML Address" w:locked="1"/>
    <w:lsdException w:qFormat="1" w:uiPriority="99" w:name="HTML Cite" w:locked="1"/>
    <w:lsdException w:qFormat="1" w:uiPriority="99" w:name="HTML Code" w:locked="1"/>
    <w:lsdException w:qFormat="1" w:uiPriority="99" w:name="HTML Definition" w:locked="1"/>
    <w:lsdException w:qFormat="1" w:uiPriority="99" w:name="HTML Keyboard" w:locked="1"/>
    <w:lsdException w:uiPriority="99" w:name="HTML Preformatted" w:locked="1"/>
    <w:lsdException w:qFormat="1" w:uiPriority="99" w:name="HTML Sample" w:locked="1"/>
    <w:lsdException w:qFormat="1" w:uiPriority="99" w:name="HTML Typewriter" w:locked="1"/>
    <w:lsdException w:qFormat="1"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nhideWhenUsed="0" w:uiPriority="99" w:semiHidden="0"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34"/>
    <w:qFormat/>
    <w:uiPriority w:val="99"/>
    <w:rPr>
      <w:rFonts w:ascii="宋体" w:hAnsi="Courier New"/>
      <w:sz w:val="32"/>
      <w:szCs w:val="20"/>
    </w:rPr>
  </w:style>
  <w:style w:type="paragraph" w:styleId="5">
    <w:name w:val="Balloon Text"/>
    <w:basedOn w:val="1"/>
    <w:link w:val="28"/>
    <w:qFormat/>
    <w:uiPriority w:val="99"/>
    <w:rPr>
      <w:sz w:val="18"/>
      <w:szCs w:val="18"/>
    </w:rPr>
  </w:style>
  <w:style w:type="paragraph" w:styleId="6">
    <w:name w:val="footer"/>
    <w:basedOn w:val="1"/>
    <w:link w:val="29"/>
    <w:qFormat/>
    <w:uiPriority w:val="99"/>
    <w:pPr>
      <w:tabs>
        <w:tab w:val="center" w:pos="4153"/>
        <w:tab w:val="right" w:pos="8306"/>
      </w:tabs>
      <w:snapToGrid w:val="0"/>
      <w:jc w:val="left"/>
    </w:pPr>
    <w:rPr>
      <w:sz w:val="18"/>
      <w:szCs w:val="18"/>
    </w:rPr>
  </w:style>
  <w:style w:type="paragraph" w:styleId="7">
    <w:name w:val="header"/>
    <w:basedOn w:val="1"/>
    <w:link w:val="30"/>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31"/>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32"/>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HTML Definition"/>
    <w:basedOn w:val="14"/>
    <w:semiHidden/>
    <w:unhideWhenUsed/>
    <w:qFormat/>
    <w:locked/>
    <w:uiPriority w:val="99"/>
  </w:style>
  <w:style w:type="character" w:styleId="18">
    <w:name w:val="HTML Typewriter"/>
    <w:basedOn w:val="14"/>
    <w:semiHidden/>
    <w:unhideWhenUsed/>
    <w:qFormat/>
    <w:locked/>
    <w:uiPriority w:val="99"/>
    <w:rPr>
      <w:rFonts w:hint="default" w:ascii="monospace" w:hAnsi="monospace" w:eastAsia="monospace" w:cs="monospace"/>
      <w:sz w:val="20"/>
    </w:rPr>
  </w:style>
  <w:style w:type="character" w:styleId="19">
    <w:name w:val="HTML Acronym"/>
    <w:basedOn w:val="14"/>
    <w:semiHidden/>
    <w:unhideWhenUsed/>
    <w:qFormat/>
    <w:locked/>
    <w:uiPriority w:val="99"/>
  </w:style>
  <w:style w:type="character" w:styleId="20">
    <w:name w:val="HTML Variable"/>
    <w:basedOn w:val="14"/>
    <w:semiHidden/>
    <w:unhideWhenUsed/>
    <w:qFormat/>
    <w:locked/>
    <w:uiPriority w:val="99"/>
  </w:style>
  <w:style w:type="character" w:styleId="21">
    <w:name w:val="Hyperlink"/>
    <w:qFormat/>
    <w:uiPriority w:val="99"/>
    <w:rPr>
      <w:rFonts w:cs="Times New Roman"/>
      <w:color w:val="0000FF"/>
      <w:u w:val="single"/>
    </w:rPr>
  </w:style>
  <w:style w:type="character" w:styleId="22">
    <w:name w:val="HTML Code"/>
    <w:basedOn w:val="14"/>
    <w:semiHidden/>
    <w:unhideWhenUsed/>
    <w:qFormat/>
    <w:locked/>
    <w:uiPriority w:val="99"/>
    <w:rPr>
      <w:rFonts w:ascii="monospace" w:hAnsi="monospace" w:eastAsia="monospace" w:cs="monospace"/>
      <w:sz w:val="20"/>
    </w:rPr>
  </w:style>
  <w:style w:type="character" w:styleId="23">
    <w:name w:val="HTML Cite"/>
    <w:basedOn w:val="14"/>
    <w:semiHidden/>
    <w:unhideWhenUsed/>
    <w:qFormat/>
    <w:locked/>
    <w:uiPriority w:val="99"/>
  </w:style>
  <w:style w:type="character" w:styleId="24">
    <w:name w:val="HTML Keyboard"/>
    <w:basedOn w:val="14"/>
    <w:semiHidden/>
    <w:unhideWhenUsed/>
    <w:qFormat/>
    <w:locked/>
    <w:uiPriority w:val="99"/>
    <w:rPr>
      <w:rFonts w:hint="default" w:ascii="monospace" w:hAnsi="monospace" w:eastAsia="monospace" w:cs="monospace"/>
      <w:sz w:val="20"/>
    </w:rPr>
  </w:style>
  <w:style w:type="character" w:styleId="25">
    <w:name w:val="HTML Sample"/>
    <w:basedOn w:val="14"/>
    <w:semiHidden/>
    <w:unhideWhenUsed/>
    <w:qFormat/>
    <w:locked/>
    <w:uiPriority w:val="99"/>
    <w:rPr>
      <w:rFonts w:hint="default" w:ascii="monospace" w:hAnsi="monospace" w:eastAsia="monospace" w:cs="monospace"/>
    </w:rPr>
  </w:style>
  <w:style w:type="character" w:customStyle="1" w:styleId="26">
    <w:name w:val="标题 1 Char"/>
    <w:link w:val="2"/>
    <w:qFormat/>
    <w:locked/>
    <w:uiPriority w:val="99"/>
    <w:rPr>
      <w:rFonts w:eastAsia="华文中宋" w:cs="Times New Roman"/>
      <w:b/>
      <w:bCs/>
      <w:kern w:val="44"/>
      <w:sz w:val="44"/>
      <w:szCs w:val="44"/>
    </w:rPr>
  </w:style>
  <w:style w:type="character" w:customStyle="1" w:styleId="27">
    <w:name w:val="Plain Text Char"/>
    <w:qFormat/>
    <w:locked/>
    <w:uiPriority w:val="99"/>
    <w:rPr>
      <w:rFonts w:ascii="宋体" w:hAnsi="Courier New" w:cs="Times New Roman"/>
      <w:kern w:val="2"/>
      <w:sz w:val="32"/>
    </w:rPr>
  </w:style>
  <w:style w:type="character" w:customStyle="1" w:styleId="28">
    <w:name w:val="批注框文本 Char"/>
    <w:link w:val="5"/>
    <w:qFormat/>
    <w:locked/>
    <w:uiPriority w:val="99"/>
    <w:rPr>
      <w:rFonts w:cs="Times New Roman"/>
      <w:kern w:val="2"/>
      <w:sz w:val="18"/>
      <w:szCs w:val="18"/>
    </w:rPr>
  </w:style>
  <w:style w:type="character" w:customStyle="1" w:styleId="29">
    <w:name w:val="页脚 Char"/>
    <w:link w:val="6"/>
    <w:qFormat/>
    <w:locked/>
    <w:uiPriority w:val="99"/>
    <w:rPr>
      <w:rFonts w:eastAsia="宋体" w:cs="Times New Roman"/>
      <w:kern w:val="2"/>
      <w:sz w:val="18"/>
      <w:lang w:val="en-US" w:eastAsia="zh-CN"/>
    </w:rPr>
  </w:style>
  <w:style w:type="character" w:customStyle="1" w:styleId="30">
    <w:name w:val="页眉 Char"/>
    <w:link w:val="7"/>
    <w:qFormat/>
    <w:locked/>
    <w:uiPriority w:val="99"/>
    <w:rPr>
      <w:rFonts w:eastAsia="宋体" w:cs="Times New Roman"/>
      <w:kern w:val="2"/>
      <w:sz w:val="18"/>
      <w:lang w:val="en-US" w:eastAsia="zh-CN"/>
    </w:rPr>
  </w:style>
  <w:style w:type="character" w:customStyle="1" w:styleId="31">
    <w:name w:val="副标题 Char"/>
    <w:link w:val="9"/>
    <w:qFormat/>
    <w:locked/>
    <w:uiPriority w:val="99"/>
    <w:rPr>
      <w:rFonts w:ascii="Calibri" w:hAnsi="Calibri" w:eastAsia="宋体" w:cs="Times New Roman"/>
      <w:b/>
      <w:bCs/>
      <w:kern w:val="28"/>
      <w:sz w:val="32"/>
      <w:szCs w:val="32"/>
    </w:rPr>
  </w:style>
  <w:style w:type="character" w:customStyle="1" w:styleId="32">
    <w:name w:val="标题 Char"/>
    <w:link w:val="12"/>
    <w:qFormat/>
    <w:locked/>
    <w:uiPriority w:val="99"/>
    <w:rPr>
      <w:rFonts w:ascii="Cambria" w:hAnsi="Cambria" w:eastAsia="华文中宋" w:cs="Times New Roman"/>
      <w:b/>
      <w:bCs/>
      <w:kern w:val="2"/>
      <w:sz w:val="32"/>
      <w:szCs w:val="32"/>
    </w:rPr>
  </w:style>
  <w:style w:type="paragraph" w:customStyle="1" w:styleId="33">
    <w:name w:val="p0"/>
    <w:basedOn w:val="1"/>
    <w:qFormat/>
    <w:uiPriority w:val="99"/>
    <w:pPr>
      <w:widowControl/>
      <w:spacing w:line="365" w:lineRule="atLeast"/>
      <w:ind w:left="1"/>
    </w:pPr>
    <w:rPr>
      <w:kern w:val="0"/>
      <w:sz w:val="20"/>
      <w:szCs w:val="20"/>
    </w:rPr>
  </w:style>
  <w:style w:type="character" w:customStyle="1" w:styleId="34">
    <w:name w:val="纯文本 Char"/>
    <w:link w:val="4"/>
    <w:semiHidden/>
    <w:qFormat/>
    <w:locked/>
    <w:uiPriority w:val="99"/>
    <w:rPr>
      <w:rFonts w:ascii="宋体" w:hAnsi="Courier New" w:cs="Courier New"/>
      <w:sz w:val="21"/>
      <w:szCs w:val="21"/>
    </w:rPr>
  </w:style>
  <w:style w:type="character" w:customStyle="1" w:styleId="35">
    <w:name w:val="纯文本 Char1"/>
    <w:qFormat/>
    <w:uiPriority w:val="99"/>
    <w:rPr>
      <w:rFonts w:ascii="宋体" w:hAnsi="Courier New" w:cs="Courier New"/>
      <w:kern w:val="2"/>
      <w:sz w:val="21"/>
      <w:szCs w:val="21"/>
    </w:rPr>
  </w:style>
  <w:style w:type="paragraph" w:customStyle="1" w:styleId="36">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7">
    <w:name w:val="List Paragraph"/>
    <w:basedOn w:val="1"/>
    <w:qFormat/>
    <w:uiPriority w:val="99"/>
    <w:pPr>
      <w:ind w:firstLine="420" w:firstLineChars="200"/>
    </w:pPr>
  </w:style>
  <w:style w:type="paragraph" w:customStyle="1" w:styleId="38">
    <w:name w:val="Body text|1"/>
    <w:basedOn w:val="1"/>
    <w:qFormat/>
    <w:uiPriority w:val="0"/>
    <w:pPr>
      <w:spacing w:line="410" w:lineRule="auto"/>
      <w:ind w:firstLine="400"/>
    </w:pPr>
    <w:rPr>
      <w:rFonts w:ascii="宋体" w:hAnsi="宋体" w:cs="宋体"/>
      <w:sz w:val="18"/>
      <w:szCs w:val="1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2"/>
    <customShpInfo spid="_x0000_s2051"/>
    <customShpInfo spid="_x0000_s2050"/>
    <customShpInfo spid="_x0000_s2049"/>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1B0889-7ADC-4CC2-A485-417616337658}">
  <ds:schemaRefs/>
</ds:datastoreItem>
</file>

<file path=docProps/app.xml><?xml version="1.0" encoding="utf-8"?>
<Properties xmlns="http://schemas.openxmlformats.org/officeDocument/2006/extended-properties" xmlns:vt="http://schemas.openxmlformats.org/officeDocument/2006/docPropsVTypes">
  <Template>Normal</Template>
  <Company>MSCD龙帝国技术社区 Htpp://Bbs.Mscode.Cc</Company>
  <Pages>47</Pages>
  <Words>2817</Words>
  <Characters>16061</Characters>
  <Lines>133</Lines>
  <Paragraphs>37</Paragraphs>
  <TotalTime>4</TotalTime>
  <ScaleCrop>false</ScaleCrop>
  <LinksUpToDate>false</LinksUpToDate>
  <CharactersWithSpaces>18841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2020-12-30T07:35:00Z</dcterms:created>
  <dc:creator>Administrator</dc:creator>
  <cp:lastModifiedBy>犯傻的海</cp:lastModifiedBy>
  <cp:lastPrinted>2021-08-05T06:33:00Z</cp:lastPrinted>
  <dcterms:modified xsi:type="dcterms:W3CDTF">2021-09-17T09:03:24Z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7744F646B3004B34980C41EAEB958832</vt:lpwstr>
  </property>
</Properties>
</file>