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sz w:val="28"/>
        </w:rPr>
      </w:pPr>
      <w:r>
        <w:rPr>
          <w:rFonts w:eastAsia="黑体"/>
          <w:sz w:val="28"/>
        </w:rPr>
        <w:t>DSTT（P）[2022]1号</w:t>
      </w:r>
      <w:r>
        <w:rPr>
          <w:rFonts w:hint="eastAsia" w:eastAsia="黑体"/>
          <w:sz w:val="28"/>
        </w:rPr>
        <w:t xml:space="preserve"> </w:t>
      </w:r>
      <w:r>
        <w:rPr>
          <w:rFonts w:eastAsia="黑体"/>
          <w:sz w:val="28"/>
        </w:rPr>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rPr>
          <w:color w:val="000000" w:themeColor="text1"/>
          <w:sz w:val="44"/>
        </w:rPr>
      </w:pPr>
    </w:p>
    <w:p>
      <w:pPr>
        <w:ind w:left="260" w:hanging="260" w:hangingChars="50"/>
        <w:jc w:val="center"/>
        <w:rPr>
          <w:rFonts w:eastAsia="方正小标宋简体"/>
          <w:color w:val="000000" w:themeColor="text1"/>
          <w:sz w:val="52"/>
          <w:szCs w:val="52"/>
        </w:rPr>
      </w:pPr>
      <w:r>
        <w:rPr>
          <w:rFonts w:hint="eastAsia" w:eastAsia="方正小标宋简体"/>
          <w:color w:val="000000" w:themeColor="text1"/>
          <w:sz w:val="52"/>
          <w:szCs w:val="52"/>
        </w:rPr>
        <w:t>达州市达钢（老厂）片区B09-01地块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jc w:val="both"/>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32.8pt;margin-top:0.65pt;height:101.55pt;width:362.25pt;z-index:251665408;mso-width-relative:page;mso-height-relative:margin;mso-height-percent:200;" fillcolor="#FFFFFF" filled="t" stroked="t" coordsize="21600,21600">
            <v:path/>
            <v:fill on="t" color2="#FFFFFF" focussize="0,0"/>
            <v:stroke color="#FFFFFF" joinstyle="miter"/>
            <v:imagedata o:title=""/>
            <o:lock v:ext="edit" aspectratio="f"/>
            <v:textbox style="mso-fit-shape-to-text:t;">
              <w:txbxContent>
                <w:p>
                  <w:pPr>
                    <w:jc w:val="distribute"/>
                    <w:rPr>
                      <w:rFonts w:hint="eastAsia" w:ascii="方正小标宋简体" w:eastAsia="方正小标宋简体"/>
                      <w:color w:val="000000"/>
                      <w:sz w:val="48"/>
                      <w:szCs w:val="48"/>
                    </w:rPr>
                  </w:pPr>
                  <w:r>
                    <w:rPr>
                      <w:rFonts w:hint="eastAsia" w:ascii="方正小标宋简体" w:eastAsia="方正小标宋简体"/>
                      <w:color w:val="000000"/>
                      <w:sz w:val="48"/>
                      <w:szCs w:val="48"/>
                    </w:rPr>
                    <w:t>达州市通川区自然资源局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w w:val="100"/>
          <w:sz w:val="44"/>
        </w:rPr>
      </w:pPr>
      <w:r>
        <w:rPr>
          <w:color w:val="000000" w:themeColor="text1"/>
          <w:sz w:val="44"/>
        </w:rPr>
        <w:br w:type="page"/>
      </w:r>
      <w:r>
        <w:rPr>
          <w:rFonts w:eastAsia="黑体"/>
          <w:bCs/>
          <w:color w:val="000000" w:themeColor="text1"/>
          <w:w w:val="100"/>
          <w:sz w:val="44"/>
        </w:rPr>
        <w:t>目录</w:t>
      </w:r>
    </w:p>
    <w:p>
      <w:pPr>
        <w:tabs>
          <w:tab w:val="left" w:leader="middleDot" w:pos="7980"/>
        </w:tabs>
        <w:rPr>
          <w:color w:val="000000" w:themeColor="text1"/>
          <w:w w:val="66"/>
          <w:sz w:val="32"/>
          <w:szCs w:val="32"/>
        </w:rPr>
      </w:pP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60" w:hangingChars="50"/>
        <w:textAlignment w:val="auto"/>
        <w:rPr>
          <w:color w:val="000000" w:themeColor="text1"/>
          <w:w w:val="100"/>
          <w:sz w:val="32"/>
          <w:szCs w:val="32"/>
        </w:rPr>
      </w:pPr>
      <w:r>
        <w:rPr>
          <w:color w:val="000000" w:themeColor="text1"/>
          <w:w w:val="100"/>
          <w:sz w:val="32"/>
          <w:szCs w:val="32"/>
        </w:rPr>
        <w:fldChar w:fldCharType="begin"/>
      </w:r>
      <w:r>
        <w:rPr>
          <w:color w:val="000000" w:themeColor="text1"/>
          <w:w w:val="100"/>
          <w:sz w:val="32"/>
          <w:szCs w:val="32"/>
        </w:rPr>
        <w:instrText xml:space="preserve"> TOC \o "1-1" \h \z \u </w:instrText>
      </w:r>
      <w:r>
        <w:rPr>
          <w:color w:val="000000" w:themeColor="text1"/>
          <w:w w:val="100"/>
          <w:sz w:val="32"/>
          <w:szCs w:val="32"/>
        </w:rPr>
        <w:fldChar w:fldCharType="separate"/>
      </w:r>
      <w:r>
        <w:rPr>
          <w:w w:val="100"/>
        </w:rPr>
        <w:fldChar w:fldCharType="begin"/>
      </w:r>
      <w:r>
        <w:rPr>
          <w:w w:val="100"/>
        </w:rPr>
        <w:instrText xml:space="preserve"> HYPERLINK \l "_Toc3391970" </w:instrText>
      </w:r>
      <w:r>
        <w:rPr>
          <w:w w:val="100"/>
        </w:rPr>
        <w:fldChar w:fldCharType="separate"/>
      </w:r>
      <w:r>
        <w:rPr>
          <w:color w:val="000000" w:themeColor="text1"/>
          <w:w w:val="100"/>
          <w:sz w:val="32"/>
          <w:szCs w:val="32"/>
        </w:rPr>
        <w:t>拍卖出让公告</w:t>
      </w:r>
      <w:r>
        <w:rPr>
          <w:color w:val="000000" w:themeColor="text1"/>
          <w:w w:val="100"/>
          <w:sz w:val="32"/>
          <w:szCs w:val="32"/>
        </w:rPr>
        <w:tab/>
      </w:r>
      <w:r>
        <w:rPr>
          <w:color w:val="000000" w:themeColor="text1"/>
          <w:w w:val="100"/>
          <w:sz w:val="32"/>
          <w:szCs w:val="32"/>
        </w:rPr>
        <w:fldChar w:fldCharType="begin"/>
      </w:r>
      <w:r>
        <w:rPr>
          <w:color w:val="000000" w:themeColor="text1"/>
          <w:w w:val="100"/>
          <w:sz w:val="32"/>
          <w:szCs w:val="32"/>
        </w:rPr>
        <w:instrText xml:space="preserve"> PAGEREF _Toc3391970 \h </w:instrText>
      </w:r>
      <w:r>
        <w:rPr>
          <w:color w:val="000000" w:themeColor="text1"/>
          <w:w w:val="100"/>
          <w:sz w:val="32"/>
          <w:szCs w:val="32"/>
        </w:rPr>
        <w:fldChar w:fldCharType="separate"/>
      </w:r>
      <w:r>
        <w:rPr>
          <w:color w:val="000000" w:themeColor="text1"/>
          <w:w w:val="100"/>
          <w:sz w:val="32"/>
          <w:szCs w:val="32"/>
        </w:rPr>
        <w:t>- 3 -</w:t>
      </w:r>
      <w:r>
        <w:rPr>
          <w:color w:val="000000" w:themeColor="text1"/>
          <w:w w:val="100"/>
          <w:sz w:val="32"/>
          <w:szCs w:val="32"/>
        </w:rPr>
        <w:fldChar w:fldCharType="end"/>
      </w:r>
      <w:r>
        <w:rPr>
          <w:color w:val="000000" w:themeColor="text1"/>
          <w:w w:val="100"/>
          <w:sz w:val="32"/>
          <w:szCs w:val="32"/>
        </w:rPr>
        <w:fldChar w:fldCharType="end"/>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"_Toc3391971" </w:instrText>
      </w:r>
      <w:r>
        <w:rPr>
          <w:w w:val="100"/>
        </w:rPr>
        <w:fldChar w:fldCharType="separate"/>
      </w:r>
      <w:r>
        <w:rPr>
          <w:color w:val="000000" w:themeColor="text1"/>
          <w:w w:val="100"/>
          <w:sz w:val="32"/>
          <w:szCs w:val="32"/>
        </w:rPr>
        <w:t>国有建设用地使用权拍卖出让须知</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6-1</w:t>
      </w:r>
      <w:r>
        <w:rPr>
          <w:rFonts w:hint="eastAsia"/>
          <w:color w:val="000000" w:themeColor="text1"/>
          <w:w w:val="100"/>
          <w:sz w:val="32"/>
          <w:szCs w:val="32"/>
          <w:lang w:val="en-US" w:eastAsia="zh-CN"/>
        </w:rPr>
        <w:t>8</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"_Toc3391972" </w:instrText>
      </w:r>
      <w:r>
        <w:rPr>
          <w:w w:val="100"/>
        </w:rPr>
        <w:fldChar w:fldCharType="separate"/>
      </w:r>
      <w:r>
        <w:rPr>
          <w:color w:val="000000" w:themeColor="text1"/>
          <w:w w:val="100"/>
          <w:sz w:val="32"/>
          <w:szCs w:val="32"/>
        </w:rPr>
        <w:t>地块规划条件相关资料</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1</w:t>
      </w:r>
      <w:r>
        <w:rPr>
          <w:rFonts w:hint="eastAsia"/>
          <w:color w:val="000000" w:themeColor="text1"/>
          <w:w w:val="100"/>
          <w:sz w:val="32"/>
          <w:szCs w:val="32"/>
          <w:lang w:val="en-US" w:eastAsia="zh-CN"/>
        </w:rPr>
        <w:t>9</w:t>
      </w:r>
      <w:r>
        <w:rPr>
          <w:color w:val="000000" w:themeColor="text1"/>
          <w:w w:val="100"/>
          <w:sz w:val="32"/>
          <w:szCs w:val="32"/>
        </w:rPr>
        <w:t>-2</w:t>
      </w:r>
      <w:r>
        <w:rPr>
          <w:rFonts w:hint="eastAsia"/>
          <w:color w:val="000000" w:themeColor="text1"/>
          <w:w w:val="100"/>
          <w:sz w:val="32"/>
          <w:szCs w:val="32"/>
          <w:lang w:val="en-US" w:eastAsia="zh-CN"/>
        </w:rPr>
        <w:t>0</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"_Toc3391973" </w:instrText>
      </w:r>
      <w:r>
        <w:rPr>
          <w:w w:val="100"/>
        </w:rPr>
        <w:fldChar w:fldCharType="separate"/>
      </w:r>
      <w:r>
        <w:rPr>
          <w:color w:val="000000" w:themeColor="text1"/>
          <w:w w:val="100"/>
          <w:sz w:val="32"/>
          <w:szCs w:val="32"/>
        </w:rPr>
        <w:t>用地红线图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"_Toc3391974" </w:instrText>
      </w:r>
      <w:r>
        <w:rPr>
          <w:w w:val="100"/>
        </w:rPr>
        <w:fldChar w:fldCharType="separate"/>
      </w:r>
      <w:r>
        <w:rPr>
          <w:color w:val="000000" w:themeColor="text1"/>
          <w:w w:val="100"/>
          <w:sz w:val="32"/>
          <w:szCs w:val="32"/>
        </w:rPr>
        <w:t>宗地平面界址图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2</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"_Toc3391975" </w:instrText>
      </w:r>
      <w:r>
        <w:rPr>
          <w:w w:val="100"/>
        </w:rPr>
        <w:fldChar w:fldCharType="separate"/>
      </w:r>
      <w:r>
        <w:rPr>
          <w:color w:val="000000" w:themeColor="text1"/>
          <w:w w:val="100"/>
          <w:sz w:val="32"/>
          <w:szCs w:val="32"/>
        </w:rPr>
        <w:t>竞买申请书（样本）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3</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"_Toc3391976" </w:instrText>
      </w:r>
      <w:r>
        <w:rPr>
          <w:w w:val="100"/>
        </w:rPr>
        <w:fldChar w:fldCharType="separate"/>
      </w:r>
      <w:r>
        <w:rPr>
          <w:color w:val="000000" w:themeColor="text1"/>
          <w:w w:val="100"/>
          <w:sz w:val="32"/>
          <w:szCs w:val="32"/>
        </w:rPr>
        <w:t>保证金承诺书（样本）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4</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"_Toc3391977" </w:instrText>
      </w:r>
      <w:r>
        <w:rPr>
          <w:w w:val="100"/>
        </w:rPr>
        <w:fldChar w:fldCharType="separate"/>
      </w:r>
      <w:r>
        <w:rPr>
          <w:color w:val="000000" w:themeColor="text1"/>
          <w:w w:val="100"/>
          <w:sz w:val="32"/>
          <w:szCs w:val="32"/>
        </w:rPr>
        <w:t>法定代表人身份证明书（样本）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5</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"_Toc3391978" </w:instrText>
      </w:r>
      <w:r>
        <w:rPr>
          <w:w w:val="100"/>
        </w:rPr>
        <w:fldChar w:fldCharType="separate"/>
      </w:r>
      <w:r>
        <w:rPr>
          <w:color w:val="000000" w:themeColor="text1"/>
          <w:w w:val="100"/>
          <w:sz w:val="32"/>
          <w:szCs w:val="32"/>
        </w:rPr>
        <w:t>授权委托书（样本）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6</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"_Toc3391979" </w:instrText>
      </w:r>
      <w:r>
        <w:rPr>
          <w:w w:val="100"/>
        </w:rPr>
        <w:fldChar w:fldCharType="separate"/>
      </w:r>
      <w:r>
        <w:rPr>
          <w:color w:val="000000" w:themeColor="text1"/>
          <w:w w:val="100"/>
          <w:sz w:val="32"/>
          <w:szCs w:val="32"/>
        </w:rPr>
        <w:t>成交确认书（样本）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7</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"_Toc3391980" </w:instrText>
      </w:r>
      <w:r>
        <w:rPr>
          <w:w w:val="100"/>
        </w:rPr>
        <w:fldChar w:fldCharType="separate"/>
      </w:r>
      <w:r>
        <w:rPr>
          <w:color w:val="000000" w:themeColor="text1"/>
          <w:w w:val="100"/>
          <w:sz w:val="32"/>
          <w:szCs w:val="32"/>
        </w:rPr>
        <w:t>国有建设用地使用权出让合同（样本）</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8</w:t>
      </w:r>
      <w:r>
        <w:rPr>
          <w:color w:val="000000" w:themeColor="text1"/>
          <w:w w:val="100"/>
          <w:sz w:val="32"/>
          <w:szCs w:val="32"/>
        </w:rPr>
        <w:t>-4</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"_Toc3391981" </w:instrText>
      </w:r>
      <w:r>
        <w:rPr>
          <w:w w:val="100"/>
        </w:rPr>
        <w:fldChar w:fldCharType="separate"/>
      </w:r>
      <w:r>
        <w:rPr>
          <w:color w:val="000000" w:themeColor="text1"/>
          <w:w w:val="100"/>
          <w:sz w:val="32"/>
          <w:szCs w:val="32"/>
        </w:rPr>
        <w:t>其他相关文件</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4</w:t>
      </w:r>
      <w:r>
        <w:rPr>
          <w:rFonts w:hint="eastAsia"/>
          <w:color w:val="000000" w:themeColor="text1"/>
          <w:w w:val="100"/>
          <w:sz w:val="32"/>
          <w:szCs w:val="32"/>
          <w:lang w:val="en-US" w:eastAsia="zh-CN"/>
        </w:rPr>
        <w:t>2</w:t>
      </w:r>
      <w:r>
        <w:rPr>
          <w:color w:val="000000" w:themeColor="text1"/>
          <w:w w:val="100"/>
          <w:sz w:val="32"/>
          <w:szCs w:val="32"/>
        </w:rPr>
        <w:t>-4</w:t>
      </w:r>
      <w:r>
        <w:rPr>
          <w:rFonts w:hint="eastAsia"/>
          <w:color w:val="000000" w:themeColor="text1"/>
          <w:w w:val="100"/>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578" w:lineRule="exact"/>
        <w:ind w:left="0"/>
        <w:textAlignment w:val="auto"/>
        <w:rPr>
          <w:rFonts w:eastAsia="黑体"/>
          <w:color w:val="000000" w:themeColor="text1"/>
          <w:sz w:val="48"/>
          <w:szCs w:val="48"/>
        </w:rPr>
      </w:pPr>
      <w:r>
        <w:rPr>
          <w:color w:val="000000" w:themeColor="text1"/>
          <w:w w:val="100"/>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5"/>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hint="eastAsia" w:eastAsia="方正小标宋简体"/>
          <w:color w:val="000000" w:themeColor="text1"/>
          <w:sz w:val="44"/>
          <w:szCs w:val="44"/>
        </w:rPr>
      </w:pPr>
      <w:bookmarkStart w:id="0" w:name="_Toc3391741"/>
      <w:bookmarkStart w:id="1" w:name="_Toc3391970"/>
      <w:bookmarkStart w:id="2" w:name="OLE_LINK1"/>
      <w:bookmarkStart w:id="3" w:name="_Toc3391971"/>
      <w:bookmarkStart w:id="4" w:name="_Toc3391742"/>
      <w:r>
        <w:rPr>
          <w:rFonts w:hint="eastAsia" w:eastAsia="方正小标宋简体"/>
          <w:color w:val="000000" w:themeColor="text1"/>
          <w:sz w:val="44"/>
          <w:szCs w:val="44"/>
        </w:rPr>
        <w:t>达州市通川区自然资源局</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2"/>
        <w:keepNext w:val="0"/>
        <w:keepLines w:val="0"/>
        <w:pageBreakBefore w:val="0"/>
        <w:widowControl w:val="0"/>
        <w:kinsoku/>
        <w:overflowPunct/>
        <w:topLinePunct w:val="0"/>
        <w:autoSpaceDE/>
        <w:autoSpaceDN/>
        <w:bidi w:val="0"/>
        <w:adjustRightInd/>
        <w:spacing w:before="0" w:after="0" w:line="578" w:lineRule="exact"/>
        <w:ind w:left="0"/>
        <w:textAlignment w:val="auto"/>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rFonts w:eastAsia="黑体"/>
          <w:sz w:val="28"/>
        </w:rPr>
        <w:t>DSTT（P）[2022]1号</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p>
    <w:p>
      <w:pPr>
        <w:keepNext w:val="0"/>
        <w:keepLines w:val="0"/>
        <w:pageBreakBefore w:val="0"/>
        <w:widowControl w:val="0"/>
        <w:kinsoku/>
        <w:overflowPunct/>
        <w:topLinePunct w:val="0"/>
        <w:autoSpaceDE/>
        <w:autoSpaceDN/>
        <w:bidi w:val="0"/>
        <w:adjustRightInd/>
        <w:snapToGrid w:val="0"/>
        <w:spacing w:line="578" w:lineRule="exact"/>
        <w:ind w:left="0" w:firstLine="640" w:firstLineChars="200"/>
        <w:jc w:val="both"/>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w:t>
      </w:r>
      <w:r>
        <w:rPr>
          <w:rFonts w:hint="eastAsia" w:eastAsia="仿宋"/>
          <w:color w:val="000000" w:themeColor="text1"/>
          <w:sz w:val="32"/>
          <w:szCs w:val="32"/>
          <w:u w:val="single"/>
          <w:lang w:val="en-US" w:eastAsia="zh-CN"/>
        </w:rPr>
        <w:t>通川区</w:t>
      </w:r>
      <w:r>
        <w:rPr>
          <w:rFonts w:eastAsia="仿宋"/>
          <w:color w:val="000000" w:themeColor="text1"/>
          <w:sz w:val="32"/>
          <w:szCs w:val="32"/>
          <w:u w:val="single"/>
        </w:rPr>
        <w:t>人民政府</w:t>
      </w:r>
      <w:r>
        <w:rPr>
          <w:rFonts w:eastAsia="仿宋"/>
          <w:color w:val="000000" w:themeColor="text1"/>
          <w:sz w:val="32"/>
          <w:szCs w:val="32"/>
        </w:rPr>
        <w:t>批准，</w:t>
      </w:r>
      <w:r>
        <w:rPr>
          <w:rFonts w:hint="eastAsia" w:eastAsia="仿宋"/>
          <w:color w:val="000000" w:themeColor="text1"/>
          <w:sz w:val="32"/>
          <w:szCs w:val="32"/>
          <w:u w:val="single"/>
        </w:rPr>
        <w:t>达州市通川区自然资源局</w:t>
      </w:r>
      <w:r>
        <w:rPr>
          <w:rFonts w:eastAsia="仿宋"/>
          <w:color w:val="000000" w:themeColor="text1"/>
          <w:sz w:val="32"/>
          <w:szCs w:val="32"/>
        </w:rPr>
        <w:t>决定以拍卖方式出让</w:t>
      </w:r>
      <w:r>
        <w:rPr>
          <w:rFonts w:eastAsia="仿宋"/>
          <w:color w:val="000000" w:themeColor="text1"/>
          <w:sz w:val="32"/>
          <w:szCs w:val="32"/>
          <w:u w:val="single"/>
        </w:rPr>
        <w:t>达州市达钢（老厂）片区B09-01地块、达州市达钢（老厂）片区C02-03地块、达州市达钢（老厂）片区C05-03地块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w:t>
      </w:r>
      <w:r>
        <w:rPr>
          <w:rFonts w:hint="eastAsia" w:eastAsia="仿宋"/>
          <w:color w:val="000000" w:themeColor="text1"/>
          <w:kern w:val="0"/>
          <w:sz w:val="32"/>
          <w:szCs w:val="32"/>
          <w:lang w:val="en-US" w:eastAsia="zh-CN"/>
        </w:rPr>
        <w:t>三宗</w:t>
      </w:r>
      <w:r>
        <w:rPr>
          <w:rFonts w:eastAsia="仿宋"/>
          <w:color w:val="000000" w:themeColor="text1"/>
          <w:kern w:val="0"/>
          <w:sz w:val="32"/>
          <w:szCs w:val="32"/>
        </w:rPr>
        <w:t>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3"/>
        <w:tblW w:w="57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9"/>
        <w:gridCol w:w="866"/>
        <w:gridCol w:w="795"/>
        <w:gridCol w:w="856"/>
        <w:gridCol w:w="600"/>
        <w:gridCol w:w="793"/>
        <w:gridCol w:w="570"/>
        <w:gridCol w:w="572"/>
        <w:gridCol w:w="686"/>
        <w:gridCol w:w="985"/>
        <w:gridCol w:w="945"/>
        <w:gridCol w:w="449"/>
        <w:gridCol w:w="516"/>
        <w:gridCol w:w="639"/>
        <w:gridCol w:w="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26" w:type="pct"/>
            <w:vMerge w:val="restart"/>
            <w:tcBorders>
              <w:top w:val="single" w:color="000000" w:sz="4" w:space="0"/>
              <w:lef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序号</w:t>
            </w:r>
          </w:p>
        </w:tc>
        <w:tc>
          <w:tcPr>
            <w:tcW w:w="426"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地块</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编号</w:t>
            </w:r>
          </w:p>
        </w:tc>
        <w:tc>
          <w:tcPr>
            <w:tcW w:w="391"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土地</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位置</w:t>
            </w:r>
          </w:p>
        </w:tc>
        <w:tc>
          <w:tcPr>
            <w:tcW w:w="421"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土地出让面积(㎡）</w:t>
            </w:r>
          </w:p>
        </w:tc>
        <w:tc>
          <w:tcPr>
            <w:tcW w:w="295"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土地</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用途</w:t>
            </w:r>
          </w:p>
        </w:tc>
        <w:tc>
          <w:tcPr>
            <w:tcW w:w="2240" w:type="pct"/>
            <w:gridSpan w:val="6"/>
            <w:tcBorders>
              <w:top w:val="single" w:color="000000" w:sz="4" w:space="0"/>
              <w:bottom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规划指标要求</w:t>
            </w:r>
          </w:p>
        </w:tc>
        <w:tc>
          <w:tcPr>
            <w:tcW w:w="221"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出让</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年限</w:t>
            </w:r>
          </w:p>
        </w:tc>
        <w:tc>
          <w:tcPr>
            <w:tcW w:w="253"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起叫价</w:t>
            </w:r>
          </w:p>
        </w:tc>
        <w:tc>
          <w:tcPr>
            <w:tcW w:w="314"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增价</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幅度</w:t>
            </w:r>
          </w:p>
        </w:tc>
        <w:tc>
          <w:tcPr>
            <w:tcW w:w="209" w:type="pct"/>
            <w:vMerge w:val="restart"/>
            <w:tcBorders>
              <w:top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竞买</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226" w:type="pct"/>
            <w:vMerge w:val="continue"/>
            <w:tcBorders>
              <w:top w:val="single" w:color="000000" w:sz="4" w:space="0"/>
              <w:left w:val="single" w:color="000000" w:sz="4" w:space="0"/>
            </w:tcBorders>
            <w:vAlign w:val="center"/>
          </w:tcPr>
          <w:p>
            <w:pPr>
              <w:widowControl/>
              <w:spacing w:line="240" w:lineRule="exact"/>
              <w:jc w:val="left"/>
              <w:rPr>
                <w:rFonts w:eastAsia="微软雅黑"/>
                <w:b/>
                <w:bCs/>
                <w:color w:val="000000" w:themeColor="text1"/>
                <w:sz w:val="15"/>
                <w:szCs w:val="15"/>
              </w:rPr>
            </w:pPr>
          </w:p>
        </w:tc>
        <w:tc>
          <w:tcPr>
            <w:tcW w:w="426"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391"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421"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295"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390" w:type="pct"/>
            <w:tcBorders>
              <w:bottom w:val="single" w:color="000000" w:sz="4" w:space="0"/>
              <w:right w:val="single" w:color="000000" w:sz="4" w:space="0"/>
            </w:tcBorders>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容积率</w:t>
            </w:r>
          </w:p>
        </w:tc>
        <w:tc>
          <w:tcPr>
            <w:tcW w:w="280" w:type="pct"/>
            <w:tcBorders>
              <w:bottom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建筑</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密度</w:t>
            </w:r>
          </w:p>
        </w:tc>
        <w:tc>
          <w:tcPr>
            <w:tcW w:w="281" w:type="pct"/>
            <w:tcBorders>
              <w:bottom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绿地率</w:t>
            </w:r>
          </w:p>
        </w:tc>
        <w:tc>
          <w:tcPr>
            <w:tcW w:w="337" w:type="pct"/>
            <w:tcBorders>
              <w:bottom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建筑</w:t>
            </w:r>
          </w:p>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限高</w:t>
            </w:r>
          </w:p>
        </w:tc>
        <w:tc>
          <w:tcPr>
            <w:tcW w:w="485" w:type="pct"/>
            <w:tcBorders>
              <w:bottom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配套设施</w:t>
            </w:r>
          </w:p>
        </w:tc>
        <w:tc>
          <w:tcPr>
            <w:tcW w:w="465" w:type="pct"/>
            <w:tcBorders>
              <w:bottom w:val="single" w:color="000000" w:sz="4" w:space="0"/>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其他规划指标</w:t>
            </w:r>
          </w:p>
        </w:tc>
        <w:tc>
          <w:tcPr>
            <w:tcW w:w="221"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253"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314"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c>
          <w:tcPr>
            <w:tcW w:w="209" w:type="pct"/>
            <w:vMerge w:val="continue"/>
            <w:tcBorders>
              <w:top w:val="single" w:color="000000" w:sz="4" w:space="0"/>
              <w:right w:val="single" w:color="000000" w:sz="4" w:space="0"/>
            </w:tcBorders>
            <w:vAlign w:val="center"/>
          </w:tcPr>
          <w:p>
            <w:pPr>
              <w:widowControl/>
              <w:spacing w:line="240" w:lineRule="exact"/>
              <w:jc w:val="left"/>
              <w:rPr>
                <w:rFonts w:eastAsia="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8" w:hRule="atLeast"/>
          <w:jc w:val="center"/>
        </w:trPr>
        <w:tc>
          <w:tcPr>
            <w:tcW w:w="226" w:type="pct"/>
            <w:tcBorders>
              <w:lef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1</w:t>
            </w:r>
          </w:p>
        </w:tc>
        <w:tc>
          <w:tcPr>
            <w:tcW w:w="426" w:type="pct"/>
            <w:tcBorders>
              <w:right w:val="single" w:color="000000" w:sz="4" w:space="0"/>
            </w:tcBorders>
            <w:vAlign w:val="center"/>
          </w:tcPr>
          <w:p>
            <w:pPr>
              <w:widowControl/>
              <w:spacing w:line="270" w:lineRule="exact"/>
              <w:jc w:val="center"/>
              <w:rPr>
                <w:rFonts w:hint="eastAsia" w:eastAsia="微软雅黑"/>
                <w:b/>
                <w:bCs/>
                <w:color w:val="000000"/>
                <w:sz w:val="15"/>
                <w:szCs w:val="15"/>
              </w:rPr>
            </w:pPr>
            <w:r>
              <w:rPr>
                <w:rFonts w:hint="eastAsia" w:eastAsia="微软雅黑"/>
                <w:b/>
                <w:bCs/>
                <w:color w:val="000000"/>
                <w:sz w:val="15"/>
                <w:szCs w:val="15"/>
              </w:rPr>
              <w:t>达州市达钢（老厂）片区B09-01地块</w:t>
            </w:r>
          </w:p>
        </w:tc>
        <w:tc>
          <w:tcPr>
            <w:tcW w:w="391" w:type="pct"/>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rPr>
              <w:t>通川区西河路</w:t>
            </w:r>
          </w:p>
        </w:tc>
        <w:tc>
          <w:tcPr>
            <w:tcW w:w="421" w:type="pct"/>
            <w:tcBorders>
              <w:right w:val="single" w:color="000000" w:sz="4" w:space="0"/>
            </w:tcBorders>
            <w:vAlign w:val="center"/>
          </w:tcPr>
          <w:p>
            <w:pPr>
              <w:widowControl/>
              <w:spacing w:line="270" w:lineRule="exact"/>
              <w:jc w:val="center"/>
              <w:rPr>
                <w:rFonts w:hint="eastAsia" w:eastAsia="微软雅黑"/>
                <w:b/>
                <w:bCs/>
                <w:color w:val="000000"/>
                <w:sz w:val="15"/>
                <w:szCs w:val="15"/>
              </w:rPr>
            </w:pPr>
            <w:r>
              <w:rPr>
                <w:rFonts w:hint="eastAsia" w:eastAsia="微软雅黑"/>
                <w:b/>
                <w:bCs/>
                <w:color w:val="000000"/>
                <w:sz w:val="15"/>
                <w:szCs w:val="15"/>
                <w:lang w:val="en-US" w:eastAsia="zh-CN"/>
              </w:rPr>
              <w:t>5693.86</w:t>
            </w:r>
            <w:r>
              <w:rPr>
                <w:rFonts w:hint="eastAsia" w:eastAsia="微软雅黑"/>
                <w:b/>
                <w:bCs/>
                <w:color w:val="000000"/>
                <w:sz w:val="15"/>
                <w:szCs w:val="15"/>
              </w:rPr>
              <w:t>平方米（折合</w:t>
            </w:r>
            <w:r>
              <w:rPr>
                <w:rFonts w:hint="eastAsia" w:eastAsia="微软雅黑"/>
                <w:b/>
                <w:bCs/>
                <w:color w:val="000000"/>
                <w:sz w:val="15"/>
                <w:szCs w:val="15"/>
                <w:lang w:val="en-US" w:eastAsia="zh-CN"/>
              </w:rPr>
              <w:t>8.54</w:t>
            </w:r>
            <w:r>
              <w:rPr>
                <w:rFonts w:hint="eastAsia" w:eastAsia="微软雅黑"/>
                <w:b/>
                <w:bCs/>
                <w:color w:val="000000"/>
                <w:sz w:val="15"/>
                <w:szCs w:val="15"/>
              </w:rPr>
              <w:t>亩）</w:t>
            </w:r>
          </w:p>
        </w:tc>
        <w:tc>
          <w:tcPr>
            <w:tcW w:w="295" w:type="pct"/>
            <w:tcBorders>
              <w:right w:val="single" w:color="000000" w:sz="4" w:space="0"/>
            </w:tcBorders>
            <w:vAlign w:val="center"/>
          </w:tcPr>
          <w:p>
            <w:pPr>
              <w:widowControl/>
              <w:spacing w:line="270" w:lineRule="exact"/>
              <w:jc w:val="center"/>
              <w:rPr>
                <w:rFonts w:hint="default" w:eastAsia="微软雅黑"/>
                <w:b/>
                <w:bCs/>
                <w:color w:val="000000"/>
                <w:sz w:val="15"/>
                <w:szCs w:val="15"/>
                <w:lang w:val="en-US" w:eastAsia="zh-CN"/>
              </w:rPr>
            </w:pPr>
            <w:r>
              <w:rPr>
                <w:rFonts w:hint="eastAsia" w:eastAsia="微软雅黑"/>
                <w:b/>
                <w:bCs/>
                <w:color w:val="000000"/>
                <w:sz w:val="15"/>
                <w:szCs w:val="15"/>
                <w:lang w:val="en-US" w:eastAsia="zh-CN"/>
              </w:rPr>
              <w:t>商业用地（B1）</w:t>
            </w:r>
          </w:p>
        </w:tc>
        <w:tc>
          <w:tcPr>
            <w:tcW w:w="390" w:type="pct"/>
            <w:tcBorders>
              <w:right w:val="single" w:color="000000" w:sz="4" w:space="0"/>
            </w:tcBorders>
            <w:vAlign w:val="center"/>
          </w:tcPr>
          <w:p>
            <w:pPr>
              <w:widowControl/>
              <w:spacing w:line="270" w:lineRule="exact"/>
              <w:jc w:val="center"/>
              <w:rPr>
                <w:rFonts w:hint="default" w:eastAsia="微软雅黑"/>
                <w:b/>
                <w:bCs/>
                <w:color w:val="000000"/>
                <w:kern w:val="0"/>
                <w:sz w:val="15"/>
                <w:szCs w:val="15"/>
                <w:lang w:val="en-US" w:eastAsia="zh-CN"/>
              </w:rPr>
            </w:pPr>
            <w:r>
              <w:rPr>
                <w:rFonts w:eastAsia="微软雅黑"/>
                <w:b/>
                <w:bCs/>
                <w:color w:val="000000"/>
                <w:kern w:val="0"/>
                <w:sz w:val="15"/>
                <w:szCs w:val="15"/>
              </w:rPr>
              <w:t>F≤</w:t>
            </w:r>
            <w:r>
              <w:rPr>
                <w:rFonts w:hint="eastAsia" w:eastAsia="微软雅黑"/>
                <w:b/>
                <w:bCs/>
                <w:color w:val="000000"/>
                <w:kern w:val="0"/>
                <w:sz w:val="15"/>
                <w:szCs w:val="15"/>
                <w:lang w:val="en-US" w:eastAsia="zh-CN"/>
              </w:rPr>
              <w:t>1.5</w:t>
            </w:r>
          </w:p>
        </w:tc>
        <w:tc>
          <w:tcPr>
            <w:tcW w:w="280"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B≤</w:t>
            </w:r>
            <w:r>
              <w:rPr>
                <w:rFonts w:hint="eastAsia" w:eastAsia="微软雅黑"/>
                <w:b/>
                <w:bCs/>
                <w:color w:val="000000"/>
                <w:kern w:val="0"/>
                <w:sz w:val="15"/>
                <w:szCs w:val="15"/>
                <w:lang w:val="en-US" w:eastAsia="zh-CN"/>
              </w:rPr>
              <w:t>50</w:t>
            </w:r>
            <w:r>
              <w:rPr>
                <w:rFonts w:eastAsia="微软雅黑"/>
                <w:b/>
                <w:bCs/>
                <w:color w:val="000000"/>
                <w:kern w:val="0"/>
                <w:sz w:val="15"/>
                <w:szCs w:val="15"/>
              </w:rPr>
              <w:t>%</w:t>
            </w:r>
          </w:p>
        </w:tc>
        <w:tc>
          <w:tcPr>
            <w:tcW w:w="281"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G≥</w:t>
            </w:r>
            <w:r>
              <w:rPr>
                <w:rFonts w:hint="eastAsia" w:eastAsia="微软雅黑"/>
                <w:b/>
                <w:bCs/>
                <w:color w:val="000000"/>
                <w:kern w:val="0"/>
                <w:sz w:val="15"/>
                <w:szCs w:val="15"/>
                <w:lang w:val="en-US" w:eastAsia="zh-CN"/>
              </w:rPr>
              <w:t>20</w:t>
            </w:r>
            <w:r>
              <w:rPr>
                <w:rFonts w:eastAsia="微软雅黑"/>
                <w:b/>
                <w:bCs/>
                <w:color w:val="000000"/>
                <w:kern w:val="0"/>
                <w:sz w:val="15"/>
                <w:szCs w:val="15"/>
              </w:rPr>
              <w:t>%</w:t>
            </w:r>
          </w:p>
        </w:tc>
        <w:tc>
          <w:tcPr>
            <w:tcW w:w="337"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HL≤</w:t>
            </w:r>
            <w:r>
              <w:rPr>
                <w:rFonts w:hint="eastAsia" w:eastAsia="微软雅黑"/>
                <w:b/>
                <w:bCs/>
                <w:color w:val="000000"/>
                <w:kern w:val="0"/>
                <w:sz w:val="15"/>
                <w:szCs w:val="15"/>
                <w:lang w:val="en-US" w:eastAsia="zh-CN"/>
              </w:rPr>
              <w:t>18</w:t>
            </w:r>
            <w:r>
              <w:rPr>
                <w:rFonts w:eastAsia="微软雅黑"/>
                <w:b/>
                <w:bCs/>
                <w:color w:val="000000"/>
                <w:kern w:val="0"/>
                <w:sz w:val="15"/>
                <w:szCs w:val="15"/>
              </w:rPr>
              <w:t>米</w:t>
            </w:r>
          </w:p>
        </w:tc>
        <w:tc>
          <w:tcPr>
            <w:tcW w:w="485" w:type="pct"/>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rPr>
              <w:t>达州市达钢（老厂）片区B09-01地块</w:t>
            </w:r>
            <w:r>
              <w:rPr>
                <w:rFonts w:eastAsia="微软雅黑"/>
                <w:b/>
                <w:bCs/>
                <w:color w:val="000000" w:themeColor="text1"/>
                <w:sz w:val="15"/>
                <w:szCs w:val="15"/>
              </w:rPr>
              <w:t>规划条件》</w:t>
            </w:r>
          </w:p>
        </w:tc>
        <w:tc>
          <w:tcPr>
            <w:tcW w:w="465" w:type="pct"/>
            <w:tcBorders>
              <w:right w:val="single" w:color="000000" w:sz="4" w:space="0"/>
            </w:tcBorders>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rPr>
              <w:t>达州市达钢（老厂）片区B09-01地块</w:t>
            </w:r>
            <w:r>
              <w:rPr>
                <w:rFonts w:eastAsia="微软雅黑"/>
                <w:b/>
                <w:bCs/>
                <w:color w:val="000000" w:themeColor="text1"/>
                <w:sz w:val="15"/>
                <w:szCs w:val="15"/>
              </w:rPr>
              <w:t>规划条件》</w:t>
            </w:r>
          </w:p>
        </w:tc>
        <w:tc>
          <w:tcPr>
            <w:tcW w:w="221" w:type="pct"/>
            <w:tcBorders>
              <w:right w:val="single" w:color="000000" w:sz="4" w:space="0"/>
            </w:tcBorders>
            <w:vAlign w:val="center"/>
          </w:tcPr>
          <w:p>
            <w:pPr>
              <w:widowControl/>
              <w:spacing w:line="270" w:lineRule="exact"/>
              <w:jc w:val="center"/>
              <w:rPr>
                <w:rFonts w:hint="default" w:eastAsia="微软雅黑"/>
                <w:b/>
                <w:bCs/>
                <w:color w:val="000000"/>
                <w:kern w:val="0"/>
                <w:sz w:val="15"/>
                <w:szCs w:val="15"/>
                <w:lang w:val="en-US" w:eastAsia="zh-CN"/>
              </w:rPr>
            </w:pPr>
            <w:r>
              <w:rPr>
                <w:rFonts w:eastAsia="微软雅黑"/>
                <w:b/>
                <w:bCs/>
                <w:color w:val="000000"/>
                <w:kern w:val="0"/>
                <w:sz w:val="15"/>
                <w:szCs w:val="15"/>
              </w:rPr>
              <w:t>40年</w:t>
            </w:r>
          </w:p>
        </w:tc>
        <w:tc>
          <w:tcPr>
            <w:tcW w:w="253"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286</w:t>
            </w:r>
            <w:r>
              <w:rPr>
                <w:rFonts w:eastAsia="微软雅黑"/>
                <w:b/>
                <w:bCs/>
                <w:color w:val="000000" w:themeColor="text1"/>
                <w:sz w:val="15"/>
                <w:szCs w:val="15"/>
              </w:rPr>
              <w:t>万元/亩</w:t>
            </w:r>
          </w:p>
        </w:tc>
        <w:tc>
          <w:tcPr>
            <w:tcW w:w="314"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2</w:t>
            </w:r>
            <w:r>
              <w:rPr>
                <w:rFonts w:eastAsia="微软雅黑"/>
                <w:b/>
                <w:bCs/>
                <w:color w:val="000000" w:themeColor="text1"/>
                <w:sz w:val="15"/>
                <w:szCs w:val="15"/>
              </w:rPr>
              <w:t>万元/ 亩或</w:t>
            </w:r>
            <w:r>
              <w:rPr>
                <w:rFonts w:hint="eastAsia" w:eastAsia="微软雅黑"/>
                <w:b/>
                <w:bCs/>
                <w:color w:val="000000" w:themeColor="text1"/>
                <w:sz w:val="15"/>
                <w:szCs w:val="15"/>
                <w:lang w:val="en-US" w:eastAsia="zh-CN"/>
              </w:rPr>
              <w:t>2</w:t>
            </w:r>
            <w:r>
              <w:rPr>
                <w:rFonts w:eastAsia="微软雅黑"/>
                <w:b/>
                <w:bCs/>
                <w:color w:val="000000" w:themeColor="text1"/>
                <w:sz w:val="15"/>
                <w:szCs w:val="15"/>
              </w:rPr>
              <w:t>万元/ 亩的整倍数</w:t>
            </w:r>
          </w:p>
        </w:tc>
        <w:tc>
          <w:tcPr>
            <w:tcW w:w="209"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1230</w:t>
            </w:r>
            <w:r>
              <w:rPr>
                <w:rFonts w:eastAsia="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8" w:hRule="atLeast"/>
          <w:jc w:val="center"/>
        </w:trPr>
        <w:tc>
          <w:tcPr>
            <w:tcW w:w="226" w:type="pct"/>
            <w:tcBorders>
              <w:left w:val="single" w:color="000000" w:sz="4" w:space="0"/>
            </w:tcBorders>
            <w:vAlign w:val="center"/>
          </w:tcPr>
          <w:p>
            <w:pPr>
              <w:spacing w:line="240" w:lineRule="exact"/>
              <w:jc w:val="center"/>
              <w:rPr>
                <w:rFonts w:hint="eastAsia" w:eastAsia="微软雅黑"/>
                <w:b/>
                <w:bCs/>
                <w:color w:val="000000" w:themeColor="text1"/>
                <w:sz w:val="15"/>
                <w:szCs w:val="15"/>
                <w:lang w:eastAsia="zh-CN"/>
              </w:rPr>
            </w:pPr>
            <w:r>
              <w:rPr>
                <w:rFonts w:hint="eastAsia" w:eastAsia="微软雅黑"/>
                <w:b/>
                <w:bCs/>
                <w:color w:val="000000" w:themeColor="text1"/>
                <w:sz w:val="15"/>
                <w:szCs w:val="15"/>
                <w:lang w:val="en-US" w:eastAsia="zh-CN"/>
              </w:rPr>
              <w:t>2</w:t>
            </w:r>
          </w:p>
        </w:tc>
        <w:tc>
          <w:tcPr>
            <w:tcW w:w="426" w:type="pct"/>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rPr>
              <w:t>达州市达钢（老厂）片区C02-03地块</w:t>
            </w:r>
          </w:p>
        </w:tc>
        <w:tc>
          <w:tcPr>
            <w:tcW w:w="391" w:type="pct"/>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lang w:val="en-US" w:eastAsia="zh-CN"/>
              </w:rPr>
              <w:t>通川区西河路</w:t>
            </w:r>
          </w:p>
        </w:tc>
        <w:tc>
          <w:tcPr>
            <w:tcW w:w="421" w:type="pct"/>
            <w:tcBorders>
              <w:right w:val="single" w:color="000000" w:sz="4" w:space="0"/>
            </w:tcBorders>
            <w:vAlign w:val="center"/>
          </w:tcPr>
          <w:p>
            <w:pPr>
              <w:widowControl/>
              <w:spacing w:line="270" w:lineRule="exact"/>
              <w:jc w:val="center"/>
              <w:rPr>
                <w:rFonts w:eastAsia="微软雅黑"/>
                <w:b/>
                <w:bCs/>
                <w:color w:val="000000"/>
                <w:kern w:val="0"/>
                <w:sz w:val="18"/>
                <w:szCs w:val="18"/>
              </w:rPr>
            </w:pPr>
            <w:r>
              <w:rPr>
                <w:rFonts w:hint="eastAsia" w:eastAsia="微软雅黑"/>
                <w:b/>
                <w:bCs/>
                <w:color w:val="000000"/>
                <w:sz w:val="15"/>
                <w:szCs w:val="15"/>
                <w:lang w:val="en-US" w:eastAsia="zh-CN"/>
              </w:rPr>
              <w:t>13917.5</w:t>
            </w:r>
            <w:r>
              <w:rPr>
                <w:rFonts w:hint="eastAsia" w:eastAsia="微软雅黑"/>
                <w:b/>
                <w:bCs/>
                <w:color w:val="000000"/>
                <w:sz w:val="15"/>
                <w:szCs w:val="15"/>
              </w:rPr>
              <w:t>平方米（折合</w:t>
            </w:r>
            <w:r>
              <w:rPr>
                <w:rFonts w:hint="eastAsia" w:eastAsia="微软雅黑"/>
                <w:b/>
                <w:bCs/>
                <w:color w:val="000000"/>
                <w:sz w:val="15"/>
                <w:szCs w:val="15"/>
                <w:lang w:val="en-US" w:eastAsia="zh-CN"/>
              </w:rPr>
              <w:t>20.88</w:t>
            </w:r>
            <w:r>
              <w:rPr>
                <w:rFonts w:hint="eastAsia" w:eastAsia="微软雅黑"/>
                <w:b/>
                <w:bCs/>
                <w:color w:val="000000"/>
                <w:sz w:val="15"/>
                <w:szCs w:val="15"/>
              </w:rPr>
              <w:t>亩）</w:t>
            </w:r>
          </w:p>
        </w:tc>
        <w:tc>
          <w:tcPr>
            <w:tcW w:w="295" w:type="pct"/>
            <w:tcBorders>
              <w:right w:val="single" w:color="000000" w:sz="4" w:space="0"/>
            </w:tcBorders>
            <w:vAlign w:val="center"/>
          </w:tcPr>
          <w:p>
            <w:pPr>
              <w:widowControl/>
              <w:spacing w:line="270" w:lineRule="exact"/>
              <w:jc w:val="center"/>
              <w:rPr>
                <w:rFonts w:eastAsia="微软雅黑"/>
                <w:b/>
                <w:bCs/>
                <w:color w:val="000000" w:themeColor="text1"/>
                <w:sz w:val="15"/>
                <w:szCs w:val="15"/>
              </w:rPr>
            </w:pPr>
            <w:r>
              <w:rPr>
                <w:rFonts w:hint="eastAsia" w:eastAsia="微软雅黑"/>
                <w:b/>
                <w:bCs/>
                <w:color w:val="000000"/>
                <w:sz w:val="15"/>
                <w:szCs w:val="15"/>
                <w:lang w:val="en-US" w:eastAsia="zh-CN"/>
              </w:rPr>
              <w:t>商住用地（BR）</w:t>
            </w:r>
          </w:p>
        </w:tc>
        <w:tc>
          <w:tcPr>
            <w:tcW w:w="390" w:type="pct"/>
            <w:tcBorders>
              <w:right w:val="single" w:color="000000" w:sz="4" w:space="0"/>
            </w:tcBorders>
            <w:vAlign w:val="center"/>
          </w:tcPr>
          <w:p>
            <w:pPr>
              <w:widowControl/>
              <w:spacing w:line="270" w:lineRule="exact"/>
              <w:jc w:val="center"/>
              <w:rPr>
                <w:rFonts w:hint="default" w:eastAsia="微软雅黑"/>
                <w:b/>
                <w:bCs/>
                <w:color w:val="000000"/>
                <w:kern w:val="0"/>
                <w:sz w:val="15"/>
                <w:szCs w:val="15"/>
                <w:lang w:val="en-US"/>
              </w:rPr>
            </w:pPr>
            <w:r>
              <w:rPr>
                <w:rFonts w:hint="eastAsia" w:eastAsia="微软雅黑"/>
                <w:b/>
                <w:bCs/>
                <w:color w:val="000000"/>
                <w:kern w:val="0"/>
                <w:sz w:val="15"/>
                <w:szCs w:val="15"/>
                <w:lang w:val="en-US" w:eastAsia="zh-CN"/>
              </w:rPr>
              <w:t>1.0＜</w:t>
            </w:r>
            <w:r>
              <w:rPr>
                <w:rFonts w:eastAsia="微软雅黑"/>
                <w:b/>
                <w:bCs/>
                <w:color w:val="000000"/>
                <w:kern w:val="0"/>
                <w:sz w:val="15"/>
                <w:szCs w:val="15"/>
              </w:rPr>
              <w:t>F≤</w:t>
            </w:r>
            <w:r>
              <w:rPr>
                <w:rFonts w:hint="eastAsia" w:eastAsia="微软雅黑"/>
                <w:b/>
                <w:bCs/>
                <w:color w:val="000000"/>
                <w:kern w:val="0"/>
                <w:sz w:val="15"/>
                <w:szCs w:val="15"/>
                <w:lang w:val="en-US" w:eastAsia="zh-CN"/>
              </w:rPr>
              <w:t>2.5</w:t>
            </w:r>
          </w:p>
        </w:tc>
        <w:tc>
          <w:tcPr>
            <w:tcW w:w="280"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B≤</w:t>
            </w:r>
            <w:r>
              <w:rPr>
                <w:rFonts w:hint="eastAsia" w:eastAsia="微软雅黑"/>
                <w:b/>
                <w:bCs/>
                <w:color w:val="000000"/>
                <w:kern w:val="0"/>
                <w:sz w:val="15"/>
                <w:szCs w:val="15"/>
                <w:lang w:val="en-US" w:eastAsia="zh-CN"/>
              </w:rPr>
              <w:t>45</w:t>
            </w:r>
            <w:r>
              <w:rPr>
                <w:rFonts w:eastAsia="微软雅黑"/>
                <w:b/>
                <w:bCs/>
                <w:color w:val="000000"/>
                <w:kern w:val="0"/>
                <w:sz w:val="15"/>
                <w:szCs w:val="15"/>
              </w:rPr>
              <w:t>%</w:t>
            </w:r>
          </w:p>
        </w:tc>
        <w:tc>
          <w:tcPr>
            <w:tcW w:w="281"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G≥</w:t>
            </w:r>
            <w:r>
              <w:rPr>
                <w:rFonts w:hint="eastAsia" w:eastAsia="微软雅黑"/>
                <w:b/>
                <w:bCs/>
                <w:color w:val="000000"/>
                <w:kern w:val="0"/>
                <w:sz w:val="15"/>
                <w:szCs w:val="15"/>
                <w:lang w:val="en-US" w:eastAsia="zh-CN"/>
              </w:rPr>
              <w:t>30</w:t>
            </w:r>
            <w:r>
              <w:rPr>
                <w:rFonts w:eastAsia="微软雅黑"/>
                <w:b/>
                <w:bCs/>
                <w:color w:val="000000"/>
                <w:kern w:val="0"/>
                <w:sz w:val="15"/>
                <w:szCs w:val="15"/>
              </w:rPr>
              <w:t>%</w:t>
            </w:r>
          </w:p>
        </w:tc>
        <w:tc>
          <w:tcPr>
            <w:tcW w:w="337" w:type="pct"/>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HL≤</w:t>
            </w:r>
            <w:r>
              <w:rPr>
                <w:rFonts w:hint="eastAsia" w:eastAsia="微软雅黑"/>
                <w:b/>
                <w:bCs/>
                <w:color w:val="000000"/>
                <w:kern w:val="0"/>
                <w:sz w:val="15"/>
                <w:szCs w:val="15"/>
                <w:lang w:val="en-US" w:eastAsia="zh-CN"/>
              </w:rPr>
              <w:t>80</w:t>
            </w:r>
            <w:r>
              <w:rPr>
                <w:rFonts w:eastAsia="微软雅黑"/>
                <w:b/>
                <w:bCs/>
                <w:color w:val="000000"/>
                <w:kern w:val="0"/>
                <w:sz w:val="15"/>
                <w:szCs w:val="15"/>
              </w:rPr>
              <w:t>米</w:t>
            </w:r>
          </w:p>
        </w:tc>
        <w:tc>
          <w:tcPr>
            <w:tcW w:w="485" w:type="pct"/>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rPr>
              <w:t>达州市达钢（老厂）片区C02-03地块</w:t>
            </w:r>
            <w:r>
              <w:rPr>
                <w:rFonts w:eastAsia="微软雅黑"/>
                <w:b/>
                <w:bCs/>
                <w:color w:val="000000" w:themeColor="text1"/>
                <w:sz w:val="15"/>
                <w:szCs w:val="15"/>
              </w:rPr>
              <w:t>规划条件》</w:t>
            </w:r>
          </w:p>
        </w:tc>
        <w:tc>
          <w:tcPr>
            <w:tcW w:w="465" w:type="pct"/>
            <w:tcBorders>
              <w:right w:val="single" w:color="000000" w:sz="4" w:space="0"/>
            </w:tcBorders>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rPr>
              <w:t>达州市达钢（老厂）片区C02-03地块</w:t>
            </w:r>
            <w:r>
              <w:rPr>
                <w:rFonts w:eastAsia="微软雅黑"/>
                <w:b/>
                <w:bCs/>
                <w:color w:val="000000" w:themeColor="text1"/>
                <w:sz w:val="15"/>
                <w:szCs w:val="15"/>
              </w:rPr>
              <w:t>规划条件》</w:t>
            </w:r>
          </w:p>
        </w:tc>
        <w:tc>
          <w:tcPr>
            <w:tcW w:w="221" w:type="pct"/>
            <w:tcBorders>
              <w:right w:val="single" w:color="000000" w:sz="4" w:space="0"/>
            </w:tcBorders>
            <w:vAlign w:val="center"/>
          </w:tcPr>
          <w:p>
            <w:pPr>
              <w:widowControl/>
              <w:spacing w:line="270" w:lineRule="exact"/>
              <w:jc w:val="center"/>
              <w:rPr>
                <w:rFonts w:eastAsia="微软雅黑"/>
                <w:b/>
                <w:bCs/>
                <w:color w:val="000000"/>
                <w:kern w:val="0"/>
                <w:sz w:val="15"/>
                <w:szCs w:val="15"/>
              </w:rPr>
            </w:pPr>
            <w:r>
              <w:rPr>
                <w:rFonts w:hint="eastAsia" w:eastAsia="微软雅黑"/>
                <w:b/>
                <w:bCs/>
                <w:color w:val="000000"/>
                <w:kern w:val="0"/>
                <w:sz w:val="15"/>
                <w:szCs w:val="15"/>
                <w:lang w:val="en-US" w:eastAsia="zh-CN"/>
              </w:rPr>
              <w:t>商业用地</w:t>
            </w:r>
            <w:r>
              <w:rPr>
                <w:rFonts w:eastAsia="微软雅黑"/>
                <w:b/>
                <w:bCs/>
                <w:color w:val="000000"/>
                <w:kern w:val="0"/>
                <w:sz w:val="15"/>
                <w:szCs w:val="15"/>
              </w:rPr>
              <w:t>40年</w:t>
            </w:r>
            <w:r>
              <w:rPr>
                <w:rFonts w:hint="eastAsia" w:eastAsia="微软雅黑"/>
                <w:b/>
                <w:bCs/>
                <w:color w:val="000000"/>
                <w:kern w:val="0"/>
                <w:sz w:val="15"/>
                <w:szCs w:val="15"/>
                <w:lang w:eastAsia="zh-CN"/>
              </w:rPr>
              <w:t>、</w:t>
            </w:r>
            <w:r>
              <w:rPr>
                <w:rFonts w:hint="eastAsia" w:eastAsia="微软雅黑"/>
                <w:b/>
                <w:bCs/>
                <w:color w:val="000000"/>
                <w:kern w:val="0"/>
                <w:sz w:val="15"/>
                <w:szCs w:val="15"/>
                <w:lang w:val="en-US" w:eastAsia="zh-CN"/>
              </w:rPr>
              <w:t>住宅用地70年</w:t>
            </w:r>
          </w:p>
        </w:tc>
        <w:tc>
          <w:tcPr>
            <w:tcW w:w="253"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412</w:t>
            </w:r>
            <w:r>
              <w:rPr>
                <w:rFonts w:eastAsia="微软雅黑"/>
                <w:b/>
                <w:bCs/>
                <w:color w:val="000000" w:themeColor="text1"/>
                <w:sz w:val="15"/>
                <w:szCs w:val="15"/>
              </w:rPr>
              <w:t>万元/亩</w:t>
            </w:r>
          </w:p>
        </w:tc>
        <w:tc>
          <w:tcPr>
            <w:tcW w:w="314"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5万元/ 亩或5万元/ 亩的整倍数</w:t>
            </w:r>
          </w:p>
        </w:tc>
        <w:tc>
          <w:tcPr>
            <w:tcW w:w="209" w:type="pct"/>
            <w:tcBorders>
              <w:right w:val="single" w:color="000000" w:sz="4" w:space="0"/>
            </w:tcBorders>
            <w:vAlign w:val="center"/>
          </w:tcPr>
          <w:p>
            <w:pPr>
              <w:spacing w:line="240" w:lineRule="exact"/>
              <w:jc w:val="center"/>
              <w:rPr>
                <w:rFonts w:eastAsia="微软雅黑"/>
                <w:b/>
                <w:bCs/>
                <w:color w:val="000000" w:themeColor="text1"/>
                <w:sz w:val="15"/>
                <w:szCs w:val="15"/>
              </w:rPr>
            </w:pPr>
            <w:r>
              <w:rPr>
                <w:rFonts w:hint="eastAsia" w:eastAsia="微软雅黑"/>
                <w:b/>
                <w:bCs/>
                <w:color w:val="000000" w:themeColor="text1"/>
                <w:sz w:val="15"/>
                <w:szCs w:val="15"/>
                <w:lang w:val="en-US" w:eastAsia="zh-CN"/>
              </w:rPr>
              <w:t>1730</w:t>
            </w:r>
            <w:r>
              <w:rPr>
                <w:rFonts w:eastAsia="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4" w:hRule="atLeast"/>
          <w:jc w:val="center"/>
        </w:trPr>
        <w:tc>
          <w:tcPr>
            <w:tcW w:w="459" w:type="dxa"/>
            <w:tcBorders>
              <w:left w:val="single" w:color="000000" w:sz="4" w:space="0"/>
            </w:tcBorders>
            <w:vAlign w:val="center"/>
          </w:tcPr>
          <w:p>
            <w:pPr>
              <w:spacing w:line="240" w:lineRule="exact"/>
              <w:jc w:val="center"/>
              <w:rPr>
                <w:rFonts w:hint="eastAsia" w:eastAsia="微软雅黑"/>
                <w:b/>
                <w:bCs/>
                <w:color w:val="000000" w:themeColor="text1"/>
                <w:sz w:val="15"/>
                <w:szCs w:val="15"/>
                <w:lang w:val="en-US" w:eastAsia="zh-CN"/>
              </w:rPr>
            </w:pPr>
            <w:r>
              <w:rPr>
                <w:rFonts w:hint="eastAsia" w:eastAsia="微软雅黑"/>
                <w:b/>
                <w:bCs/>
                <w:color w:val="000000" w:themeColor="text1"/>
                <w:sz w:val="15"/>
                <w:szCs w:val="15"/>
                <w:lang w:val="en-US" w:eastAsia="zh-CN"/>
              </w:rPr>
              <w:t>3</w:t>
            </w:r>
          </w:p>
        </w:tc>
        <w:tc>
          <w:tcPr>
            <w:tcW w:w="866" w:type="dxa"/>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lang w:val="en-US" w:eastAsia="zh-CN"/>
              </w:rPr>
              <w:t>达州市达钢（老厂）片区C05-03地块</w:t>
            </w:r>
          </w:p>
        </w:tc>
        <w:tc>
          <w:tcPr>
            <w:tcW w:w="795" w:type="dxa"/>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lang w:val="en-US" w:eastAsia="zh-CN"/>
              </w:rPr>
              <w:t>通川区西河路</w:t>
            </w:r>
          </w:p>
        </w:tc>
        <w:tc>
          <w:tcPr>
            <w:tcW w:w="856" w:type="dxa"/>
            <w:tcBorders>
              <w:right w:val="single" w:color="000000" w:sz="4" w:space="0"/>
            </w:tcBorders>
            <w:vAlign w:val="center"/>
          </w:tcPr>
          <w:p>
            <w:pPr>
              <w:widowControl/>
              <w:spacing w:line="270" w:lineRule="exact"/>
              <w:jc w:val="center"/>
              <w:rPr>
                <w:rFonts w:hint="eastAsia" w:eastAsia="微软雅黑"/>
                <w:b/>
                <w:bCs/>
                <w:color w:val="000000"/>
                <w:sz w:val="15"/>
                <w:szCs w:val="15"/>
                <w:lang w:val="en-US" w:eastAsia="zh-CN"/>
              </w:rPr>
            </w:pPr>
            <w:r>
              <w:rPr>
                <w:rFonts w:hint="eastAsia" w:eastAsia="微软雅黑"/>
                <w:b/>
                <w:bCs/>
                <w:color w:val="000000"/>
                <w:sz w:val="15"/>
                <w:szCs w:val="15"/>
                <w:lang w:val="en-US" w:eastAsia="zh-CN"/>
              </w:rPr>
              <w:t>16164.21</w:t>
            </w:r>
            <w:r>
              <w:rPr>
                <w:rFonts w:hint="eastAsia" w:eastAsia="微软雅黑"/>
                <w:b/>
                <w:bCs/>
                <w:color w:val="000000"/>
                <w:sz w:val="15"/>
                <w:szCs w:val="15"/>
              </w:rPr>
              <w:t>平方米（折合</w:t>
            </w:r>
            <w:r>
              <w:rPr>
                <w:rFonts w:hint="eastAsia" w:eastAsia="微软雅黑"/>
                <w:b/>
                <w:bCs/>
                <w:color w:val="000000"/>
                <w:sz w:val="15"/>
                <w:szCs w:val="15"/>
                <w:lang w:val="en-US" w:eastAsia="zh-CN"/>
              </w:rPr>
              <w:t>24.25</w:t>
            </w:r>
            <w:r>
              <w:rPr>
                <w:rFonts w:hint="eastAsia" w:eastAsia="微软雅黑"/>
                <w:b/>
                <w:bCs/>
                <w:color w:val="000000"/>
                <w:sz w:val="15"/>
                <w:szCs w:val="15"/>
              </w:rPr>
              <w:t>亩）</w:t>
            </w:r>
          </w:p>
        </w:tc>
        <w:tc>
          <w:tcPr>
            <w:tcW w:w="600" w:type="dxa"/>
            <w:tcBorders>
              <w:right w:val="single" w:color="000000" w:sz="4" w:space="0"/>
            </w:tcBorders>
            <w:vAlign w:val="center"/>
          </w:tcPr>
          <w:p>
            <w:pPr>
              <w:widowControl/>
              <w:spacing w:line="270" w:lineRule="exact"/>
              <w:jc w:val="center"/>
              <w:rPr>
                <w:rFonts w:hint="default" w:eastAsia="微软雅黑"/>
                <w:b/>
                <w:bCs/>
                <w:color w:val="000000"/>
                <w:sz w:val="15"/>
                <w:szCs w:val="15"/>
                <w:lang w:val="en-US" w:eastAsia="zh-CN"/>
              </w:rPr>
            </w:pPr>
            <w:r>
              <w:rPr>
                <w:rFonts w:hint="eastAsia" w:eastAsia="微软雅黑"/>
                <w:b/>
                <w:bCs/>
                <w:color w:val="000000"/>
                <w:sz w:val="15"/>
                <w:szCs w:val="15"/>
                <w:lang w:val="en-US" w:eastAsia="zh-CN"/>
              </w:rPr>
              <w:t>二类居住用地（R21）</w:t>
            </w:r>
          </w:p>
        </w:tc>
        <w:tc>
          <w:tcPr>
            <w:tcW w:w="793" w:type="dxa"/>
            <w:tcBorders>
              <w:right w:val="single" w:color="000000" w:sz="4" w:space="0"/>
            </w:tcBorders>
            <w:vAlign w:val="center"/>
          </w:tcPr>
          <w:p>
            <w:pPr>
              <w:widowControl/>
              <w:spacing w:line="270" w:lineRule="exact"/>
              <w:jc w:val="center"/>
              <w:rPr>
                <w:rFonts w:hint="default" w:eastAsia="微软雅黑"/>
                <w:b/>
                <w:bCs/>
                <w:color w:val="000000"/>
                <w:kern w:val="0"/>
                <w:sz w:val="15"/>
                <w:szCs w:val="15"/>
                <w:lang w:val="en-US" w:eastAsia="zh-CN"/>
              </w:rPr>
            </w:pPr>
            <w:r>
              <w:rPr>
                <w:rFonts w:hint="eastAsia" w:eastAsia="微软雅黑"/>
                <w:b/>
                <w:bCs/>
                <w:color w:val="000000"/>
                <w:kern w:val="0"/>
                <w:sz w:val="15"/>
                <w:szCs w:val="15"/>
                <w:lang w:val="en-US" w:eastAsia="zh-CN"/>
              </w:rPr>
              <w:t>1.0＜</w:t>
            </w:r>
            <w:r>
              <w:rPr>
                <w:rFonts w:eastAsia="微软雅黑"/>
                <w:b/>
                <w:bCs/>
                <w:color w:val="000000"/>
                <w:kern w:val="0"/>
                <w:sz w:val="15"/>
                <w:szCs w:val="15"/>
              </w:rPr>
              <w:t>F≤</w:t>
            </w:r>
            <w:r>
              <w:rPr>
                <w:rFonts w:hint="eastAsia" w:eastAsia="微软雅黑"/>
                <w:b/>
                <w:bCs/>
                <w:color w:val="000000"/>
                <w:kern w:val="0"/>
                <w:sz w:val="15"/>
                <w:szCs w:val="15"/>
                <w:lang w:val="en-US" w:eastAsia="zh-CN"/>
              </w:rPr>
              <w:t>2.5</w:t>
            </w:r>
          </w:p>
        </w:tc>
        <w:tc>
          <w:tcPr>
            <w:tcW w:w="570" w:type="dxa"/>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B≤</w:t>
            </w:r>
            <w:r>
              <w:rPr>
                <w:rFonts w:hint="eastAsia" w:eastAsia="微软雅黑"/>
                <w:b/>
                <w:bCs/>
                <w:color w:val="000000"/>
                <w:kern w:val="0"/>
                <w:sz w:val="15"/>
                <w:szCs w:val="15"/>
                <w:lang w:val="en-US" w:eastAsia="zh-CN"/>
              </w:rPr>
              <w:t>22</w:t>
            </w:r>
            <w:r>
              <w:rPr>
                <w:rFonts w:eastAsia="微软雅黑"/>
                <w:b/>
                <w:bCs/>
                <w:color w:val="000000"/>
                <w:kern w:val="0"/>
                <w:sz w:val="15"/>
                <w:szCs w:val="15"/>
              </w:rPr>
              <w:t>%</w:t>
            </w:r>
          </w:p>
        </w:tc>
        <w:tc>
          <w:tcPr>
            <w:tcW w:w="572" w:type="dxa"/>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G≥</w:t>
            </w:r>
            <w:r>
              <w:rPr>
                <w:rFonts w:hint="eastAsia" w:eastAsia="微软雅黑"/>
                <w:b/>
                <w:bCs/>
                <w:color w:val="000000"/>
                <w:kern w:val="0"/>
                <w:sz w:val="15"/>
                <w:szCs w:val="15"/>
                <w:lang w:val="en-US" w:eastAsia="zh-CN"/>
              </w:rPr>
              <w:t>35</w:t>
            </w:r>
            <w:r>
              <w:rPr>
                <w:rFonts w:eastAsia="微软雅黑"/>
                <w:b/>
                <w:bCs/>
                <w:color w:val="000000"/>
                <w:kern w:val="0"/>
                <w:sz w:val="15"/>
                <w:szCs w:val="15"/>
              </w:rPr>
              <w:t>%</w:t>
            </w:r>
          </w:p>
        </w:tc>
        <w:tc>
          <w:tcPr>
            <w:tcW w:w="686" w:type="dxa"/>
            <w:vAlign w:val="center"/>
          </w:tcPr>
          <w:p>
            <w:pPr>
              <w:widowControl/>
              <w:spacing w:line="270" w:lineRule="exact"/>
              <w:jc w:val="center"/>
              <w:rPr>
                <w:rFonts w:eastAsia="微软雅黑"/>
                <w:b/>
                <w:bCs/>
                <w:color w:val="000000"/>
                <w:kern w:val="0"/>
                <w:sz w:val="15"/>
                <w:szCs w:val="15"/>
              </w:rPr>
            </w:pPr>
            <w:r>
              <w:rPr>
                <w:rFonts w:eastAsia="微软雅黑"/>
                <w:b/>
                <w:bCs/>
                <w:color w:val="000000"/>
                <w:kern w:val="0"/>
                <w:sz w:val="15"/>
                <w:szCs w:val="15"/>
              </w:rPr>
              <w:t>HL≤</w:t>
            </w:r>
            <w:r>
              <w:rPr>
                <w:rFonts w:hint="eastAsia" w:eastAsia="微软雅黑"/>
                <w:b/>
                <w:bCs/>
                <w:color w:val="000000"/>
                <w:kern w:val="0"/>
                <w:sz w:val="15"/>
                <w:szCs w:val="15"/>
                <w:lang w:val="en-US" w:eastAsia="zh-CN"/>
              </w:rPr>
              <w:t>60</w:t>
            </w:r>
            <w:r>
              <w:rPr>
                <w:rFonts w:eastAsia="微软雅黑"/>
                <w:b/>
                <w:bCs/>
                <w:color w:val="000000"/>
                <w:kern w:val="0"/>
                <w:sz w:val="15"/>
                <w:szCs w:val="15"/>
              </w:rPr>
              <w:t>米</w:t>
            </w:r>
          </w:p>
        </w:tc>
        <w:tc>
          <w:tcPr>
            <w:tcW w:w="985" w:type="dxa"/>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lang w:val="en-US" w:eastAsia="zh-CN"/>
              </w:rPr>
              <w:t>达州市达钢（老厂）片区C05-03地块</w:t>
            </w:r>
            <w:r>
              <w:rPr>
                <w:rFonts w:eastAsia="微软雅黑"/>
                <w:b/>
                <w:bCs/>
                <w:color w:val="000000" w:themeColor="text1"/>
                <w:sz w:val="15"/>
                <w:szCs w:val="15"/>
              </w:rPr>
              <w:t>规划条件》</w:t>
            </w:r>
          </w:p>
        </w:tc>
        <w:tc>
          <w:tcPr>
            <w:tcW w:w="945" w:type="dxa"/>
            <w:tcBorders>
              <w:right w:val="single" w:color="000000" w:sz="4" w:space="0"/>
            </w:tcBorders>
            <w:vAlign w:val="center"/>
          </w:tcPr>
          <w:p>
            <w:pPr>
              <w:snapToGrid w:val="0"/>
              <w:spacing w:line="240" w:lineRule="exact"/>
              <w:jc w:val="center"/>
              <w:rPr>
                <w:rFonts w:eastAsia="微软雅黑"/>
                <w:b/>
                <w:bCs/>
                <w:color w:val="000000" w:themeColor="text1"/>
                <w:sz w:val="15"/>
                <w:szCs w:val="15"/>
              </w:rPr>
            </w:pPr>
            <w:r>
              <w:rPr>
                <w:rFonts w:eastAsia="微软雅黑"/>
                <w:b/>
                <w:bCs/>
                <w:color w:val="000000" w:themeColor="text1"/>
                <w:sz w:val="15"/>
                <w:szCs w:val="15"/>
              </w:rPr>
              <w:t>详见《</w:t>
            </w:r>
            <w:r>
              <w:rPr>
                <w:rFonts w:hint="eastAsia" w:eastAsia="微软雅黑"/>
                <w:b/>
                <w:bCs/>
                <w:color w:val="000000"/>
                <w:sz w:val="15"/>
                <w:szCs w:val="15"/>
                <w:lang w:val="en-US" w:eastAsia="zh-CN"/>
              </w:rPr>
              <w:t>达州市达钢（老厂）片区C05-03地块</w:t>
            </w:r>
            <w:r>
              <w:rPr>
                <w:rFonts w:eastAsia="微软雅黑"/>
                <w:b/>
                <w:bCs/>
                <w:color w:val="000000" w:themeColor="text1"/>
                <w:sz w:val="15"/>
                <w:szCs w:val="15"/>
              </w:rPr>
              <w:t>规划条件》</w:t>
            </w:r>
          </w:p>
        </w:tc>
        <w:tc>
          <w:tcPr>
            <w:tcW w:w="449" w:type="dxa"/>
            <w:tcBorders>
              <w:right w:val="single" w:color="000000" w:sz="4" w:space="0"/>
            </w:tcBorders>
            <w:vAlign w:val="center"/>
          </w:tcPr>
          <w:p>
            <w:pPr>
              <w:widowControl/>
              <w:spacing w:line="270" w:lineRule="exact"/>
              <w:jc w:val="center"/>
              <w:rPr>
                <w:rFonts w:hint="eastAsia" w:eastAsia="微软雅黑"/>
                <w:b/>
                <w:bCs/>
                <w:color w:val="000000"/>
                <w:kern w:val="0"/>
                <w:sz w:val="15"/>
                <w:szCs w:val="15"/>
                <w:lang w:val="en-US" w:eastAsia="zh-CN"/>
              </w:rPr>
            </w:pPr>
            <w:r>
              <w:rPr>
                <w:rFonts w:hint="eastAsia" w:eastAsia="微软雅黑"/>
                <w:b/>
                <w:bCs/>
                <w:color w:val="000000"/>
                <w:kern w:val="0"/>
                <w:sz w:val="15"/>
                <w:szCs w:val="15"/>
                <w:lang w:val="en-US" w:eastAsia="zh-CN"/>
              </w:rPr>
              <w:t>商业用地</w:t>
            </w:r>
            <w:r>
              <w:rPr>
                <w:rFonts w:eastAsia="微软雅黑"/>
                <w:b/>
                <w:bCs/>
                <w:color w:val="000000"/>
                <w:kern w:val="0"/>
                <w:sz w:val="15"/>
                <w:szCs w:val="15"/>
              </w:rPr>
              <w:t>40年</w:t>
            </w:r>
            <w:r>
              <w:rPr>
                <w:rFonts w:hint="eastAsia" w:eastAsia="微软雅黑"/>
                <w:b/>
                <w:bCs/>
                <w:color w:val="000000"/>
                <w:kern w:val="0"/>
                <w:sz w:val="15"/>
                <w:szCs w:val="15"/>
                <w:lang w:eastAsia="zh-CN"/>
              </w:rPr>
              <w:t>、</w:t>
            </w:r>
            <w:r>
              <w:rPr>
                <w:rFonts w:hint="eastAsia" w:eastAsia="微软雅黑"/>
                <w:b/>
                <w:bCs/>
                <w:color w:val="000000"/>
                <w:kern w:val="0"/>
                <w:sz w:val="15"/>
                <w:szCs w:val="15"/>
                <w:lang w:val="en-US" w:eastAsia="zh-CN"/>
              </w:rPr>
              <w:t>住宅用地70年</w:t>
            </w:r>
          </w:p>
        </w:tc>
        <w:tc>
          <w:tcPr>
            <w:tcW w:w="516" w:type="dxa"/>
            <w:tcBorders>
              <w:right w:val="single" w:color="000000" w:sz="4" w:space="0"/>
            </w:tcBorders>
            <w:vAlign w:val="center"/>
          </w:tcPr>
          <w:p>
            <w:pPr>
              <w:spacing w:line="240" w:lineRule="exact"/>
              <w:jc w:val="center"/>
              <w:rPr>
                <w:rFonts w:hint="eastAsia" w:eastAsia="微软雅黑"/>
                <w:b/>
                <w:bCs/>
                <w:color w:val="000000" w:themeColor="text1"/>
                <w:sz w:val="15"/>
                <w:szCs w:val="15"/>
                <w:lang w:val="en-US" w:eastAsia="zh-CN"/>
              </w:rPr>
            </w:pPr>
            <w:r>
              <w:rPr>
                <w:rFonts w:hint="eastAsia" w:eastAsia="微软雅黑"/>
                <w:b/>
                <w:bCs/>
                <w:color w:val="000000" w:themeColor="text1"/>
                <w:sz w:val="15"/>
                <w:szCs w:val="15"/>
                <w:lang w:val="en-US" w:eastAsia="zh-CN"/>
              </w:rPr>
              <w:t>411</w:t>
            </w:r>
            <w:r>
              <w:rPr>
                <w:rFonts w:eastAsia="微软雅黑"/>
                <w:b/>
                <w:bCs/>
                <w:color w:val="000000" w:themeColor="text1"/>
                <w:sz w:val="15"/>
                <w:szCs w:val="15"/>
              </w:rPr>
              <w:t>万元/亩</w:t>
            </w:r>
          </w:p>
        </w:tc>
        <w:tc>
          <w:tcPr>
            <w:tcW w:w="639" w:type="dxa"/>
            <w:tcBorders>
              <w:right w:val="single" w:color="000000" w:sz="4" w:space="0"/>
            </w:tcBorders>
            <w:vAlign w:val="center"/>
          </w:tcPr>
          <w:p>
            <w:pPr>
              <w:spacing w:line="240" w:lineRule="exact"/>
              <w:jc w:val="center"/>
              <w:rPr>
                <w:rFonts w:eastAsia="微软雅黑"/>
                <w:b/>
                <w:bCs/>
                <w:color w:val="000000" w:themeColor="text1"/>
                <w:sz w:val="15"/>
                <w:szCs w:val="15"/>
              </w:rPr>
            </w:pPr>
            <w:r>
              <w:rPr>
                <w:rFonts w:eastAsia="微软雅黑"/>
                <w:b/>
                <w:bCs/>
                <w:color w:val="000000" w:themeColor="text1"/>
                <w:sz w:val="15"/>
                <w:szCs w:val="15"/>
              </w:rPr>
              <w:t>5万元/ 亩或5万元/ 亩的整倍数</w:t>
            </w:r>
          </w:p>
        </w:tc>
        <w:tc>
          <w:tcPr>
            <w:tcW w:w="424" w:type="dxa"/>
            <w:tcBorders>
              <w:right w:val="single" w:color="000000" w:sz="4" w:space="0"/>
            </w:tcBorders>
            <w:vAlign w:val="center"/>
          </w:tcPr>
          <w:p>
            <w:pPr>
              <w:spacing w:line="240" w:lineRule="exact"/>
              <w:jc w:val="center"/>
              <w:rPr>
                <w:rFonts w:hint="eastAsia" w:eastAsia="微软雅黑"/>
                <w:b/>
                <w:bCs/>
                <w:color w:val="000000" w:themeColor="text1"/>
                <w:sz w:val="15"/>
                <w:szCs w:val="15"/>
                <w:lang w:val="en-US" w:eastAsia="zh-CN"/>
              </w:rPr>
            </w:pPr>
            <w:r>
              <w:rPr>
                <w:rFonts w:hint="eastAsia" w:eastAsia="微软雅黑"/>
                <w:b/>
                <w:bCs/>
                <w:color w:val="000000" w:themeColor="text1"/>
                <w:sz w:val="15"/>
                <w:szCs w:val="15"/>
                <w:lang w:val="en-US" w:eastAsia="zh-CN"/>
              </w:rPr>
              <w:t>2000</w:t>
            </w:r>
            <w:r>
              <w:rPr>
                <w:rFonts w:eastAsia="微软雅黑"/>
                <w:b/>
                <w:bCs/>
                <w:color w:val="000000" w:themeColor="text1"/>
                <w:sz w:val="15"/>
                <w:szCs w:val="15"/>
              </w:rPr>
              <w:t>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w:t>
      </w:r>
      <w:r>
        <w:rPr>
          <w:rFonts w:hint="eastAsia" w:eastAsia="仿宋"/>
          <w:color w:val="000000" w:themeColor="text1"/>
          <w:sz w:val="32"/>
          <w:szCs w:val="32"/>
          <w:lang w:eastAsia="zh-CN"/>
        </w:rPr>
        <w:t>，</w:t>
      </w:r>
      <w:r>
        <w:rPr>
          <w:rFonts w:eastAsia="仿宋"/>
          <w:color w:val="000000" w:themeColor="text1"/>
          <w:sz w:val="32"/>
          <w:szCs w:val="32"/>
        </w:rPr>
        <w:t>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hint="eastAsia" w:eastAsia="仿宋"/>
          <w:b/>
          <w:color w:val="000000" w:themeColor="text1"/>
          <w:sz w:val="32"/>
          <w:szCs w:val="32"/>
          <w:u w:val="single"/>
          <w:lang w:val="en-US" w:eastAsia="zh-CN"/>
        </w:rPr>
        <w:t>区</w:t>
      </w:r>
      <w:r>
        <w:rPr>
          <w:rFonts w:eastAsia="仿宋"/>
          <w:b/>
          <w:color w:val="000000" w:themeColor="text1"/>
          <w:sz w:val="32"/>
          <w:szCs w:val="32"/>
          <w:u w:val="single"/>
        </w:rPr>
        <w:t>政府设有底价，采用增价拍卖方式竞价，按照价高者得原则确定竞得人（不低于</w:t>
      </w:r>
      <w:r>
        <w:rPr>
          <w:rFonts w:hint="eastAsia" w:eastAsia="仿宋"/>
          <w:b/>
          <w:color w:val="000000" w:themeColor="text1"/>
          <w:sz w:val="32"/>
          <w:szCs w:val="32"/>
          <w:u w:val="single"/>
          <w:lang w:val="en-US" w:eastAsia="zh-CN"/>
        </w:rPr>
        <w:t>区</w:t>
      </w:r>
      <w:r>
        <w:rPr>
          <w:rFonts w:eastAsia="仿宋"/>
          <w:b/>
          <w:color w:val="000000" w:themeColor="text1"/>
          <w:sz w:val="32"/>
          <w:szCs w:val="32"/>
          <w:u w:val="single"/>
        </w:rPr>
        <w:t>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7"/>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7"/>
          <w:rFonts w:eastAsia="仿宋"/>
          <w:color w:val="000000" w:themeColor="text1"/>
          <w:sz w:val="32"/>
          <w:szCs w:val="32"/>
        </w:rPr>
        <w:t>http://www.dzggzy.cn</w:t>
      </w:r>
      <w:r>
        <w:rPr>
          <w:rStyle w:val="17"/>
          <w:rFonts w:eastAsia="仿宋"/>
          <w:color w:val="000000" w:themeColor="text1"/>
          <w:sz w:val="32"/>
          <w:szCs w:val="32"/>
        </w:rPr>
        <w:fldChar w:fldCharType="end"/>
      </w:r>
      <w:r>
        <w:rPr>
          <w:rStyle w:val="17"/>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7"/>
          <w:rFonts w:eastAsia="仿宋"/>
          <w:b w:val="0"/>
          <w:bCs/>
          <w:color w:val="000000" w:themeColor="text1"/>
          <w:sz w:val="32"/>
          <w:szCs w:val="32"/>
          <w:u w:val="none"/>
        </w:rPr>
      </w:pPr>
      <w:r>
        <w:rPr>
          <w:rStyle w:val="17"/>
          <w:rFonts w:eastAsia="仿宋"/>
          <w:color w:val="000000" w:themeColor="text1"/>
          <w:sz w:val="32"/>
          <w:szCs w:val="32"/>
          <w:u w:val="none"/>
        </w:rPr>
        <w:t>已完成用户注册的竞买申请人须在</w:t>
      </w:r>
      <w:r>
        <w:rPr>
          <w:rStyle w:val="17"/>
          <w:rFonts w:eastAsia="仿宋"/>
          <w:b w:val="0"/>
          <w:bCs/>
          <w:color w:val="000000" w:themeColor="text1"/>
          <w:sz w:val="32"/>
          <w:szCs w:val="32"/>
        </w:rPr>
        <w:t>2022年</w:t>
      </w:r>
      <w:r>
        <w:rPr>
          <w:rStyle w:val="17"/>
          <w:rFonts w:hint="eastAsia" w:eastAsia="仿宋"/>
          <w:b w:val="0"/>
          <w:bCs/>
          <w:color w:val="000000" w:themeColor="text1"/>
          <w:sz w:val="32"/>
          <w:szCs w:val="32"/>
          <w:lang w:val="en-US" w:eastAsia="zh-CN"/>
        </w:rPr>
        <w:t>12</w:t>
      </w:r>
      <w:r>
        <w:rPr>
          <w:rStyle w:val="17"/>
          <w:rFonts w:eastAsia="仿宋"/>
          <w:b w:val="0"/>
          <w:bCs/>
          <w:color w:val="000000" w:themeColor="text1"/>
          <w:sz w:val="32"/>
          <w:szCs w:val="32"/>
        </w:rPr>
        <w:t>月</w:t>
      </w:r>
      <w:r>
        <w:rPr>
          <w:rStyle w:val="17"/>
          <w:rFonts w:hint="eastAsia" w:eastAsia="仿宋"/>
          <w:b w:val="0"/>
          <w:bCs/>
          <w:color w:val="000000" w:themeColor="text1"/>
          <w:sz w:val="32"/>
          <w:szCs w:val="32"/>
          <w:lang w:val="en-US" w:eastAsia="zh-CN"/>
        </w:rPr>
        <w:t>29</w:t>
      </w:r>
      <w:r>
        <w:rPr>
          <w:rStyle w:val="17"/>
          <w:rFonts w:eastAsia="仿宋"/>
          <w:b w:val="0"/>
          <w:bCs/>
          <w:color w:val="000000" w:themeColor="text1"/>
          <w:sz w:val="32"/>
          <w:szCs w:val="32"/>
        </w:rPr>
        <w:t>日17:00</w:t>
      </w:r>
      <w:r>
        <w:rPr>
          <w:rStyle w:val="17"/>
          <w:rFonts w:eastAsia="仿宋"/>
          <w:b w:val="0"/>
          <w:bCs/>
          <w:color w:val="000000" w:themeColor="text1"/>
          <w:sz w:val="32"/>
          <w:szCs w:val="32"/>
          <w:u w:val="none"/>
        </w:rPr>
        <w:t>之前经达州市公共资源交易服务网（</w:t>
      </w:r>
      <w:r>
        <w:rPr>
          <w:b w:val="0"/>
          <w:bCs/>
        </w:rPr>
        <w:fldChar w:fldCharType="begin"/>
      </w:r>
      <w:r>
        <w:rPr>
          <w:b w:val="0"/>
          <w:bCs/>
        </w:rPr>
        <w:instrText xml:space="preserve"> HYPERLINK "http://www.dzggzy.cn/" </w:instrText>
      </w:r>
      <w:r>
        <w:rPr>
          <w:b w:val="0"/>
          <w:bCs/>
        </w:rPr>
        <w:fldChar w:fldCharType="separate"/>
      </w:r>
      <w:r>
        <w:rPr>
          <w:rStyle w:val="17"/>
          <w:rFonts w:eastAsia="仿宋"/>
          <w:b w:val="0"/>
          <w:bCs/>
          <w:color w:val="000000" w:themeColor="text1"/>
          <w:sz w:val="32"/>
          <w:szCs w:val="32"/>
          <w:u w:val="none"/>
        </w:rPr>
        <w:t>http://www.dzggzy.cn</w:t>
      </w:r>
      <w:r>
        <w:rPr>
          <w:rStyle w:val="17"/>
          <w:rFonts w:eastAsia="仿宋"/>
          <w:b w:val="0"/>
          <w:bCs/>
          <w:color w:val="000000" w:themeColor="text1"/>
          <w:sz w:val="32"/>
          <w:szCs w:val="32"/>
          <w:u w:val="none"/>
        </w:rPr>
        <w:fldChar w:fldCharType="end"/>
      </w:r>
      <w:r>
        <w:rPr>
          <w:rStyle w:val="17"/>
          <w:rFonts w:eastAsia="仿宋"/>
          <w:b w:val="0"/>
          <w:bCs/>
          <w:color w:val="000000" w:themeColor="text1"/>
          <w:sz w:val="32"/>
          <w:szCs w:val="32"/>
          <w:u w:val="none"/>
        </w:rPr>
        <w:t>）通过系统提交竞买申请。通过指定账户缴纳竞买保证金，到账截止时间为</w:t>
      </w:r>
      <w:r>
        <w:rPr>
          <w:rStyle w:val="17"/>
          <w:rFonts w:eastAsia="仿宋"/>
          <w:b w:val="0"/>
          <w:bCs/>
          <w:color w:val="000000" w:themeColor="text1"/>
          <w:sz w:val="32"/>
          <w:szCs w:val="32"/>
        </w:rPr>
        <w:t>2022年</w:t>
      </w:r>
      <w:r>
        <w:rPr>
          <w:rStyle w:val="17"/>
          <w:rFonts w:hint="eastAsia" w:eastAsia="仿宋"/>
          <w:b w:val="0"/>
          <w:bCs/>
          <w:color w:val="000000" w:themeColor="text1"/>
          <w:sz w:val="32"/>
          <w:szCs w:val="32"/>
          <w:lang w:val="en-US" w:eastAsia="zh-CN"/>
        </w:rPr>
        <w:t>12</w:t>
      </w:r>
      <w:r>
        <w:rPr>
          <w:rStyle w:val="17"/>
          <w:rFonts w:eastAsia="仿宋"/>
          <w:b w:val="0"/>
          <w:bCs/>
          <w:color w:val="000000" w:themeColor="text1"/>
          <w:sz w:val="32"/>
          <w:szCs w:val="32"/>
        </w:rPr>
        <w:t>月</w:t>
      </w:r>
      <w:r>
        <w:rPr>
          <w:rStyle w:val="17"/>
          <w:rFonts w:hint="eastAsia" w:eastAsia="仿宋"/>
          <w:b w:val="0"/>
          <w:bCs/>
          <w:color w:val="000000" w:themeColor="text1"/>
          <w:sz w:val="32"/>
          <w:szCs w:val="32"/>
          <w:lang w:val="en-US" w:eastAsia="zh-CN"/>
        </w:rPr>
        <w:t>29</w:t>
      </w:r>
      <w:r>
        <w:rPr>
          <w:rStyle w:val="17"/>
          <w:rFonts w:eastAsia="仿宋"/>
          <w:b w:val="0"/>
          <w:bCs/>
          <w:color w:val="000000" w:themeColor="text1"/>
          <w:sz w:val="32"/>
          <w:szCs w:val="32"/>
        </w:rPr>
        <w:t>日17:00时</w:t>
      </w:r>
      <w:r>
        <w:rPr>
          <w:rStyle w:val="17"/>
          <w:rFonts w:eastAsia="仿宋"/>
          <w:b w:val="0"/>
          <w:bCs/>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b w:val="0"/>
          <w:bCs/>
          <w:color w:val="000000" w:themeColor="text1"/>
          <w:sz w:val="32"/>
          <w:szCs w:val="32"/>
        </w:rPr>
      </w:pPr>
      <w:r>
        <w:rPr>
          <w:rFonts w:eastAsia="仿宋"/>
          <w:b w:val="0"/>
          <w:bCs/>
          <w:color w:val="000000" w:themeColor="text1"/>
          <w:sz w:val="32"/>
          <w:szCs w:val="32"/>
        </w:rPr>
        <w:t>已提交申请的竞买申请人须在资格审查当日（</w:t>
      </w:r>
      <w:r>
        <w:rPr>
          <w:rFonts w:eastAsia="仿宋"/>
          <w:b w:val="0"/>
          <w:bCs/>
          <w:color w:val="000000" w:themeColor="text1"/>
          <w:sz w:val="32"/>
          <w:szCs w:val="32"/>
          <w:u w:val="single"/>
        </w:rPr>
        <w:t>2022年</w:t>
      </w:r>
      <w:r>
        <w:rPr>
          <w:rFonts w:hint="eastAsia" w:eastAsia="仿宋"/>
          <w:b w:val="0"/>
          <w:bCs/>
          <w:color w:val="000000" w:themeColor="text1"/>
          <w:sz w:val="32"/>
          <w:szCs w:val="32"/>
          <w:u w:val="single"/>
          <w:lang w:val="en-US" w:eastAsia="zh-CN"/>
        </w:rPr>
        <w:t>12</w:t>
      </w:r>
      <w:r>
        <w:rPr>
          <w:rFonts w:eastAsia="仿宋"/>
          <w:b w:val="0"/>
          <w:bCs/>
          <w:color w:val="000000" w:themeColor="text1"/>
          <w:sz w:val="32"/>
          <w:szCs w:val="32"/>
          <w:u w:val="single"/>
        </w:rPr>
        <w:t>月</w:t>
      </w:r>
      <w:r>
        <w:rPr>
          <w:rFonts w:hint="eastAsia" w:eastAsia="仿宋"/>
          <w:b w:val="0"/>
          <w:bCs/>
          <w:color w:val="000000" w:themeColor="text1"/>
          <w:sz w:val="32"/>
          <w:szCs w:val="32"/>
          <w:u w:val="single"/>
          <w:lang w:val="en-US" w:eastAsia="zh-CN"/>
        </w:rPr>
        <w:t>30</w:t>
      </w:r>
      <w:r>
        <w:rPr>
          <w:rFonts w:eastAsia="仿宋"/>
          <w:b w:val="0"/>
          <w:bCs/>
          <w:color w:val="000000" w:themeColor="text1"/>
          <w:sz w:val="32"/>
          <w:szCs w:val="32"/>
          <w:u w:val="single"/>
        </w:rPr>
        <w:t>日</w:t>
      </w:r>
      <w:r>
        <w:rPr>
          <w:rFonts w:eastAsia="仿宋"/>
          <w:b w:val="0"/>
          <w:bCs/>
          <w:color w:val="000000" w:themeColor="text1"/>
          <w:sz w:val="32"/>
          <w:szCs w:val="32"/>
        </w:rPr>
        <w:t>）</w:t>
      </w:r>
      <w:r>
        <w:rPr>
          <w:rFonts w:eastAsia="仿宋"/>
          <w:b w:val="0"/>
          <w:bCs/>
          <w:color w:val="000000" w:themeColor="text1"/>
          <w:sz w:val="32"/>
          <w:szCs w:val="32"/>
          <w:u w:val="single"/>
        </w:rPr>
        <w:t>9:00</w:t>
      </w:r>
      <w:r>
        <w:rPr>
          <w:rFonts w:eastAsia="仿宋"/>
          <w:b w:val="0"/>
          <w:bCs/>
          <w:color w:val="000000" w:themeColor="text1"/>
          <w:sz w:val="32"/>
          <w:szCs w:val="32"/>
        </w:rPr>
        <w:t>之前将竞买申请文件原件现场提交至达州市公共资源交易服务中心</w:t>
      </w:r>
      <w:r>
        <w:rPr>
          <w:rFonts w:eastAsia="仿宋"/>
          <w:b w:val="0"/>
          <w:bCs/>
          <w:color w:val="000000" w:themeColor="text1"/>
          <w:sz w:val="32"/>
          <w:szCs w:val="32"/>
          <w:u w:val="single"/>
        </w:rPr>
        <w:t>4B-17</w:t>
      </w:r>
      <w:r>
        <w:rPr>
          <w:rFonts w:eastAsia="仿宋"/>
          <w:b w:val="0"/>
          <w:bCs/>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b w:val="0"/>
          <w:bCs/>
          <w:color w:val="000000" w:themeColor="text1"/>
          <w:sz w:val="32"/>
          <w:szCs w:val="32"/>
        </w:rPr>
        <w:t>通过竞买资格审查的竞买申请人须在</w:t>
      </w:r>
      <w:r>
        <w:rPr>
          <w:rFonts w:eastAsia="仿宋"/>
          <w:b w:val="0"/>
          <w:bCs/>
          <w:sz w:val="32"/>
          <w:szCs w:val="32"/>
          <w:u w:val="single"/>
        </w:rPr>
        <w:t>2022年</w:t>
      </w:r>
      <w:r>
        <w:rPr>
          <w:rFonts w:hint="eastAsia" w:eastAsia="仿宋"/>
          <w:b w:val="0"/>
          <w:bCs/>
          <w:sz w:val="32"/>
          <w:szCs w:val="32"/>
          <w:u w:val="single"/>
          <w:lang w:val="en-US" w:eastAsia="zh-CN"/>
        </w:rPr>
        <w:t>12</w:t>
      </w:r>
      <w:r>
        <w:rPr>
          <w:rFonts w:eastAsia="仿宋"/>
          <w:b w:val="0"/>
          <w:bCs/>
          <w:sz w:val="32"/>
          <w:szCs w:val="32"/>
          <w:u w:val="single"/>
        </w:rPr>
        <w:t>月</w:t>
      </w:r>
      <w:r>
        <w:rPr>
          <w:rFonts w:hint="eastAsia" w:eastAsia="仿宋"/>
          <w:b w:val="0"/>
          <w:bCs/>
          <w:sz w:val="32"/>
          <w:szCs w:val="32"/>
          <w:u w:val="single"/>
          <w:lang w:val="en-US" w:eastAsia="zh-CN"/>
        </w:rPr>
        <w:t>30</w:t>
      </w:r>
      <w:r>
        <w:rPr>
          <w:rFonts w:eastAsia="仿宋"/>
          <w:b w:val="0"/>
          <w:bCs/>
          <w:sz w:val="32"/>
          <w:szCs w:val="32"/>
          <w:u w:val="single"/>
        </w:rPr>
        <w:t>日1</w:t>
      </w:r>
      <w:r>
        <w:rPr>
          <w:rFonts w:hint="eastAsia" w:eastAsia="仿宋"/>
          <w:b w:val="0"/>
          <w:bCs/>
          <w:sz w:val="32"/>
          <w:szCs w:val="32"/>
          <w:u w:val="single"/>
          <w:lang w:val="en-US" w:eastAsia="zh-CN"/>
        </w:rPr>
        <w:t>0</w:t>
      </w:r>
      <w:r>
        <w:rPr>
          <w:rFonts w:eastAsia="仿宋"/>
          <w:b w:val="0"/>
          <w:bCs/>
          <w:sz w:val="32"/>
          <w:szCs w:val="32"/>
          <w:u w:val="single"/>
        </w:rPr>
        <w:t>:00</w:t>
      </w:r>
      <w:r>
        <w:rPr>
          <w:rFonts w:eastAsia="仿宋"/>
          <w:b w:val="0"/>
          <w:bCs/>
          <w:color w:val="000000" w:themeColor="text1"/>
          <w:sz w:val="32"/>
          <w:szCs w:val="32"/>
        </w:rPr>
        <w:t>前自行通过</w:t>
      </w:r>
      <w:r>
        <w:rPr>
          <w:rFonts w:eastAsia="仿宋"/>
          <w:b w:val="0"/>
          <w:bCs/>
          <w:color w:val="000000" w:themeColor="text1"/>
          <w:sz w:val="32"/>
          <w:szCs w:val="32"/>
          <w:u w:val="single"/>
        </w:rPr>
        <w:t>达州市公共资源</w:t>
      </w:r>
      <w:r>
        <w:rPr>
          <w:rFonts w:eastAsia="仿宋"/>
          <w:color w:val="000000" w:themeColor="text1"/>
          <w:sz w:val="32"/>
          <w:szCs w:val="32"/>
          <w:u w:val="single"/>
        </w:rPr>
        <w:t>交易服务</w:t>
      </w:r>
      <w:r>
        <w:rPr>
          <w:rStyle w:val="17"/>
          <w:rFonts w:eastAsia="仿宋"/>
          <w:color w:val="000000" w:themeColor="text1"/>
          <w:sz w:val="32"/>
          <w:szCs w:val="32"/>
        </w:rPr>
        <w:t>网（</w:t>
      </w:r>
      <w:r>
        <w:fldChar w:fldCharType="begin"/>
      </w:r>
      <w:r>
        <w:instrText xml:space="preserve"> HYPERLINK "http://www.dzggzy.cn/" </w:instrText>
      </w:r>
      <w:r>
        <w:fldChar w:fldCharType="separate"/>
      </w:r>
      <w:r>
        <w:rPr>
          <w:rStyle w:val="17"/>
          <w:rFonts w:eastAsia="仿宋"/>
          <w:color w:val="000000" w:themeColor="text1"/>
          <w:sz w:val="32"/>
          <w:szCs w:val="32"/>
        </w:rPr>
        <w:t>http://www.dzggzy.cn</w:t>
      </w:r>
      <w:r>
        <w:rPr>
          <w:rStyle w:val="17"/>
          <w:rFonts w:eastAsia="仿宋"/>
          <w:color w:val="000000" w:themeColor="text1"/>
          <w:sz w:val="32"/>
          <w:szCs w:val="32"/>
        </w:rPr>
        <w:fldChar w:fldCharType="end"/>
      </w:r>
      <w:r>
        <w:rPr>
          <w:rStyle w:val="17"/>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hint="eastAsia" w:eastAsia="仿宋"/>
          <w:color w:val="000000" w:themeColor="text1"/>
          <w:sz w:val="32"/>
          <w:szCs w:val="32"/>
          <w:lang w:val="en-US" w:eastAsia="zh-CN"/>
        </w:rPr>
        <w:t>于</w:t>
      </w:r>
      <w:r>
        <w:rPr>
          <w:rFonts w:eastAsia="仿宋"/>
          <w:b w:val="0"/>
          <w:bCs/>
          <w:sz w:val="32"/>
          <w:szCs w:val="32"/>
          <w:u w:val="single"/>
        </w:rPr>
        <w:t>2022年</w:t>
      </w:r>
      <w:r>
        <w:rPr>
          <w:rFonts w:hint="eastAsia" w:eastAsia="仿宋"/>
          <w:b w:val="0"/>
          <w:bCs/>
          <w:sz w:val="32"/>
          <w:szCs w:val="32"/>
          <w:u w:val="single"/>
          <w:lang w:val="en-US" w:eastAsia="zh-CN"/>
        </w:rPr>
        <w:t>12</w:t>
      </w:r>
      <w:r>
        <w:rPr>
          <w:rFonts w:eastAsia="仿宋"/>
          <w:b w:val="0"/>
          <w:bCs/>
          <w:sz w:val="32"/>
          <w:szCs w:val="32"/>
          <w:u w:val="single"/>
        </w:rPr>
        <w:t>月</w:t>
      </w:r>
      <w:r>
        <w:rPr>
          <w:rFonts w:hint="eastAsia" w:eastAsia="仿宋"/>
          <w:b w:val="0"/>
          <w:bCs/>
          <w:sz w:val="32"/>
          <w:szCs w:val="32"/>
          <w:u w:val="single"/>
          <w:lang w:val="en-US" w:eastAsia="zh-CN"/>
        </w:rPr>
        <w:t>30</w:t>
      </w:r>
      <w:r>
        <w:rPr>
          <w:rFonts w:eastAsia="仿宋"/>
          <w:b w:val="0"/>
          <w:bCs/>
          <w:sz w:val="32"/>
          <w:szCs w:val="32"/>
          <w:u w:val="single"/>
        </w:rPr>
        <w:t>日1</w:t>
      </w:r>
      <w:r>
        <w:rPr>
          <w:rFonts w:hint="eastAsia" w:eastAsia="仿宋"/>
          <w:b w:val="0"/>
          <w:bCs/>
          <w:sz w:val="32"/>
          <w:szCs w:val="32"/>
          <w:u w:val="single"/>
          <w:lang w:val="en-US" w:eastAsia="zh-CN"/>
        </w:rPr>
        <w:t>0</w:t>
      </w:r>
      <w:r>
        <w:rPr>
          <w:rFonts w:eastAsia="仿宋"/>
          <w:b w:val="0"/>
          <w:bCs/>
          <w:sz w:val="32"/>
          <w:szCs w:val="32"/>
          <w:u w:val="single"/>
        </w:rPr>
        <w:t>:00</w:t>
      </w:r>
      <w:r>
        <w:rPr>
          <w:rFonts w:eastAsia="仿宋"/>
          <w:color w:val="000000" w:themeColor="text1"/>
          <w:sz w:val="32"/>
          <w:szCs w:val="32"/>
        </w:rPr>
        <w:t>在</w:t>
      </w:r>
      <w:r>
        <w:rPr>
          <w:rFonts w:eastAsia="仿宋"/>
          <w:b w:val="0"/>
          <w:bCs w:val="0"/>
          <w:color w:val="000000" w:themeColor="text1"/>
          <w:sz w:val="32"/>
          <w:szCs w:val="32"/>
          <w:u w:val="single"/>
        </w:rPr>
        <w:t>开标二厅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right="0" w:firstLine="640" w:firstLineChars="200"/>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八、本公告未尽事宜详见拍卖出让文件（拍卖出让文件可在达州市公共资源交易服务网</w:t>
      </w:r>
      <w:r>
        <w:rPr>
          <w:rFonts w:eastAsia="仿宋"/>
          <w:color w:val="000000" w:themeColor="text1"/>
          <w:w w:val="90"/>
          <w:sz w:val="32"/>
          <w:szCs w:val="32"/>
        </w:rPr>
        <w:t>（</w:t>
      </w:r>
      <w:r>
        <w:fldChar w:fldCharType="begin"/>
      </w:r>
      <w:r>
        <w:instrText xml:space="preserve"> HYPERLINK "http://www.dzggzy.cn/" </w:instrText>
      </w:r>
      <w:r>
        <w:fldChar w:fldCharType="separate"/>
      </w:r>
      <w:r>
        <w:rPr>
          <w:rStyle w:val="17"/>
          <w:rFonts w:eastAsia="仿宋"/>
          <w:color w:val="000000" w:themeColor="text1"/>
          <w:sz w:val="32"/>
          <w:szCs w:val="32"/>
        </w:rPr>
        <w:t>http://www.dzggzy.cn</w:t>
      </w:r>
      <w:r>
        <w:rPr>
          <w:rStyle w:val="17"/>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w:t>
      </w:r>
      <w:r>
        <w:rPr>
          <w:rFonts w:hint="eastAsia" w:eastAsia="仿宋"/>
          <w:color w:val="000000" w:themeColor="text1"/>
          <w:sz w:val="32"/>
          <w:szCs w:val="32"/>
          <w:u w:val="none"/>
        </w:rPr>
        <w:t>达州市通川区自然资源局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w:t>
      </w:r>
      <w:r>
        <w:rPr>
          <w:rFonts w:hint="eastAsia" w:eastAsia="仿宋"/>
          <w:color w:val="000000" w:themeColor="text1"/>
          <w:sz w:val="32"/>
          <w:szCs w:val="32"/>
        </w:rPr>
        <w:t>达州市通川区凤北街道青杠垭路38号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 xml:space="preserve">联系电话： </w:t>
      </w:r>
      <w:r>
        <w:rPr>
          <w:rFonts w:hint="eastAsia" w:eastAsia="仿宋"/>
          <w:color w:val="000000" w:themeColor="text1"/>
          <w:sz w:val="32"/>
          <w:szCs w:val="32"/>
        </w:rPr>
        <w:t>0818-2370872</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eastAsia" w:eastAsia="仿宋"/>
          <w:color w:val="000000" w:themeColor="text1"/>
          <w:sz w:val="32"/>
          <w:szCs w:val="32"/>
        </w:rPr>
      </w:pPr>
      <w:r>
        <w:rPr>
          <w:rFonts w:eastAsia="仿宋"/>
          <w:color w:val="000000" w:themeColor="text1"/>
          <w:sz w:val="32"/>
          <w:szCs w:val="32"/>
        </w:rPr>
        <w:t>联系地址：</w:t>
      </w:r>
      <w:r>
        <w:rPr>
          <w:rFonts w:hint="eastAsia" w:eastAsia="仿宋"/>
          <w:color w:val="000000" w:themeColor="text1"/>
          <w:sz w:val="32"/>
          <w:szCs w:val="32"/>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right="0"/>
        <w:jc w:val="both"/>
        <w:textAlignment w:val="auto"/>
        <w:rPr>
          <w:rFonts w:eastAsia="仿宋"/>
          <w:color w:val="000000" w:themeColor="text1"/>
          <w:sz w:val="32"/>
          <w:szCs w:val="32"/>
        </w:rPr>
      </w:pPr>
      <w:r>
        <w:rPr>
          <w:rFonts w:hint="eastAsia" w:eastAsia="仿宋"/>
          <w:color w:val="000000" w:themeColor="text1"/>
          <w:sz w:val="32"/>
          <w:szCs w:val="32"/>
          <w:u w:val="none"/>
        </w:rPr>
        <w:t>达州市通川区自然资源局</w:t>
      </w:r>
      <w:r>
        <w:rPr>
          <w:rFonts w:hint="eastAsia" w:eastAsia="仿宋"/>
          <w:color w:val="000000" w:themeColor="text1"/>
          <w:sz w:val="32"/>
          <w:szCs w:val="32"/>
          <w:u w:val="none"/>
          <w:lang w:val="en-US" w:eastAsia="zh-CN"/>
        </w:rPr>
        <w:t xml:space="preserve">     </w:t>
      </w: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eastAsia="仿宋"/>
          <w:color w:val="000000" w:themeColor="text1"/>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12</w:t>
      </w:r>
      <w:r>
        <w:rPr>
          <w:rFonts w:eastAsia="仿宋"/>
          <w:color w:val="000000" w:themeColor="text1"/>
          <w:sz w:val="32"/>
          <w:szCs w:val="32"/>
        </w:rPr>
        <w:t>月</w:t>
      </w:r>
      <w:r>
        <w:rPr>
          <w:rFonts w:hint="eastAsia" w:eastAsia="仿宋"/>
          <w:color w:val="000000" w:themeColor="text1"/>
          <w:sz w:val="32"/>
          <w:szCs w:val="32"/>
          <w:lang w:val="en-US" w:eastAsia="zh-CN"/>
        </w:rPr>
        <w:t>9</w:t>
      </w:r>
      <w:bookmarkStart w:id="22" w:name="_GoBack"/>
      <w:bookmarkEnd w:id="22"/>
      <w:r>
        <w:rPr>
          <w:rFonts w:eastAsia="仿宋"/>
          <w:color w:val="000000" w:themeColor="text1"/>
          <w:sz w:val="32"/>
          <w:szCs w:val="32"/>
        </w:rPr>
        <w:t>日</w:t>
      </w:r>
    </w:p>
    <w:bookmarkEnd w:id="2"/>
    <w:p>
      <w:pPr>
        <w:pStyle w:val="12"/>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b/>
          <w:bCs/>
          <w:color w:val="000000" w:themeColor="text1"/>
          <w:sz w:val="28"/>
          <w:szCs w:val="28"/>
          <w:u w:val="single"/>
        </w:rPr>
        <w:t>达州市</w:t>
      </w:r>
      <w:r>
        <w:rPr>
          <w:rFonts w:hint="eastAsia"/>
          <w:b/>
          <w:bCs/>
          <w:color w:val="000000" w:themeColor="text1"/>
          <w:sz w:val="28"/>
          <w:szCs w:val="28"/>
          <w:u w:val="single"/>
          <w:lang w:val="en-US" w:eastAsia="zh-CN"/>
        </w:rPr>
        <w:t>通川区</w:t>
      </w:r>
      <w:r>
        <w:rPr>
          <w:b/>
          <w:bCs/>
          <w:color w:val="000000" w:themeColor="text1"/>
          <w:sz w:val="28"/>
          <w:szCs w:val="28"/>
          <w:u w:val="single"/>
        </w:rPr>
        <w:t>人民政府</w:t>
      </w:r>
      <w:r>
        <w:rPr>
          <w:color w:val="000000" w:themeColor="text1"/>
          <w:sz w:val="28"/>
          <w:szCs w:val="28"/>
        </w:rPr>
        <w:t>批准</w:t>
      </w:r>
      <w:r>
        <w:rPr>
          <w:rFonts w:hint="eastAsia"/>
          <w:color w:val="000000" w:themeColor="text1"/>
          <w:sz w:val="28"/>
          <w:szCs w:val="28"/>
          <w:lang w:eastAsia="zh-CN"/>
        </w:rPr>
        <w:t>，</w:t>
      </w:r>
      <w:r>
        <w:rPr>
          <w:rFonts w:hint="eastAsia"/>
          <w:b/>
          <w:bCs/>
          <w:color w:val="000000" w:themeColor="text1"/>
          <w:sz w:val="28"/>
          <w:szCs w:val="28"/>
          <w:u w:val="single"/>
        </w:rPr>
        <w:t>达州市通川区自然资源局</w:t>
      </w:r>
      <w:r>
        <w:rPr>
          <w:color w:val="000000" w:themeColor="text1"/>
          <w:sz w:val="28"/>
          <w:szCs w:val="28"/>
        </w:rPr>
        <w:t>决定拍卖出让</w:t>
      </w:r>
      <w:r>
        <w:rPr>
          <w:rFonts w:hint="eastAsia"/>
          <w:b/>
          <w:bCs/>
          <w:color w:val="000000" w:themeColor="text1"/>
          <w:sz w:val="28"/>
          <w:szCs w:val="28"/>
          <w:u w:val="single"/>
        </w:rPr>
        <w:t>达州市达钢（老厂）片区B09-01地块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hint="eastAsia"/>
          <w:b/>
          <w:bCs/>
          <w:color w:val="000000" w:themeColor="text1"/>
          <w:sz w:val="28"/>
          <w:szCs w:val="28"/>
          <w:u w:val="single"/>
        </w:rPr>
        <w:t>达州市通川区自然资源局</w:t>
      </w:r>
      <w:r>
        <w:rPr>
          <w:rFonts w:eastAsia="楷体"/>
          <w:b w:val="0"/>
          <w:bCs/>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lang w:val="en-US" w:eastAsia="zh-CN"/>
        </w:rPr>
        <w:t>通川区西河路</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达州市达钢（老厂）片区B09-01地块供地</w:t>
      </w:r>
      <w:r>
        <w:rPr>
          <w:color w:val="000000" w:themeColor="text1"/>
          <w:sz w:val="28"/>
          <w:szCs w:val="28"/>
        </w:rPr>
        <w:t>勘界图》；</w:t>
      </w:r>
    </w:p>
    <w:p>
      <w:pPr>
        <w:spacing w:line="60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lang w:val="en-US" w:eastAsia="zh-CN"/>
        </w:rPr>
        <w:t>5693.86</w:t>
      </w:r>
      <w:r>
        <w:rPr>
          <w:rFonts w:hint="eastAsia"/>
          <w:color w:val="000000" w:themeColor="text1"/>
          <w:sz w:val="28"/>
          <w:szCs w:val="28"/>
        </w:rPr>
        <w:t>平方米（折合</w:t>
      </w:r>
      <w:r>
        <w:rPr>
          <w:rFonts w:hint="eastAsia"/>
          <w:color w:val="000000" w:themeColor="text1"/>
          <w:sz w:val="28"/>
          <w:szCs w:val="28"/>
          <w:lang w:val="en-US" w:eastAsia="zh-CN"/>
        </w:rPr>
        <w:t>8.54</w:t>
      </w:r>
      <w:r>
        <w:rPr>
          <w:rFonts w:hint="eastAsia"/>
          <w:color w:val="000000" w:themeColor="text1"/>
          <w:sz w:val="28"/>
          <w:szCs w:val="28"/>
        </w:rPr>
        <w:t>亩）</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（四）土地用途：</w:t>
      </w:r>
      <w:r>
        <w:rPr>
          <w:rFonts w:hint="eastAsia"/>
          <w:color w:val="000000" w:themeColor="text1"/>
          <w:sz w:val="28"/>
          <w:szCs w:val="28"/>
          <w:lang w:val="en-US" w:eastAsia="zh-CN"/>
        </w:rPr>
        <w:t>商业用地（B1）</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（五）出让年限：40年；</w:t>
      </w:r>
    </w:p>
    <w:p>
      <w:pPr>
        <w:spacing w:line="60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rPr>
        <w:t>达州市达钢（老厂）片区B09-01地块</w:t>
      </w:r>
      <w:r>
        <w:rPr>
          <w:color w:val="000000" w:themeColor="text1"/>
          <w:sz w:val="28"/>
          <w:szCs w:val="28"/>
        </w:rPr>
        <w:t>规划条件》；</w:t>
      </w:r>
    </w:p>
    <w:p>
      <w:pPr>
        <w:spacing w:line="620" w:lineRule="exact"/>
        <w:ind w:firstLine="560" w:firstLineChars="200"/>
        <w:rPr>
          <w:rFonts w:hint="eastAsia"/>
          <w:color w:val="000000" w:themeColor="text1"/>
          <w:sz w:val="28"/>
          <w:szCs w:val="28"/>
        </w:rPr>
      </w:pPr>
      <w:r>
        <w:rPr>
          <w:color w:val="000000" w:themeColor="text1"/>
          <w:sz w:val="28"/>
          <w:szCs w:val="28"/>
        </w:rPr>
        <w:t>（七）</w:t>
      </w:r>
      <w:r>
        <w:rPr>
          <w:rFonts w:hint="eastAsia"/>
          <w:color w:val="000000" w:themeColor="text1"/>
          <w:sz w:val="28"/>
          <w:szCs w:val="28"/>
        </w:rPr>
        <w:t>商业用房应设置商业专用烟道</w:t>
      </w:r>
      <w:r>
        <w:rPr>
          <w:rFonts w:hint="eastAsia"/>
          <w:color w:val="000000" w:themeColor="text1"/>
          <w:sz w:val="28"/>
          <w:szCs w:val="28"/>
          <w:lang w:eastAsia="zh-CN"/>
        </w:rPr>
        <w:t>，</w:t>
      </w:r>
      <w:r>
        <w:rPr>
          <w:rFonts w:hint="eastAsia"/>
          <w:color w:val="000000" w:themeColor="text1"/>
          <w:sz w:val="28"/>
          <w:szCs w:val="28"/>
        </w:rPr>
        <w:t>建筑外立面应作公建化设计</w:t>
      </w:r>
      <w:r>
        <w:rPr>
          <w:rFonts w:hint="eastAsia"/>
          <w:color w:val="000000" w:themeColor="text1"/>
          <w:sz w:val="28"/>
          <w:szCs w:val="28"/>
          <w:lang w:eastAsia="zh-CN"/>
        </w:rPr>
        <w:t>。</w:t>
      </w:r>
      <w:r>
        <w:rPr>
          <w:rFonts w:hint="eastAsia"/>
          <w:color w:val="000000" w:themeColor="text1"/>
          <w:sz w:val="28"/>
          <w:szCs w:val="28"/>
        </w:rPr>
        <w:t>建筑退距</w:t>
      </w:r>
      <w:r>
        <w:rPr>
          <w:rFonts w:hint="eastAsia"/>
          <w:color w:val="000000" w:themeColor="text1"/>
          <w:sz w:val="28"/>
          <w:szCs w:val="28"/>
          <w:lang w:eastAsia="zh-CN"/>
        </w:rPr>
        <w:t>：</w:t>
      </w:r>
      <w:r>
        <w:rPr>
          <w:rFonts w:hint="eastAsia"/>
          <w:color w:val="000000" w:themeColor="text1"/>
          <w:sz w:val="28"/>
          <w:szCs w:val="28"/>
        </w:rPr>
        <w:t>该地块内建筑后退规划绿地距离、后退规划道路距离见用地红线图。项目排水实行雨污分流，生活污水须接入市政污水管网排放，项目建成后因市政原因导致生活污水暂不能接入市政污水管网排放的</w:t>
      </w:r>
      <w:r>
        <w:rPr>
          <w:rFonts w:hint="eastAsia"/>
          <w:color w:val="000000" w:themeColor="text1"/>
          <w:sz w:val="28"/>
          <w:szCs w:val="28"/>
          <w:lang w:eastAsia="zh-CN"/>
        </w:rPr>
        <w:t>，</w:t>
      </w:r>
      <w:r>
        <w:rPr>
          <w:rFonts w:hint="eastAsia"/>
          <w:color w:val="000000" w:themeColor="text1"/>
          <w:sz w:val="28"/>
          <w:szCs w:val="28"/>
        </w:rPr>
        <w:t>建设单位需同步配套临时污水处理设施，确保生活污水处理达标后排放</w:t>
      </w:r>
      <w:r>
        <w:rPr>
          <w:rFonts w:hint="eastAsia"/>
          <w:color w:val="000000" w:themeColor="text1"/>
          <w:sz w:val="28"/>
          <w:szCs w:val="28"/>
          <w:lang w:eastAsia="zh-CN"/>
        </w:rPr>
        <w:t>；</w:t>
      </w:r>
      <w:r>
        <w:rPr>
          <w:rFonts w:hint="eastAsia"/>
          <w:color w:val="000000" w:themeColor="text1"/>
          <w:sz w:val="28"/>
          <w:szCs w:val="28"/>
        </w:rPr>
        <w:t>市政管网接通后，建设单位必须将生产、生活污水接入市政管网排放。根据《达州市人民政府办公室关于印发达钢老厂区土地利用处置工作方案的通知》</w:t>
      </w:r>
      <w:r>
        <w:rPr>
          <w:rFonts w:hint="eastAsia" w:ascii="Times New Roman" w:hAnsi="Times New Roman" w:cs="Times New Roman"/>
          <w:color w:val="000000" w:themeColor="text1"/>
          <w:sz w:val="28"/>
          <w:szCs w:val="28"/>
          <w:lang w:eastAsia="zh-CN"/>
        </w:rPr>
        <w:t>（</w:t>
      </w:r>
      <w:r>
        <w:rPr>
          <w:rFonts w:hint="eastAsia" w:ascii="Times New Roman" w:hAnsi="Times New Roman" w:cs="Times New Roman"/>
          <w:color w:val="000000" w:themeColor="text1"/>
          <w:sz w:val="28"/>
          <w:szCs w:val="28"/>
        </w:rPr>
        <w:t>达市府办函</w:t>
      </w:r>
      <w:r>
        <w:rPr>
          <w:rFonts w:hint="default" w:ascii="Times New Roman" w:hAnsi="Times New Roman" w:cs="Times New Roman"/>
          <w:color w:val="000000" w:themeColor="text1"/>
          <w:sz w:val="28"/>
          <w:szCs w:val="28"/>
          <w:lang w:eastAsia="zh-CN"/>
        </w:rPr>
        <w:t>〔</w:t>
      </w:r>
      <w:r>
        <w:rPr>
          <w:rFonts w:hint="eastAsia" w:ascii="Times New Roman" w:hAnsi="Times New Roman" w:cs="Times New Roman"/>
          <w:color w:val="000000" w:themeColor="text1"/>
          <w:sz w:val="28"/>
          <w:szCs w:val="28"/>
          <w:lang w:val="en-US" w:eastAsia="zh-CN"/>
        </w:rPr>
        <w:t>2022</w:t>
      </w:r>
      <w:r>
        <w:rPr>
          <w:rFonts w:hint="default" w:ascii="Times New Roman" w:hAnsi="Times New Roman" w:cs="Times New Roman"/>
          <w:color w:val="000000" w:themeColor="text1"/>
          <w:sz w:val="28"/>
          <w:szCs w:val="28"/>
          <w:lang w:val="en-US" w:eastAsia="zh-CN"/>
        </w:rPr>
        <w:t>〕</w:t>
      </w:r>
      <w:r>
        <w:rPr>
          <w:rFonts w:hint="eastAsia" w:ascii="Times New Roman" w:hAnsi="Times New Roman" w:cs="Times New Roman"/>
          <w:color w:val="000000" w:themeColor="text1"/>
          <w:sz w:val="28"/>
          <w:szCs w:val="28"/>
        </w:rPr>
        <w:t>87号</w:t>
      </w:r>
      <w:r>
        <w:rPr>
          <w:rFonts w:hint="eastAsia" w:ascii="Times New Roman" w:hAnsi="Times New Roman" w:cs="Times New Roman"/>
          <w:color w:val="000000" w:themeColor="text1"/>
          <w:sz w:val="28"/>
          <w:szCs w:val="28"/>
          <w:lang w:eastAsia="zh-CN"/>
        </w:rPr>
        <w:t>）</w:t>
      </w:r>
      <w:r>
        <w:rPr>
          <w:rFonts w:hint="eastAsia" w:ascii="Times New Roman" w:hAnsi="Times New Roman" w:cs="Times New Roman"/>
          <w:color w:val="000000" w:themeColor="text1"/>
          <w:sz w:val="28"/>
          <w:szCs w:val="28"/>
        </w:rPr>
        <w:t>文件精神，本着改善环境、提升土地价值的</w:t>
      </w:r>
      <w:r>
        <w:rPr>
          <w:rFonts w:hint="eastAsia"/>
          <w:color w:val="000000" w:themeColor="text1"/>
          <w:sz w:val="28"/>
          <w:szCs w:val="28"/>
        </w:rPr>
        <w:t>原则，地块周边规划绿地由竞得者打造后无偿移交给政府，具体位置及范围详见规划红线图。地块内建筑间距、退用地界线距离、停车泊位等应满足《城市居住区规划设计标准》</w:t>
      </w:r>
      <w:r>
        <w:rPr>
          <w:rFonts w:hint="eastAsia"/>
          <w:color w:val="000000" w:themeColor="text1"/>
          <w:sz w:val="28"/>
          <w:szCs w:val="28"/>
          <w:lang w:eastAsia="zh-CN"/>
        </w:rPr>
        <w:t>（</w:t>
      </w:r>
      <w:r>
        <w:rPr>
          <w:rFonts w:hint="eastAsia"/>
          <w:color w:val="000000" w:themeColor="text1"/>
          <w:sz w:val="28"/>
          <w:szCs w:val="28"/>
        </w:rPr>
        <w:t>GB50180-2018</w:t>
      </w:r>
      <w:r>
        <w:rPr>
          <w:rFonts w:hint="eastAsia"/>
          <w:color w:val="000000" w:themeColor="text1"/>
          <w:sz w:val="28"/>
          <w:szCs w:val="28"/>
          <w:lang w:eastAsia="zh-CN"/>
        </w:rPr>
        <w:t>）《</w:t>
      </w:r>
      <w:r>
        <w:rPr>
          <w:rFonts w:hint="eastAsia"/>
          <w:color w:val="000000" w:themeColor="text1"/>
          <w:sz w:val="28"/>
          <w:szCs w:val="28"/>
        </w:rPr>
        <w:t>达州市国土空间规划管理技术规定</w:t>
      </w:r>
      <w:r>
        <w:rPr>
          <w:rFonts w:hint="eastAsia"/>
          <w:color w:val="000000" w:themeColor="text1"/>
          <w:sz w:val="28"/>
          <w:szCs w:val="28"/>
          <w:lang w:eastAsia="zh-CN"/>
        </w:rPr>
        <w:t>（</w:t>
      </w:r>
      <w:r>
        <w:rPr>
          <w:rFonts w:hint="eastAsia"/>
          <w:color w:val="000000" w:themeColor="text1"/>
          <w:sz w:val="28"/>
          <w:szCs w:val="28"/>
        </w:rPr>
        <w:t>2021版</w:t>
      </w:r>
      <w:r>
        <w:rPr>
          <w:rFonts w:hint="eastAsia"/>
          <w:color w:val="000000" w:themeColor="text1"/>
          <w:sz w:val="28"/>
          <w:szCs w:val="28"/>
          <w:lang w:eastAsia="zh-CN"/>
        </w:rPr>
        <w:t>）》</w:t>
      </w:r>
      <w:r>
        <w:rPr>
          <w:rFonts w:hint="eastAsia"/>
          <w:color w:val="000000" w:themeColor="text1"/>
          <w:sz w:val="28"/>
          <w:szCs w:val="28"/>
        </w:rPr>
        <w:t>《达州市达钢</w:t>
      </w:r>
      <w:r>
        <w:rPr>
          <w:rFonts w:hint="eastAsia"/>
          <w:color w:val="000000" w:themeColor="text1"/>
          <w:sz w:val="28"/>
          <w:szCs w:val="28"/>
          <w:lang w:eastAsia="zh-CN"/>
        </w:rPr>
        <w:t>（</w:t>
      </w:r>
      <w:r>
        <w:rPr>
          <w:rFonts w:hint="eastAsia"/>
          <w:color w:val="000000" w:themeColor="text1"/>
          <w:sz w:val="28"/>
          <w:szCs w:val="28"/>
          <w:lang w:val="en-US" w:eastAsia="zh-CN"/>
        </w:rPr>
        <w:t>老厂</w:t>
      </w:r>
      <w:r>
        <w:rPr>
          <w:rFonts w:hint="eastAsia"/>
          <w:color w:val="000000" w:themeColor="text1"/>
          <w:sz w:val="28"/>
          <w:szCs w:val="28"/>
          <w:lang w:eastAsia="zh-CN"/>
        </w:rPr>
        <w:t>）</w:t>
      </w:r>
      <w:r>
        <w:rPr>
          <w:rFonts w:hint="eastAsia"/>
          <w:color w:val="000000" w:themeColor="text1"/>
          <w:sz w:val="28"/>
          <w:szCs w:val="28"/>
        </w:rPr>
        <w:t>片区控制性详细规划》等规范及文件的相关规定。</w:t>
      </w:r>
    </w:p>
    <w:p>
      <w:pPr>
        <w:spacing w:line="620" w:lineRule="exact"/>
        <w:ind w:firstLine="560" w:firstLineChars="200"/>
        <w:rPr>
          <w:rFonts w:hint="eastAsia"/>
          <w:color w:val="000000" w:themeColor="text1"/>
          <w:sz w:val="28"/>
          <w:szCs w:val="28"/>
          <w:lang w:eastAsia="zh-CN"/>
        </w:rPr>
      </w:pPr>
      <w:r>
        <w:rPr>
          <w:rFonts w:hint="eastAsia"/>
          <w:color w:val="000000" w:themeColor="text1"/>
          <w:sz w:val="28"/>
          <w:szCs w:val="28"/>
          <w:lang w:eastAsia="zh-CN"/>
        </w:rPr>
        <w:t>（</w:t>
      </w:r>
      <w:r>
        <w:rPr>
          <w:rFonts w:hint="eastAsia"/>
          <w:color w:val="000000" w:themeColor="text1"/>
          <w:sz w:val="28"/>
          <w:szCs w:val="28"/>
          <w:lang w:val="en-US" w:eastAsia="zh-CN"/>
        </w:rPr>
        <w:t>八</w:t>
      </w:r>
      <w:r>
        <w:rPr>
          <w:rFonts w:hint="eastAsia"/>
          <w:color w:val="000000" w:themeColor="text1"/>
          <w:sz w:val="28"/>
          <w:szCs w:val="28"/>
          <w:lang w:eastAsia="zh-CN"/>
        </w:rPr>
        <w:t>）土地竞得人须严格按照达州市达钢（</w:t>
      </w:r>
      <w:r>
        <w:rPr>
          <w:rFonts w:hint="eastAsia"/>
          <w:color w:val="000000" w:themeColor="text1"/>
          <w:sz w:val="28"/>
          <w:szCs w:val="28"/>
          <w:lang w:val="en-US" w:eastAsia="zh-CN"/>
        </w:rPr>
        <w:t>老厂</w:t>
      </w:r>
      <w:r>
        <w:rPr>
          <w:rFonts w:hint="eastAsia"/>
          <w:color w:val="000000" w:themeColor="text1"/>
          <w:sz w:val="28"/>
          <w:szCs w:val="28"/>
          <w:lang w:eastAsia="zh-CN"/>
        </w:rPr>
        <w:t>）片区B</w:t>
      </w:r>
      <w:r>
        <w:rPr>
          <w:rFonts w:hint="eastAsia"/>
          <w:color w:val="000000" w:themeColor="text1"/>
          <w:sz w:val="28"/>
          <w:szCs w:val="28"/>
          <w:lang w:val="en-US" w:eastAsia="zh-CN"/>
        </w:rPr>
        <w:t>0</w:t>
      </w:r>
      <w:r>
        <w:rPr>
          <w:rFonts w:hint="eastAsia"/>
          <w:color w:val="000000" w:themeColor="text1"/>
          <w:sz w:val="28"/>
          <w:szCs w:val="28"/>
          <w:lang w:eastAsia="zh-CN"/>
        </w:rPr>
        <w:t>9-0</w:t>
      </w:r>
      <w:r>
        <w:rPr>
          <w:rFonts w:hint="eastAsia"/>
          <w:color w:val="000000" w:themeColor="text1"/>
          <w:sz w:val="28"/>
          <w:szCs w:val="28"/>
          <w:lang w:val="en-US" w:eastAsia="zh-CN"/>
        </w:rPr>
        <w:t>1</w:t>
      </w:r>
      <w:r>
        <w:rPr>
          <w:rFonts w:hint="eastAsia"/>
          <w:color w:val="000000" w:themeColor="text1"/>
          <w:sz w:val="28"/>
          <w:szCs w:val="28"/>
          <w:lang w:eastAsia="zh-CN"/>
        </w:rPr>
        <w:t>地块规划条件及要求进行开发建设；须严格按照地质灾害防治的相关要求，落实地质灾害防治措施；须严格按照生态环境保护的相关要求，开展环境影响评价，全面落实生态环境保护措施。</w:t>
      </w:r>
    </w:p>
    <w:p>
      <w:pPr>
        <w:spacing w:line="620" w:lineRule="exact"/>
        <w:ind w:firstLine="560" w:firstLineChars="200"/>
        <w:rPr>
          <w:rFonts w:hint="eastAsia"/>
          <w:color w:val="000000" w:themeColor="text1"/>
          <w:sz w:val="28"/>
          <w:szCs w:val="28"/>
          <w:lang w:eastAsia="zh-CN"/>
        </w:rPr>
      </w:pPr>
      <w:r>
        <w:rPr>
          <w:rFonts w:hint="eastAsia"/>
          <w:color w:val="000000" w:themeColor="text1"/>
          <w:sz w:val="28"/>
          <w:szCs w:val="28"/>
          <w:lang w:eastAsia="zh-CN"/>
        </w:rPr>
        <w:t>（</w:t>
      </w:r>
      <w:r>
        <w:rPr>
          <w:rFonts w:hint="eastAsia"/>
          <w:color w:val="000000" w:themeColor="text1"/>
          <w:sz w:val="28"/>
          <w:szCs w:val="28"/>
          <w:lang w:val="en-US" w:eastAsia="zh-CN"/>
        </w:rPr>
        <w:t>九</w:t>
      </w:r>
      <w:r>
        <w:rPr>
          <w:rFonts w:hint="eastAsia"/>
          <w:color w:val="000000" w:themeColor="text1"/>
          <w:sz w:val="28"/>
          <w:szCs w:val="28"/>
          <w:lang w:eastAsia="zh-CN"/>
        </w:rPr>
        <w:t>）在土地竞得人缴清全部土地出让价款（含滞纳金）之日起5个工作日内，按现状土地使用条件交付土地。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rFonts w:hint="eastAsia"/>
          <w:color w:val="000000" w:themeColor="text1"/>
          <w:sz w:val="28"/>
          <w:szCs w:val="28"/>
        </w:rPr>
      </w:pPr>
      <w:r>
        <w:rPr>
          <w:color w:val="000000" w:themeColor="text1"/>
          <w:sz w:val="28"/>
          <w:szCs w:val="28"/>
        </w:rPr>
        <w:t>（十）</w:t>
      </w:r>
      <w:r>
        <w:rPr>
          <w:rFonts w:hint="eastAsia"/>
          <w:color w:val="000000" w:themeColor="text1"/>
          <w:sz w:val="28"/>
          <w:szCs w:val="28"/>
        </w:rPr>
        <w:t>竞买人须承诺</w:t>
      </w:r>
      <w:r>
        <w:rPr>
          <w:rFonts w:hint="eastAsia"/>
          <w:color w:val="000000" w:themeColor="text1"/>
          <w:sz w:val="28"/>
          <w:szCs w:val="28"/>
          <w:lang w:eastAsia="zh-CN"/>
        </w:rPr>
        <w:t>：</w:t>
      </w:r>
      <w:r>
        <w:rPr>
          <w:rFonts w:hint="eastAsia"/>
          <w:color w:val="000000" w:themeColor="text1"/>
          <w:sz w:val="28"/>
          <w:szCs w:val="28"/>
        </w:rPr>
        <w:t>1.土地所在辖区外的竞买人，若竞得土地使用权，须在土地所在辖区成立一家新公司对竞得土地进行开发建设</w:t>
      </w:r>
      <w:r>
        <w:rPr>
          <w:rFonts w:hint="eastAsia"/>
          <w:color w:val="000000" w:themeColor="text1"/>
          <w:sz w:val="28"/>
          <w:szCs w:val="28"/>
          <w:lang w:eastAsia="zh-CN"/>
        </w:rPr>
        <w:t>；</w:t>
      </w:r>
      <w:r>
        <w:rPr>
          <w:rFonts w:hint="eastAsia"/>
          <w:color w:val="000000" w:themeColor="text1"/>
          <w:sz w:val="28"/>
          <w:szCs w:val="28"/>
        </w:rPr>
        <w:t>2.负责土壤污染治理及其费用筹措</w:t>
      </w:r>
      <w:r>
        <w:rPr>
          <w:rFonts w:hint="eastAsia"/>
          <w:color w:val="000000" w:themeColor="text1"/>
          <w:sz w:val="28"/>
          <w:szCs w:val="28"/>
          <w:lang w:eastAsia="zh-CN"/>
        </w:rPr>
        <w:t>；</w:t>
      </w:r>
      <w:r>
        <w:rPr>
          <w:rFonts w:hint="eastAsia"/>
          <w:color w:val="000000" w:themeColor="text1"/>
          <w:sz w:val="28"/>
          <w:szCs w:val="28"/>
        </w:rPr>
        <w:t>3.负责收回土地的地面建</w:t>
      </w:r>
      <w:r>
        <w:rPr>
          <w:rFonts w:hint="eastAsia"/>
          <w:color w:val="000000" w:themeColor="text1"/>
          <w:sz w:val="28"/>
          <w:szCs w:val="28"/>
          <w:lang w:eastAsia="zh-CN"/>
        </w:rPr>
        <w:t>（</w:t>
      </w:r>
      <w:r>
        <w:rPr>
          <w:rFonts w:hint="eastAsia"/>
          <w:color w:val="000000" w:themeColor="text1"/>
          <w:sz w:val="28"/>
          <w:szCs w:val="28"/>
          <w:lang w:val="en-US" w:eastAsia="zh-CN"/>
        </w:rPr>
        <w:t>构</w:t>
      </w:r>
      <w:r>
        <w:rPr>
          <w:rFonts w:hint="eastAsia"/>
          <w:color w:val="000000" w:themeColor="text1"/>
          <w:sz w:val="28"/>
          <w:szCs w:val="28"/>
          <w:lang w:eastAsia="zh-CN"/>
        </w:rPr>
        <w:t>）</w:t>
      </w:r>
      <w:r>
        <w:rPr>
          <w:rFonts w:hint="eastAsia"/>
          <w:color w:val="000000" w:themeColor="text1"/>
          <w:sz w:val="28"/>
          <w:szCs w:val="28"/>
        </w:rPr>
        <w:t>筑物</w:t>
      </w:r>
      <w:r>
        <w:rPr>
          <w:rFonts w:hint="eastAsia"/>
          <w:color w:val="000000" w:themeColor="text1"/>
          <w:sz w:val="28"/>
          <w:szCs w:val="28"/>
          <w:lang w:eastAsia="zh-CN"/>
        </w:rPr>
        <w:t>（</w:t>
      </w:r>
      <w:r>
        <w:rPr>
          <w:rFonts w:hint="eastAsia"/>
          <w:color w:val="000000" w:themeColor="text1"/>
          <w:sz w:val="28"/>
          <w:szCs w:val="28"/>
        </w:rPr>
        <w:t>所含属地下管线等</w:t>
      </w:r>
      <w:r>
        <w:rPr>
          <w:rFonts w:hint="eastAsia"/>
          <w:color w:val="000000" w:themeColor="text1"/>
          <w:sz w:val="28"/>
          <w:szCs w:val="28"/>
          <w:lang w:eastAsia="zh-CN"/>
        </w:rPr>
        <w:t>）</w:t>
      </w:r>
      <w:r>
        <w:rPr>
          <w:rFonts w:hint="eastAsia"/>
          <w:color w:val="000000" w:themeColor="text1"/>
          <w:sz w:val="28"/>
          <w:szCs w:val="28"/>
        </w:rPr>
        <w:t>拆除及其费用筹措。</w:t>
      </w:r>
    </w:p>
    <w:p>
      <w:pPr>
        <w:spacing w:line="600" w:lineRule="exact"/>
        <w:ind w:firstLine="560" w:firstLineChars="200"/>
        <w:rPr>
          <w:rFonts w:hint="eastAsia" w:eastAsia="宋体"/>
          <w:color w:val="000000" w:themeColor="text1"/>
          <w:sz w:val="28"/>
          <w:szCs w:val="28"/>
          <w:lang w:eastAsia="zh-CN"/>
        </w:rPr>
      </w:pPr>
      <w:r>
        <w:rPr>
          <w:rFonts w:hint="eastAsia"/>
          <w:color w:val="000000" w:themeColor="text1"/>
          <w:sz w:val="28"/>
          <w:szCs w:val="28"/>
          <w:lang w:eastAsia="zh-CN"/>
        </w:rPr>
        <w:t>（</w:t>
      </w:r>
      <w:r>
        <w:rPr>
          <w:rFonts w:hint="eastAsia"/>
          <w:color w:val="000000" w:themeColor="text1"/>
          <w:sz w:val="28"/>
          <w:szCs w:val="28"/>
          <w:lang w:val="en-US" w:eastAsia="zh-CN"/>
        </w:rPr>
        <w:t>十一</w:t>
      </w:r>
      <w:r>
        <w:rPr>
          <w:rFonts w:hint="eastAsia"/>
          <w:color w:val="000000" w:themeColor="text1"/>
          <w:sz w:val="28"/>
          <w:szCs w:val="28"/>
          <w:lang w:eastAsia="zh-CN"/>
        </w:rPr>
        <w:t>）土地竞得者在土壤污染治理未经验收合格前，不得受理地块工程规划设计方案和施工图设计方案的审查，不得核发地块工程规划许可证和施工许可证。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一</w:t>
      </w:r>
      <w:r>
        <w:rPr>
          <w:rFonts w:hint="eastAsia" w:eastAsiaTheme="minorEastAsia"/>
          <w:color w:val="000000" w:themeColor="text1"/>
          <w:sz w:val="28"/>
          <w:szCs w:val="28"/>
          <w:lang w:eastAsia="zh-CN"/>
        </w:rPr>
        <w:t>）</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ascii="Times New Roman" w:hAnsi="Times New Roman" w:cs="Times New Roman"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lang w:eastAsia="zh-CN"/>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咨询（咨询电</w:t>
      </w:r>
      <w:r>
        <w:rPr>
          <w:rFonts w:ascii="Times New Roman" w:hAnsi="Times New Roman" w:cs="Times New Roman" w:eastAsiaTheme="minorEastAsia"/>
          <w:color w:val="000000" w:themeColor="text1"/>
          <w:sz w:val="28"/>
          <w:szCs w:val="28"/>
        </w:rPr>
        <w:t>话：出让人电话</w:t>
      </w:r>
      <w:r>
        <w:rPr>
          <w:rFonts w:hint="eastAsia" w:ascii="Times New Roman" w:hAnsi="Times New Roman" w:cs="Times New Roman" w:eastAsiaTheme="minorEastAsia"/>
          <w:color w:val="000000" w:themeColor="text1"/>
          <w:sz w:val="28"/>
          <w:szCs w:val="28"/>
        </w:rPr>
        <w:t>0818-2370872</w:t>
      </w:r>
      <w:r>
        <w:rPr>
          <w:rFonts w:ascii="Times New Roman" w:hAnsi="Times New Roman" w:cs="Times New Roman" w:eastAsiaTheme="minorEastAsia"/>
          <w:color w:val="000000" w:themeColor="text1"/>
          <w:sz w:val="28"/>
          <w:szCs w:val="28"/>
        </w:rPr>
        <w:t>，电话0818-2183355）。</w:t>
      </w:r>
    </w:p>
    <w:p>
      <w:pPr>
        <w:pStyle w:val="11"/>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10</w:t>
      </w:r>
      <w:r>
        <w:rPr>
          <w:rFonts w:eastAsiaTheme="minorEastAsia"/>
          <w:b/>
          <w:color w:val="000000" w:themeColor="text1"/>
          <w:sz w:val="28"/>
          <w:szCs w:val="28"/>
          <w:u w:val="single"/>
        </w:rPr>
        <w:t>日</w:t>
      </w:r>
      <w:r>
        <w:rPr>
          <w:rFonts w:hint="eastAsia" w:eastAsiaTheme="minorEastAsia"/>
          <w:b/>
          <w:color w:val="000000" w:themeColor="text1"/>
          <w:sz w:val="28"/>
          <w:szCs w:val="28"/>
          <w:u w:val="single"/>
          <w:lang w:val="en-US" w:eastAsia="zh-CN"/>
        </w:rPr>
        <w:t>9</w:t>
      </w:r>
      <w:r>
        <w:rPr>
          <w:rFonts w:eastAsiaTheme="minorEastAsia"/>
          <w:b/>
          <w:color w:val="000000" w:themeColor="text1"/>
          <w:sz w:val="28"/>
          <w:szCs w:val="28"/>
          <w:u w:val="single"/>
        </w:rPr>
        <w:t>:00至2022年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29</w:t>
      </w:r>
      <w:r>
        <w:rPr>
          <w:rFonts w:eastAsiaTheme="minorEastAsia"/>
          <w:b/>
          <w:color w:val="000000" w:themeColor="text1"/>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10</w:t>
      </w:r>
      <w:r>
        <w:rPr>
          <w:rFonts w:eastAsiaTheme="minorEastAsia"/>
          <w:b/>
          <w:color w:val="000000" w:themeColor="text1"/>
          <w:sz w:val="28"/>
          <w:szCs w:val="28"/>
          <w:u w:val="single"/>
        </w:rPr>
        <w:t>日</w:t>
      </w:r>
      <w:r>
        <w:rPr>
          <w:rFonts w:hint="eastAsia" w:eastAsiaTheme="minorEastAsia"/>
          <w:b/>
          <w:color w:val="000000" w:themeColor="text1"/>
          <w:sz w:val="28"/>
          <w:szCs w:val="28"/>
          <w:u w:val="single"/>
          <w:lang w:val="en-US" w:eastAsia="zh-CN"/>
        </w:rPr>
        <w:t>9</w:t>
      </w:r>
      <w:r>
        <w:rPr>
          <w:rFonts w:eastAsiaTheme="minorEastAsia"/>
          <w:b/>
          <w:color w:val="000000" w:themeColor="text1"/>
          <w:sz w:val="28"/>
          <w:szCs w:val="28"/>
          <w:u w:val="single"/>
        </w:rPr>
        <w:t>:00至2022年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29</w:t>
      </w:r>
      <w:r>
        <w:rPr>
          <w:rFonts w:eastAsiaTheme="minorEastAsia"/>
          <w:b/>
          <w:color w:val="000000" w:themeColor="text1"/>
          <w:sz w:val="28"/>
          <w:szCs w:val="28"/>
          <w:u w:val="single"/>
        </w:rPr>
        <w:t>日17:00</w:t>
      </w:r>
      <w:r>
        <w:rPr>
          <w:rFonts w:eastAsiaTheme="minorEastAsia"/>
          <w:color w:val="000000" w:themeColor="text1"/>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w:t>
      </w:r>
      <w:r>
        <w:rPr>
          <w:rFonts w:hint="eastAsia" w:eastAsiaTheme="minorEastAsia"/>
          <w:color w:val="000000" w:themeColor="text1"/>
          <w:sz w:val="28"/>
          <w:szCs w:val="28"/>
          <w:lang w:eastAsia="zh-CN"/>
        </w:rPr>
        <w:t>，</w:t>
      </w:r>
      <w:r>
        <w:rPr>
          <w:rFonts w:eastAsiaTheme="minorEastAsia"/>
          <w:color w:val="000000" w:themeColor="text1"/>
          <w:sz w:val="28"/>
          <w:szCs w:val="28"/>
        </w:rPr>
        <w:t>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30</w:t>
      </w:r>
      <w:r>
        <w:rPr>
          <w:rFonts w:eastAsiaTheme="minorEastAsia"/>
          <w:b/>
          <w:color w:val="000000" w:themeColor="text1"/>
          <w:sz w:val="28"/>
          <w:szCs w:val="28"/>
          <w:u w:val="single"/>
        </w:rPr>
        <w:t>日） 9:00</w:t>
      </w:r>
      <w:r>
        <w:rPr>
          <w:rFonts w:eastAsiaTheme="minorEastAsia"/>
          <w:color w:val="000000" w:themeColor="text1"/>
          <w:sz w:val="28"/>
          <w:szCs w:val="28"/>
        </w:rPr>
        <w:t>之前将竞买申请文件原件提交至4B-17，未按时提交原件的视为自行放弃竞买资格。</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5"/>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5"/>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5"/>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5"/>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lang w:val="en-US" w:eastAsia="zh-CN"/>
        </w:rPr>
        <w:t>12</w:t>
      </w:r>
      <w:r>
        <w:rPr>
          <w:rFonts w:eastAsiaTheme="minorEastAsia"/>
          <w:b/>
          <w:sz w:val="28"/>
          <w:szCs w:val="28"/>
          <w:u w:val="single"/>
        </w:rPr>
        <w:t>月</w:t>
      </w:r>
      <w:r>
        <w:rPr>
          <w:rFonts w:hint="eastAsia" w:eastAsiaTheme="minorEastAsia"/>
          <w:b/>
          <w:sz w:val="28"/>
          <w:szCs w:val="28"/>
          <w:u w:val="single"/>
          <w:lang w:val="en-US" w:eastAsia="zh-CN"/>
        </w:rPr>
        <w:t>30</w:t>
      </w:r>
      <w:r>
        <w:rPr>
          <w:rFonts w:eastAsiaTheme="minorEastAsia"/>
          <w:b/>
          <w:sz w:val="28"/>
          <w:szCs w:val="28"/>
          <w:u w:val="single"/>
        </w:rPr>
        <w:t>日1</w:t>
      </w:r>
      <w:r>
        <w:rPr>
          <w:rFonts w:hint="eastAsia" w:eastAsiaTheme="minorEastAsia"/>
          <w:b/>
          <w:sz w:val="28"/>
          <w:szCs w:val="28"/>
          <w:u w:val="single"/>
          <w:lang w:val="en-US" w:eastAsia="zh-CN"/>
        </w:rPr>
        <w:t>0</w:t>
      </w:r>
      <w:r>
        <w:rPr>
          <w:rFonts w:eastAsiaTheme="minorEastAsia"/>
          <w:b/>
          <w:sz w:val="28"/>
          <w:szCs w:val="28"/>
          <w:u w:val="single"/>
        </w:rPr>
        <w:t>：00前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w:t>
      </w:r>
      <w:r>
        <w:rPr>
          <w:rFonts w:hint="eastAsia" w:eastAsiaTheme="minorEastAsia"/>
          <w:color w:val="000000" w:themeColor="text1"/>
          <w:sz w:val="28"/>
          <w:szCs w:val="28"/>
          <w:lang w:val="en-US" w:eastAsia="zh-CN"/>
        </w:rPr>
        <w:t>服务</w:t>
      </w:r>
      <w:r>
        <w:rPr>
          <w:rFonts w:eastAsiaTheme="minorEastAsia"/>
          <w:color w:val="000000" w:themeColor="text1"/>
          <w:sz w:val="28"/>
          <w:szCs w:val="28"/>
        </w:rPr>
        <w:t>中心开标二厅举行。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sz w:val="28"/>
          <w:szCs w:val="28"/>
          <w:u w:val="single"/>
        </w:rPr>
        <w:t>2022年</w:t>
      </w:r>
      <w:r>
        <w:rPr>
          <w:rFonts w:hint="eastAsia" w:eastAsiaTheme="minorEastAsia"/>
          <w:b/>
          <w:sz w:val="28"/>
          <w:szCs w:val="28"/>
          <w:u w:val="single"/>
          <w:lang w:val="en-US" w:eastAsia="zh-CN"/>
        </w:rPr>
        <w:t>12</w:t>
      </w:r>
      <w:r>
        <w:rPr>
          <w:rFonts w:eastAsiaTheme="minorEastAsia"/>
          <w:b/>
          <w:sz w:val="28"/>
          <w:szCs w:val="28"/>
          <w:u w:val="single"/>
        </w:rPr>
        <w:t>月</w:t>
      </w:r>
      <w:r>
        <w:rPr>
          <w:rFonts w:hint="eastAsia" w:eastAsiaTheme="minorEastAsia"/>
          <w:b/>
          <w:sz w:val="28"/>
          <w:szCs w:val="28"/>
          <w:u w:val="single"/>
          <w:lang w:val="en-US" w:eastAsia="zh-CN"/>
        </w:rPr>
        <w:t>30</w:t>
      </w:r>
      <w:r>
        <w:rPr>
          <w:rFonts w:eastAsiaTheme="minorEastAsia"/>
          <w:b/>
          <w:sz w:val="28"/>
          <w:szCs w:val="28"/>
          <w:u w:val="single"/>
        </w:rPr>
        <w:t>日上午</w:t>
      </w:r>
      <w:r>
        <w:rPr>
          <w:rFonts w:hint="eastAsia" w:eastAsiaTheme="minorEastAsia"/>
          <w:b/>
          <w:sz w:val="28"/>
          <w:szCs w:val="28"/>
          <w:u w:val="single"/>
          <w:lang w:val="en-US" w:eastAsia="zh-CN"/>
        </w:rPr>
        <w:t>10</w:t>
      </w:r>
      <w:r>
        <w:rPr>
          <w:rFonts w:eastAsiaTheme="minorEastAsia"/>
          <w:b/>
          <w:sz w:val="28"/>
          <w:szCs w:val="28"/>
          <w:u w:val="single"/>
        </w:rPr>
        <w:t>：00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lang w:val="en-US" w:eastAsia="zh-CN"/>
        </w:rPr>
        <w:t>286</w:t>
      </w:r>
      <w:r>
        <w:rPr>
          <w:rFonts w:eastAsiaTheme="minorEastAsia"/>
          <w:color w:val="000000" w:themeColor="text1"/>
          <w:sz w:val="28"/>
          <w:szCs w:val="28"/>
        </w:rPr>
        <w:t>万元/亩</w:t>
      </w:r>
      <w:r>
        <w:rPr>
          <w:rFonts w:hint="eastAsia" w:eastAsiaTheme="minorEastAsia"/>
          <w:color w:val="000000" w:themeColor="text1"/>
          <w:sz w:val="28"/>
          <w:szCs w:val="28"/>
          <w:lang w:eastAsia="zh-CN"/>
        </w:rPr>
        <w:t>，</w:t>
      </w:r>
      <w:r>
        <w:rPr>
          <w:rFonts w:eastAsiaTheme="minorEastAsia"/>
          <w:color w:val="000000" w:themeColor="text1"/>
          <w:sz w:val="28"/>
          <w:szCs w:val="28"/>
        </w:rPr>
        <w:t>增价幅度为</w:t>
      </w:r>
      <w:r>
        <w:rPr>
          <w:rFonts w:hint="eastAsia" w:eastAsiaTheme="minorEastAsia"/>
          <w:color w:val="000000" w:themeColor="text1"/>
          <w:sz w:val="28"/>
          <w:szCs w:val="28"/>
          <w:lang w:val="en-US" w:eastAsia="zh-CN"/>
        </w:rPr>
        <w:t>2</w:t>
      </w:r>
      <w:r>
        <w:rPr>
          <w:rFonts w:eastAsiaTheme="minorEastAsia"/>
          <w:color w:val="000000" w:themeColor="text1"/>
          <w:sz w:val="28"/>
          <w:szCs w:val="28"/>
        </w:rPr>
        <w:t>万元/亩或</w:t>
      </w:r>
      <w:r>
        <w:rPr>
          <w:rFonts w:hint="eastAsia" w:eastAsiaTheme="minorEastAsia"/>
          <w:color w:val="000000" w:themeColor="text1"/>
          <w:sz w:val="28"/>
          <w:szCs w:val="28"/>
          <w:lang w:val="en-US" w:eastAsia="zh-CN"/>
        </w:rPr>
        <w:t>2</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lang w:val="en-US" w:eastAsia="zh-CN"/>
        </w:rPr>
        <w:t>8.54</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w:t>
      </w:r>
      <w:r>
        <w:rPr>
          <w:rFonts w:hint="eastAsia" w:eastAsiaTheme="minorEastAsia"/>
          <w:color w:val="000000" w:themeColor="text1"/>
          <w:sz w:val="28"/>
          <w:szCs w:val="28"/>
          <w:lang w:val="en-US" w:eastAsia="zh-CN"/>
        </w:rPr>
        <w:t>通川区人民政府</w:t>
      </w:r>
      <w:r>
        <w:rPr>
          <w:rFonts w:eastAsiaTheme="minorEastAsia"/>
          <w:color w:val="000000" w:themeColor="text1"/>
          <w:sz w:val="28"/>
          <w:szCs w:val="28"/>
        </w:rPr>
        <w:t>（</w:t>
      </w:r>
      <w:r>
        <w:rPr>
          <w:rFonts w:hint="eastAsia" w:eastAsiaTheme="minorEastAsia"/>
          <w:color w:val="000000" w:themeColor="text1"/>
          <w:sz w:val="28"/>
          <w:szCs w:val="28"/>
        </w:rPr>
        <w:t>http://www.tchuan.gov.cn/</w:t>
      </w:r>
      <w:r>
        <w:rPr>
          <w:rFonts w:eastAsiaTheme="minorEastAsia"/>
          <w:color w:val="000000" w:themeColor="text1"/>
          <w:sz w:val="28"/>
          <w:szCs w:val="28"/>
        </w:rPr>
        <w:t>）、达州市公共资源交易服务网（http://www.dzggzy.cn）公布此次国有建设用地使用权拍卖出让结果。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（五）竞得人交纳的竞买保证金，在拍卖结束签订《成交确认书》后，自动转作受让地块的定金。未竞得人交纳的竞买保证金，将在拍卖活动结束后5个工作日内予以退还，且不计利息。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hint="eastAsia" w:eastAsiaTheme="minorEastAsia"/>
          <w:color w:val="000000" w:themeColor="text1"/>
          <w:sz w:val="28"/>
          <w:szCs w:val="28"/>
          <w:lang w:eastAsia="zh-CN"/>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lang w:eastAsia="zh-CN"/>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lang w:val="en-US" w:eastAsia="zh-CN"/>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十</w:t>
      </w:r>
      <w:r>
        <w:rPr>
          <w:rFonts w:hint="eastAsia" w:eastAsiaTheme="minorEastAsia"/>
          <w:color w:val="000000" w:themeColor="text1"/>
          <w:sz w:val="28"/>
          <w:szCs w:val="28"/>
          <w:lang w:eastAsia="zh-CN"/>
        </w:rPr>
        <w:t>）</w:t>
      </w:r>
      <w:r>
        <w:rPr>
          <w:rFonts w:eastAsiaTheme="minorEastAsia"/>
          <w:color w:val="000000" w:themeColor="text1"/>
          <w:sz w:val="28"/>
          <w:szCs w:val="28"/>
        </w:rPr>
        <w:t>土地交付条件及时间：在土地出让价款（含滞纳金）缴清之日起5个工作日内，按现状土地使用条件交付土地。宗地范围内的地下资源、埋藏物不属于国有建设用地使用权出让范围。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w:t>
      </w:r>
      <w:r>
        <w:rPr>
          <w:rFonts w:hint="eastAsia" w:eastAsiaTheme="minorEastAsia"/>
          <w:color w:val="000000" w:themeColor="text1"/>
          <w:sz w:val="28"/>
          <w:szCs w:val="28"/>
        </w:rPr>
        <w:t>达州市通川区自然资源局</w:t>
      </w:r>
      <w:r>
        <w:rPr>
          <w:rFonts w:eastAsiaTheme="minorEastAsia"/>
          <w:color w:val="000000" w:themeColor="text1"/>
          <w:sz w:val="28"/>
          <w:szCs w:val="28"/>
        </w:rPr>
        <w:t>、达州市公共资源交易服务中心对本《须知》有解释权。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2"/>
        <w:rPr>
          <w:rFonts w:hint="eastAsia" w:eastAsia="宋体"/>
          <w:kern w:val="0"/>
          <w:sz w:val="24"/>
          <w:lang w:eastAsia="zh-CN"/>
        </w:rPr>
      </w:pPr>
      <w:bookmarkStart w:id="5" w:name="_Toc3391743"/>
      <w:bookmarkStart w:id="6" w:name="_Toc3391972"/>
      <w:r>
        <w:rPr>
          <w:rFonts w:ascii="Times New Roman" w:hAnsi="Times New Roman" w:eastAsia="黑体"/>
          <w:color w:val="000000" w:themeColor="text1"/>
          <w:sz w:val="44"/>
          <w:szCs w:val="44"/>
        </w:rPr>
        <w:t>地块规划条件相关资</w:t>
      </w:r>
      <w:bookmarkEnd w:id="5"/>
      <w:bookmarkEnd w:id="6"/>
      <w:r>
        <w:rPr>
          <w:rFonts w:ascii="Times New Roman" w:hAnsi="Times New Roman" w:eastAsia="黑体"/>
          <w:color w:val="000000" w:themeColor="text1"/>
          <w:sz w:val="44"/>
          <w:szCs w:val="44"/>
        </w:rPr>
        <w:t>料</w:t>
      </w:r>
    </w:p>
    <w:p>
      <w:pPr>
        <w:widowControl/>
        <w:jc w:val="left"/>
        <w:rPr>
          <w:rFonts w:hint="eastAsia" w:eastAsia="宋体"/>
          <w:kern w:val="0"/>
          <w:sz w:val="24"/>
          <w:lang w:eastAsia="zh-CN"/>
        </w:rPr>
      </w:pPr>
      <w:r>
        <w:rPr>
          <w:rFonts w:hint="eastAsia" w:eastAsia="宋体"/>
          <w:kern w:val="0"/>
          <w:sz w:val="24"/>
          <w:lang w:eastAsia="zh-CN"/>
        </w:rPr>
        <w:drawing>
          <wp:inline distT="0" distB="0" distL="114300" distR="114300">
            <wp:extent cx="5272405" cy="7473950"/>
            <wp:effectExtent l="0" t="0" r="4445" b="12700"/>
            <wp:docPr id="4" name="图片 4" descr="达州市达钢（老区）片区B09-01地块规划条件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达州市达钢（老区）片区B09-01地块规划条件_页面_1"/>
                    <pic:cNvPicPr>
                      <a:picLocks noChangeAspect="1"/>
                    </pic:cNvPicPr>
                  </pic:nvPicPr>
                  <pic:blipFill>
                    <a:blip r:embed="rId25"/>
                    <a:stretch>
                      <a:fillRect/>
                    </a:stretch>
                  </pic:blipFill>
                  <pic:spPr>
                    <a:xfrm>
                      <a:off x="0" y="0"/>
                      <a:ext cx="5272405" cy="7473950"/>
                    </a:xfrm>
                    <a:prstGeom prst="rect">
                      <a:avLst/>
                    </a:prstGeom>
                  </pic:spPr>
                </pic:pic>
              </a:graphicData>
            </a:graphic>
          </wp:inline>
        </w:drawing>
      </w:r>
    </w:p>
    <w:p>
      <w:pPr>
        <w:pStyle w:val="12"/>
        <w:jc w:val="both"/>
        <w:rPr>
          <w:rFonts w:ascii="Times New Roman" w:hAnsi="Times New Roman" w:eastAsia="黑体"/>
          <w:color w:val="000000" w:themeColor="text1"/>
          <w:sz w:val="44"/>
          <w:szCs w:val="44"/>
        </w:rPr>
      </w:pPr>
      <w:bookmarkStart w:id="7" w:name="_Toc3391744"/>
      <w:bookmarkStart w:id="8" w:name="_Toc3391973"/>
    </w:p>
    <w:p/>
    <w:p>
      <w:pPr>
        <w:pStyle w:val="12"/>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drawing>
          <wp:inline distT="0" distB="0" distL="114300" distR="114300">
            <wp:extent cx="5267960" cy="7489190"/>
            <wp:effectExtent l="0" t="0" r="8890" b="16510"/>
            <wp:docPr id="6" name="图片 6" descr="达州市达钢（老区）片区B09-01地块规划条件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达州市达钢（老区）片区B09-01地块规划条件_页面_2"/>
                    <pic:cNvPicPr>
                      <a:picLocks noChangeAspect="1"/>
                    </pic:cNvPicPr>
                  </pic:nvPicPr>
                  <pic:blipFill>
                    <a:blip r:embed="rId26"/>
                    <a:stretch>
                      <a:fillRect/>
                    </a:stretch>
                  </pic:blipFill>
                  <pic:spPr>
                    <a:xfrm>
                      <a:off x="0" y="0"/>
                      <a:ext cx="5267960" cy="7489190"/>
                    </a:xfrm>
                    <a:prstGeom prst="rect">
                      <a:avLst/>
                    </a:prstGeom>
                  </pic:spPr>
                </pic:pic>
              </a:graphicData>
            </a:graphic>
          </wp:inline>
        </w:drawing>
      </w:r>
    </w:p>
    <w:p>
      <w:pPr>
        <w:pStyle w:val="12"/>
        <w:rPr>
          <w:rFonts w:ascii="Times New Roman" w:hAnsi="Times New Roman" w:eastAsia="黑体"/>
          <w:color w:val="000000" w:themeColor="text1"/>
          <w:sz w:val="44"/>
          <w:szCs w:val="44"/>
        </w:rPr>
      </w:pPr>
    </w:p>
    <w:p>
      <w:pPr>
        <w:pStyle w:val="12"/>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rPr>
          <w:rFonts w:hint="eastAsia" w:eastAsia="宋体"/>
          <w:lang w:eastAsia="zh-CN"/>
        </w:rPr>
      </w:pPr>
      <w:r>
        <w:rPr>
          <w:rFonts w:hint="eastAsia" w:eastAsia="宋体"/>
          <w:lang w:eastAsia="zh-CN"/>
        </w:rPr>
        <w:drawing>
          <wp:inline distT="0" distB="0" distL="114300" distR="114300">
            <wp:extent cx="5257800" cy="4396740"/>
            <wp:effectExtent l="0" t="0" r="0" b="3810"/>
            <wp:docPr id="7" name="图片 7" descr="达州市达钢（老厂）片区B09-01地块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达州市达钢（老厂）片区B09-01地块规划条件_00"/>
                    <pic:cNvPicPr>
                      <a:picLocks noChangeAspect="1"/>
                    </pic:cNvPicPr>
                  </pic:nvPicPr>
                  <pic:blipFill>
                    <a:blip r:embed="rId27"/>
                    <a:stretch>
                      <a:fillRect/>
                    </a:stretch>
                  </pic:blipFill>
                  <pic:spPr>
                    <a:xfrm>
                      <a:off x="0" y="0"/>
                      <a:ext cx="5257800" cy="4396740"/>
                    </a:xfrm>
                    <a:prstGeom prst="rect">
                      <a:avLst/>
                    </a:prstGeom>
                  </pic:spPr>
                </pic:pic>
              </a:graphicData>
            </a:graphic>
          </wp:inline>
        </w:drawing>
      </w:r>
    </w:p>
    <w:p/>
    <w:p/>
    <w:p>
      <w:pPr>
        <w:widowControl/>
        <w:jc w:val="left"/>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2"/>
        <w:rPr>
          <w:rFonts w:ascii="Times New Roman" w:hAnsi="Times New Roman" w:eastAsia="黑体"/>
          <w:color w:val="000000" w:themeColor="text1"/>
          <w:sz w:val="44"/>
          <w:szCs w:val="44"/>
        </w:rPr>
      </w:pPr>
      <w:bookmarkStart w:id="9" w:name="_Toc3391974"/>
      <w:bookmarkStart w:id="10" w:name="_Toc3391745"/>
      <w:r>
        <w:rPr>
          <w:rFonts w:ascii="Times New Roman" w:hAnsi="Times New Roman" w:eastAsia="黑体"/>
          <w:color w:val="000000" w:themeColor="text1"/>
          <w:sz w:val="44"/>
          <w:szCs w:val="44"/>
        </w:rPr>
        <w:t>用地勘界图</w:t>
      </w:r>
      <w:bookmarkEnd w:id="9"/>
      <w:bookmarkEnd w:id="10"/>
    </w:p>
    <w:p>
      <w:pPr>
        <w:rPr>
          <w:rFonts w:hint="eastAsia" w:eastAsia="宋体"/>
          <w:lang w:eastAsia="zh-CN"/>
        </w:rPr>
      </w:pPr>
      <w:r>
        <w:rPr>
          <w:rFonts w:hint="eastAsia" w:eastAsia="宋体"/>
          <w:lang w:eastAsia="zh-CN"/>
        </w:rPr>
        <w:drawing>
          <wp:inline distT="0" distB="0" distL="114300" distR="114300">
            <wp:extent cx="5266690" cy="7451725"/>
            <wp:effectExtent l="0" t="0" r="10160" b="15875"/>
            <wp:docPr id="8" name="图片 8" descr="B09-01勘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09-01勘界图"/>
                    <pic:cNvPicPr>
                      <a:picLocks noChangeAspect="1"/>
                    </pic:cNvPicPr>
                  </pic:nvPicPr>
                  <pic:blipFill>
                    <a:blip r:embed="rId28"/>
                    <a:stretch>
                      <a:fillRect/>
                    </a:stretch>
                  </pic:blipFill>
                  <pic:spPr>
                    <a:xfrm>
                      <a:off x="0" y="0"/>
                      <a:ext cx="5266690" cy="7451725"/>
                    </a:xfrm>
                    <a:prstGeom prst="rect">
                      <a:avLst/>
                    </a:prstGeom>
                  </pic:spPr>
                </pic:pic>
              </a:graphicData>
            </a:graphic>
          </wp:inline>
        </w:drawing>
      </w:r>
    </w:p>
    <w:p>
      <w:pPr>
        <w:widowControl/>
        <w:rPr>
          <w:color w:val="000000" w:themeColor="text1"/>
          <w:sz w:val="28"/>
          <w:szCs w:val="28"/>
        </w:rPr>
      </w:pPr>
    </w:p>
    <w:p>
      <w:pPr>
        <w:rPr>
          <w:rFonts w:hint="eastAsia" w:eastAsia="宋体"/>
          <w:lang w:eastAsia="zh-CN"/>
        </w:rPr>
        <w:sectPr>
          <w:pgSz w:w="11906" w:h="16838"/>
          <w:pgMar w:top="1440" w:right="1800" w:bottom="1440" w:left="1800" w:header="851" w:footer="992" w:gutter="0"/>
          <w:pgNumType w:fmt="numberInDash"/>
          <w:cols w:space="425" w:num="1"/>
          <w:docGrid w:type="lines" w:linePitch="312" w:charSpace="0"/>
        </w:sectPr>
      </w:pPr>
    </w:p>
    <w:p>
      <w:pPr>
        <w:pStyle w:val="12"/>
        <w:spacing w:before="0" w:after="0" w:line="500" w:lineRule="exact"/>
        <w:rPr>
          <w:rFonts w:ascii="Times New Roman" w:hAnsi="Times New Roman" w:eastAsia="黑体"/>
          <w:color w:val="000000" w:themeColor="text1"/>
          <w:sz w:val="44"/>
          <w:szCs w:val="44"/>
        </w:rPr>
      </w:pPr>
      <w:bookmarkStart w:id="11" w:name="_Toc3391975"/>
      <w:bookmarkStart w:id="12" w:name="_Toc3391746"/>
      <w:r>
        <w:rPr>
          <w:rFonts w:ascii="Times New Roman" w:hAnsi="Times New Roman" w:eastAsia="黑体"/>
          <w:color w:val="000000" w:themeColor="text1"/>
          <w:sz w:val="44"/>
          <w:szCs w:val="44"/>
        </w:rPr>
        <w:t>竞买申请书</w:t>
      </w:r>
      <w:bookmarkEnd w:id="11"/>
      <w:bookmarkEnd w:id="12"/>
    </w:p>
    <w:p>
      <w:pPr>
        <w:pStyle w:val="25"/>
        <w:spacing w:line="420" w:lineRule="exact"/>
        <w:rPr>
          <w:color w:val="000000" w:themeColor="text1"/>
          <w:sz w:val="24"/>
          <w:szCs w:val="24"/>
        </w:rPr>
      </w:pPr>
    </w:p>
    <w:p>
      <w:pPr>
        <w:pStyle w:val="25"/>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5"/>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rFonts w:hint="eastAsia"/>
          <w:color w:val="000000" w:themeColor="text1"/>
          <w:sz w:val="24"/>
          <w:szCs w:val="24"/>
          <w:u w:val="single"/>
          <w:lang w:val="en-US" w:eastAsia="zh-CN"/>
        </w:rPr>
        <w:t xml:space="preserve">  </w:t>
      </w:r>
      <w:r>
        <w:rPr>
          <w:color w:val="000000" w:themeColor="text1"/>
          <w:sz w:val="24"/>
          <w:szCs w:val="24"/>
          <w:u w:val="single"/>
        </w:rPr>
        <w:t xml:space="preserve">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25"/>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5"/>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5"/>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5"/>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25"/>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5"/>
        <w:spacing w:line="420" w:lineRule="exact"/>
        <w:ind w:firstLine="470" w:firstLineChars="196"/>
        <w:rPr>
          <w:color w:val="000000" w:themeColor="text1"/>
          <w:sz w:val="24"/>
          <w:szCs w:val="24"/>
        </w:rPr>
      </w:pPr>
    </w:p>
    <w:p>
      <w:pPr>
        <w:pStyle w:val="25"/>
        <w:spacing w:line="420" w:lineRule="exact"/>
        <w:ind w:left="0"/>
        <w:rPr>
          <w:color w:val="000000" w:themeColor="text1"/>
          <w:sz w:val="24"/>
          <w:szCs w:val="24"/>
        </w:rPr>
      </w:pPr>
      <w:r>
        <w:rPr>
          <w:color w:val="000000" w:themeColor="text1"/>
          <w:sz w:val="24"/>
          <w:szCs w:val="24"/>
        </w:rPr>
        <w:t>竞买申请人（盖章）：</w:t>
      </w:r>
    </w:p>
    <w:p>
      <w:pPr>
        <w:pStyle w:val="25"/>
        <w:spacing w:line="420" w:lineRule="exact"/>
        <w:ind w:left="0"/>
        <w:rPr>
          <w:color w:val="000000" w:themeColor="text1"/>
          <w:sz w:val="24"/>
          <w:szCs w:val="24"/>
        </w:rPr>
      </w:pPr>
      <w:r>
        <w:rPr>
          <w:color w:val="000000" w:themeColor="text1"/>
          <w:sz w:val="24"/>
          <w:szCs w:val="24"/>
        </w:rPr>
        <w:t>法定代表人（本人签名）：</w:t>
      </w:r>
    </w:p>
    <w:p>
      <w:pPr>
        <w:pStyle w:val="25"/>
        <w:spacing w:line="420" w:lineRule="exact"/>
        <w:ind w:left="0"/>
        <w:rPr>
          <w:color w:val="000000" w:themeColor="text1"/>
          <w:sz w:val="24"/>
          <w:szCs w:val="24"/>
        </w:rPr>
      </w:pPr>
      <w:r>
        <w:rPr>
          <w:color w:val="000000" w:themeColor="text1"/>
          <w:sz w:val="24"/>
          <w:szCs w:val="24"/>
        </w:rPr>
        <w:t>联系人：</w:t>
      </w:r>
    </w:p>
    <w:p>
      <w:pPr>
        <w:pStyle w:val="25"/>
        <w:spacing w:line="420" w:lineRule="exact"/>
        <w:ind w:left="0"/>
        <w:rPr>
          <w:color w:val="000000" w:themeColor="text1"/>
          <w:sz w:val="24"/>
          <w:szCs w:val="24"/>
        </w:rPr>
      </w:pPr>
      <w:r>
        <w:rPr>
          <w:color w:val="000000" w:themeColor="text1"/>
          <w:sz w:val="24"/>
          <w:szCs w:val="24"/>
        </w:rPr>
        <w:t>地址：</w:t>
      </w:r>
    </w:p>
    <w:p>
      <w:pPr>
        <w:pStyle w:val="25"/>
        <w:spacing w:line="420" w:lineRule="exact"/>
        <w:ind w:left="0"/>
        <w:rPr>
          <w:color w:val="000000" w:themeColor="text1"/>
          <w:sz w:val="24"/>
          <w:szCs w:val="24"/>
        </w:rPr>
      </w:pPr>
      <w:r>
        <w:rPr>
          <w:color w:val="000000" w:themeColor="text1"/>
          <w:sz w:val="24"/>
          <w:szCs w:val="24"/>
        </w:rPr>
        <w:t>电话：</w:t>
      </w:r>
    </w:p>
    <w:p>
      <w:pPr>
        <w:pStyle w:val="25"/>
        <w:spacing w:line="420" w:lineRule="exact"/>
        <w:ind w:left="0"/>
        <w:rPr>
          <w:color w:val="000000" w:themeColor="text1"/>
          <w:sz w:val="24"/>
          <w:szCs w:val="24"/>
        </w:rPr>
      </w:pPr>
      <w:r>
        <w:rPr>
          <w:color w:val="000000" w:themeColor="text1"/>
          <w:sz w:val="24"/>
          <w:szCs w:val="24"/>
        </w:rPr>
        <w:t>申请日期：  年   月   日</w:t>
      </w:r>
    </w:p>
    <w:p>
      <w:pPr>
        <w:pStyle w:val="25"/>
        <w:spacing w:line="420" w:lineRule="exact"/>
        <w:ind w:left="0" w:firstLine="510"/>
        <w:rPr>
          <w:color w:val="000000" w:themeColor="text1"/>
          <w:sz w:val="24"/>
          <w:szCs w:val="24"/>
        </w:rPr>
      </w:pPr>
    </w:p>
    <w:p>
      <w:pPr>
        <w:pStyle w:val="25"/>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2"/>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747"/>
      <w:bookmarkStart w:id="14" w:name="_Toc3391976"/>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hint="eastAsia" w:eastAsia="仿宋_GB2312"/>
          <w:color w:val="000000" w:themeColor="text1"/>
          <w:sz w:val="30"/>
          <w:szCs w:val="30"/>
          <w:u w:val="single"/>
          <w:lang w:val="en-US" w:eastAsia="zh-CN"/>
        </w:rPr>
        <w:t xml:space="preserve">   </w:t>
      </w:r>
      <w:r>
        <w:rPr>
          <w:rFonts w:eastAsia="仿宋_GB2312"/>
          <w:color w:val="000000" w:themeColor="text1"/>
          <w:sz w:val="30"/>
          <w:szCs w:val="30"/>
          <w:u w:val="single"/>
        </w:rPr>
        <w:t>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2"/>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977"/>
      <w:bookmarkStart w:id="16" w:name="_Toc3391748"/>
      <w:r>
        <w:rPr>
          <w:rFonts w:ascii="Times New Roman" w:hAnsi="Times New Roman" w:eastAsia="黑体"/>
          <w:color w:val="000000" w:themeColor="text1"/>
          <w:sz w:val="44"/>
          <w:szCs w:val="44"/>
        </w:rPr>
        <w:t>法定代表人身份证明书</w:t>
      </w:r>
      <w:bookmarkEnd w:id="15"/>
      <w:bookmarkEnd w:id="16"/>
    </w:p>
    <w:p>
      <w:pPr>
        <w:pStyle w:val="25"/>
        <w:spacing w:line="627" w:lineRule="atLeast"/>
        <w:ind w:left="0"/>
        <w:jc w:val="left"/>
        <w:rPr>
          <w:rFonts w:eastAsia="黑体"/>
          <w:color w:val="000000" w:themeColor="text1"/>
          <w:sz w:val="36"/>
          <w:szCs w:val="36"/>
        </w:rPr>
      </w:pPr>
    </w:p>
    <w:p>
      <w:pPr>
        <w:pStyle w:val="25"/>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5"/>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5"/>
        <w:spacing w:line="627" w:lineRule="atLeast"/>
        <w:ind w:firstLine="900" w:firstLineChars="300"/>
        <w:jc w:val="left"/>
        <w:rPr>
          <w:rFonts w:eastAsia="仿宋_GB2312"/>
          <w:color w:val="000000" w:themeColor="text1"/>
          <w:sz w:val="30"/>
          <w:szCs w:val="30"/>
        </w:rPr>
      </w:pPr>
    </w:p>
    <w:p>
      <w:pPr>
        <w:pStyle w:val="25"/>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5"/>
        <w:spacing w:line="586" w:lineRule="atLeast"/>
        <w:jc w:val="center"/>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rPr>
          <w:color w:val="000000" w:themeColor="text1"/>
          <w:sz w:val="28"/>
          <w:szCs w:val="28"/>
        </w:rPr>
      </w:pPr>
    </w:p>
    <w:p>
      <w:pPr>
        <w:pStyle w:val="25"/>
        <w:spacing w:line="586" w:lineRule="atLeast"/>
        <w:jc w:val="center"/>
        <w:rPr>
          <w:color w:val="000000" w:themeColor="text1"/>
          <w:sz w:val="28"/>
          <w:szCs w:val="28"/>
        </w:rPr>
      </w:pPr>
    </w:p>
    <w:p>
      <w:pPr>
        <w:pStyle w:val="25"/>
        <w:spacing w:line="586" w:lineRule="atLeast"/>
        <w:jc w:val="left"/>
        <w:rPr>
          <w:color w:val="000000" w:themeColor="text1"/>
          <w:sz w:val="28"/>
          <w:szCs w:val="28"/>
        </w:rPr>
      </w:pPr>
    </w:p>
    <w:p>
      <w:pPr>
        <w:pStyle w:val="25"/>
        <w:spacing w:line="586" w:lineRule="atLeast"/>
        <w:jc w:val="left"/>
        <w:rPr>
          <w:color w:val="000000" w:themeColor="text1"/>
          <w:sz w:val="28"/>
          <w:szCs w:val="28"/>
        </w:rPr>
      </w:pPr>
      <w:r>
        <w:rPr>
          <w:color w:val="000000" w:themeColor="text1"/>
          <w:sz w:val="28"/>
          <w:szCs w:val="28"/>
        </w:rPr>
        <w:t>附注：</w:t>
      </w:r>
    </w:p>
    <w:p>
      <w:pPr>
        <w:pStyle w:val="25"/>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5"/>
        <w:spacing w:line="586" w:lineRule="atLeast"/>
        <w:ind w:firstLine="570"/>
        <w:jc w:val="left"/>
        <w:rPr>
          <w:color w:val="000000" w:themeColor="text1"/>
          <w:sz w:val="28"/>
          <w:szCs w:val="28"/>
        </w:rPr>
      </w:pPr>
      <w:r>
        <w:rPr>
          <w:color w:val="000000" w:themeColor="text1"/>
          <w:sz w:val="28"/>
          <w:szCs w:val="28"/>
        </w:rPr>
        <w:t>②法定代表人办公地点：；</w:t>
      </w:r>
    </w:p>
    <w:p>
      <w:pPr>
        <w:pStyle w:val="25"/>
        <w:spacing w:line="586" w:lineRule="atLeast"/>
        <w:ind w:firstLine="570"/>
        <w:jc w:val="left"/>
        <w:rPr>
          <w:color w:val="000000" w:themeColor="text1"/>
          <w:sz w:val="28"/>
          <w:szCs w:val="28"/>
        </w:rPr>
      </w:pPr>
      <w:r>
        <w:rPr>
          <w:color w:val="000000" w:themeColor="text1"/>
          <w:sz w:val="28"/>
          <w:szCs w:val="28"/>
        </w:rPr>
        <w:t>③法定代表人身份证号码：；</w:t>
      </w:r>
    </w:p>
    <w:p>
      <w:pPr>
        <w:pStyle w:val="25"/>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2"/>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749"/>
      <w:bookmarkStart w:id="18" w:name="_Toc3391978"/>
      <w:r>
        <w:rPr>
          <w:rFonts w:ascii="Times New Roman" w:hAnsi="Times New Roman" w:eastAsia="黑体"/>
          <w:color w:val="000000" w:themeColor="text1"/>
          <w:sz w:val="44"/>
          <w:szCs w:val="44"/>
        </w:rPr>
        <w:t>授权委托书</w:t>
      </w:r>
      <w:bookmarkEnd w:id="17"/>
      <w:bookmarkEnd w:id="18"/>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5"/>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lang w:val="en-US" w:eastAsia="zh-CN"/>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lang w:val="en-US" w:eastAsia="zh-CN"/>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5"/>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5"/>
        <w:spacing w:line="600" w:lineRule="exact"/>
        <w:ind w:left="0"/>
        <w:rPr>
          <w:color w:val="000000" w:themeColor="text1"/>
        </w:rPr>
      </w:pPr>
    </w:p>
    <w:p>
      <w:pPr>
        <w:pStyle w:val="25"/>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2336;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ascii="Times New Roman" w:hAnsi="Times New Roman"/>
          <w:color w:val="000000" w:themeColor="text1"/>
        </w:rPr>
      </w:pPr>
      <w:r>
        <w:rPr>
          <w:rFonts w:ascii="Times New Roman" w:hAnsi="Times New Roman"/>
          <w:color w:val="000000" w:themeColor="text1"/>
        </w:rPr>
        <w:t>电子监管号：</w:t>
      </w:r>
    </w:p>
    <w:p>
      <w:pPr>
        <w:pStyle w:val="4"/>
        <w:rPr>
          <w:rFonts w:ascii="Times New Roman" w:hAnsi="Times New Roman"/>
          <w:color w:val="000000" w:themeColor="text1"/>
        </w:rPr>
      </w:pPr>
    </w:p>
    <w:p>
      <w:pPr>
        <w:pStyle w:val="4"/>
        <w:rPr>
          <w:rFonts w:ascii="Times New Roman" w:hAnsi="Times New Roman" w:eastAsia="黑体"/>
          <w:color w:val="000000" w:themeColor="text1"/>
        </w:rPr>
      </w:pPr>
      <w:r>
        <w:rPr>
          <w:rFonts w:ascii="Times New Roman" w:hAnsi="Times New Roman" w:eastAsia="黑体"/>
          <w:color w:val="000000" w:themeColor="text1"/>
        </w:rPr>
        <w:t>（样本）</w:t>
      </w:r>
    </w:p>
    <w:p>
      <w:pPr>
        <w:pStyle w:val="4"/>
        <w:rPr>
          <w:rStyle w:val="19"/>
          <w:rFonts w:ascii="Times New Roman" w:hAnsi="Times New Roman"/>
          <w:color w:val="000000" w:themeColor="text1"/>
        </w:rPr>
      </w:pPr>
    </w:p>
    <w:p>
      <w:pPr>
        <w:pStyle w:val="4"/>
        <w:rPr>
          <w:rStyle w:val="19"/>
          <w:rFonts w:ascii="Times New Roman" w:hAnsi="Times New Roman"/>
          <w:color w:val="000000" w:themeColor="text1"/>
        </w:rPr>
      </w:pPr>
    </w:p>
    <w:p>
      <w:pPr>
        <w:pStyle w:val="2"/>
        <w:jc w:val="center"/>
        <w:rPr>
          <w:rFonts w:eastAsia="宋体"/>
          <w:color w:val="000000" w:themeColor="text1"/>
          <w:sz w:val="18"/>
          <w:szCs w:val="18"/>
        </w:rPr>
      </w:pPr>
      <w:bookmarkStart w:id="19" w:name="_Toc3391751"/>
      <w:bookmarkStart w:id="20" w:name="_Toc3391980"/>
      <w:r>
        <w:rPr>
          <w:rFonts w:eastAsia="宋体"/>
          <w:color w:val="000000" w:themeColor="text1"/>
        </w:rPr>
        <w:t>国有建设用地使用权出让合同</w:t>
      </w:r>
      <w:bookmarkEnd w:id="19"/>
      <w:bookmarkEnd w:id="20"/>
    </w:p>
    <w:p>
      <w:pPr>
        <w:pStyle w:val="4"/>
        <w:rPr>
          <w:rFonts w:ascii="Times New Roman" w:hAnsi="Times New Roman"/>
          <w:b/>
          <w:bCs/>
          <w:color w:val="000000" w:themeColor="text1"/>
          <w:sz w:val="18"/>
          <w:szCs w:val="1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rPr>
          <w:rFonts w:ascii="Times New Roman" w:hAnsi="Times New Roman"/>
          <w:color w:val="000000" w:themeColor="text1"/>
          <w:sz w:val="48"/>
          <w:szCs w:val="48"/>
        </w:rPr>
      </w:pPr>
    </w:p>
    <w:p>
      <w:pPr>
        <w:pStyle w:val="4"/>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3360;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4384;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ascii="Times New Roman" w:hAnsi="Times New Roman"/>
          <w:b/>
          <w:bCs/>
          <w:color w:val="000000" w:themeColor="text1"/>
          <w:sz w:val="36"/>
          <w:szCs w:val="36"/>
        </w:rPr>
      </w:pPr>
    </w:p>
    <w:p>
      <w:pPr>
        <w:pStyle w:val="4"/>
        <w:spacing w:line="578" w:lineRule="exact"/>
        <w:ind w:right="640"/>
        <w:jc w:val="right"/>
        <w:rPr>
          <w:rFonts w:ascii="Times New Roman" w:hAnsi="Times New Roman"/>
          <w:color w:val="000000" w:themeColor="text1"/>
          <w:sz w:val="28"/>
          <w:szCs w:val="28"/>
        </w:rPr>
      </w:pPr>
    </w:p>
    <w:p>
      <w:pPr>
        <w:pStyle w:val="4"/>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4"/>
        <w:spacing w:line="578" w:lineRule="exact"/>
        <w:jc w:val="center"/>
        <w:rPr>
          <w:rFonts w:ascii="Times New Roman" w:hAnsi="Times New Roman" w:eastAsia="方正小标宋简体"/>
          <w:color w:val="000000" w:themeColor="text1"/>
          <w:sz w:val="44"/>
          <w:szCs w:val="44"/>
        </w:rPr>
      </w:pPr>
    </w:p>
    <w:p>
      <w:pPr>
        <w:pStyle w:val="4"/>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4"/>
        <w:spacing w:line="578" w:lineRule="exact"/>
        <w:jc w:val="center"/>
        <w:rPr>
          <w:rFonts w:ascii="Times New Roman" w:hAnsi="Times New Roman"/>
          <w:color w:val="000000" w:themeColor="text1"/>
          <w:sz w:val="28"/>
          <w:szCs w:val="28"/>
        </w:rPr>
      </w:pP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4"/>
        <w:spacing w:line="578" w:lineRule="exact"/>
        <w:jc w:val="center"/>
        <w:rPr>
          <w:rFonts w:ascii="Times New Roman" w:hAnsi="Times New Roman"/>
          <w:color w:val="000000" w:themeColor="text1"/>
          <w:sz w:val="28"/>
          <w:szCs w:val="28"/>
        </w:rPr>
      </w:pPr>
    </w:p>
    <w:p>
      <w:pPr>
        <w:pStyle w:val="4"/>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4"/>
        <w:spacing w:line="578" w:lineRule="exact"/>
        <w:jc w:val="center"/>
        <w:rPr>
          <w:rFonts w:ascii="Times New Roman" w:hAnsi="Times New Roman"/>
          <w:color w:val="000000" w:themeColor="text1"/>
          <w:sz w:val="28"/>
          <w:szCs w:val="28"/>
        </w:rPr>
      </w:pP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4"/>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ascii="Times New Roman" w:hAnsi="Times New Roman"/>
          <w:color w:val="000000" w:themeColor="text1"/>
          <w:kern w:val="0"/>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4"/>
        <w:spacing w:line="578" w:lineRule="exact"/>
        <w:jc w:val="center"/>
        <w:rPr>
          <w:rFonts w:ascii="Times New Roman" w:hAnsi="Times New Roman"/>
          <w:color w:val="000000" w:themeColor="text1"/>
          <w:sz w:val="28"/>
          <w:szCs w:val="28"/>
        </w:rPr>
      </w:pP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4"/>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4"/>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4"/>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4"/>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4"/>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4"/>
        <w:spacing w:line="578" w:lineRule="exact"/>
        <w:jc w:val="center"/>
        <w:rPr>
          <w:rFonts w:ascii="Times New Roman" w:hAnsi="Times New Roman"/>
          <w:color w:val="000000" w:themeColor="text1"/>
          <w:sz w:val="28"/>
          <w:szCs w:val="28"/>
        </w:rPr>
      </w:pP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4"/>
        <w:spacing w:line="578" w:lineRule="exact"/>
        <w:jc w:val="center"/>
        <w:rPr>
          <w:rFonts w:ascii="Times New Roman" w:hAnsi="Times New Roman"/>
          <w:color w:val="000000" w:themeColor="text1"/>
          <w:sz w:val="28"/>
          <w:szCs w:val="28"/>
        </w:rPr>
      </w:pP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4"/>
        <w:spacing w:line="578" w:lineRule="exact"/>
        <w:ind w:firstLine="560" w:firstLineChars="200"/>
        <w:jc w:val="center"/>
        <w:rPr>
          <w:rFonts w:ascii="Times New Roman" w:hAnsi="Times New Roman"/>
          <w:color w:val="000000" w:themeColor="text1"/>
          <w:sz w:val="28"/>
          <w:szCs w:val="28"/>
        </w:rPr>
      </w:pP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4"/>
        <w:spacing w:line="578" w:lineRule="exact"/>
        <w:ind w:firstLine="645"/>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4"/>
        <w:spacing w:line="578" w:lineRule="exact"/>
        <w:jc w:val="center"/>
        <w:rPr>
          <w:rFonts w:ascii="Times New Roman" w:hAnsi="Times New Roman"/>
          <w:color w:val="000000" w:themeColor="text1"/>
          <w:sz w:val="28"/>
          <w:szCs w:val="28"/>
        </w:rPr>
      </w:pP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4"/>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4"/>
        <w:spacing w:line="578" w:lineRule="exact"/>
        <w:jc w:val="center"/>
        <w:rPr>
          <w:rFonts w:ascii="Times New Roman" w:hAnsi="Times New Roman"/>
          <w:color w:val="000000" w:themeColor="text1"/>
          <w:sz w:val="28"/>
          <w:szCs w:val="28"/>
        </w:rPr>
      </w:pP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4"/>
        <w:spacing w:line="578" w:lineRule="exact"/>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4"/>
        <w:spacing w:line="578" w:lineRule="exact"/>
        <w:jc w:val="center"/>
        <w:rPr>
          <w:rFonts w:ascii="Times New Roman" w:hAnsi="Times New Roman"/>
          <w:color w:val="000000" w:themeColor="text1"/>
          <w:sz w:val="28"/>
          <w:szCs w:val="28"/>
        </w:rPr>
      </w:pPr>
    </w:p>
    <w:p>
      <w:pPr>
        <w:pStyle w:val="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4"/>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4"/>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4"/>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4"/>
        <w:spacing w:line="578" w:lineRule="exact"/>
        <w:rPr>
          <w:rFonts w:ascii="Times New Roman" w:hAnsi="Times New Roman"/>
          <w:color w:val="000000" w:themeColor="text1"/>
          <w:sz w:val="28"/>
          <w:szCs w:val="28"/>
        </w:rPr>
      </w:pPr>
    </w:p>
    <w:p>
      <w:pPr>
        <w:pStyle w:val="4"/>
        <w:spacing w:line="578" w:lineRule="exact"/>
        <w:jc w:val="center"/>
        <w:rPr>
          <w:rFonts w:ascii="Times New Roman" w:hAnsi="Times New Roman"/>
          <w:color w:val="000000" w:themeColor="text1"/>
          <w:sz w:val="28"/>
          <w:szCs w:val="28"/>
        </w:rPr>
      </w:pPr>
    </w:p>
    <w:p>
      <w:pPr>
        <w:pStyle w:val="4"/>
        <w:spacing w:line="578" w:lineRule="exact"/>
        <w:ind w:firstLine="560" w:firstLineChars="200"/>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4"/>
        <w:spacing w:line="578" w:lineRule="exact"/>
        <w:rPr>
          <w:rFonts w:ascii="Times New Roman" w:hAnsi="Times New Roman"/>
          <w:color w:val="000000" w:themeColor="text1"/>
          <w:sz w:val="28"/>
          <w:szCs w:val="28"/>
        </w:rPr>
      </w:pPr>
    </w:p>
    <w:p>
      <w:pPr>
        <w:pStyle w:val="4"/>
        <w:spacing w:line="578" w:lineRule="exact"/>
        <w:rPr>
          <w:rFonts w:ascii="Times New Roman" w:hAnsi="Times New Roman"/>
          <w:color w:val="000000" w:themeColor="text1"/>
          <w:sz w:val="28"/>
          <w:szCs w:val="28"/>
        </w:rPr>
      </w:pPr>
    </w:p>
    <w:p>
      <w:pPr>
        <w:pStyle w:val="4"/>
        <w:ind w:firstLine="4340" w:firstLineChars="1550"/>
        <w:rPr>
          <w:rFonts w:ascii="Times New Roman" w:hAnsi="Times New Roman"/>
          <w:color w:val="000000" w:themeColor="text1"/>
        </w:rPr>
      </w:pPr>
      <w:r>
        <w:rPr>
          <w:rFonts w:hint="eastAsia" w:ascii="Times New Roman" w:hAnsi="Times New Roman"/>
          <w:color w:val="000000" w:themeColor="text1"/>
          <w:sz w:val="28"/>
          <w:szCs w:val="28"/>
          <w:lang w:val="en-US" w:eastAsia="zh-CN"/>
        </w:rPr>
        <w:t xml:space="preserve">      </w:t>
      </w:r>
      <w:r>
        <w:rPr>
          <w:rFonts w:ascii="Times New Roman" w:hAnsi="Times New Roman"/>
          <w:color w:val="000000" w:themeColor="text1"/>
          <w:sz w:val="28"/>
          <w:szCs w:val="28"/>
        </w:rPr>
        <w:t>年  月  日</w:t>
      </w:r>
    </w:p>
    <w:p>
      <w:pPr>
        <w:pStyle w:val="4"/>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2"/>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4"/>
        <w:ind w:left="-141" w:leftChars="-67" w:right="480"/>
        <w:jc w:val="center"/>
        <w:rPr>
          <w:rFonts w:ascii="Times New Roman" w:hAnsi="Times New Roman" w:eastAsia="黑体"/>
          <w:color w:val="000000" w:themeColor="text1"/>
          <w:sz w:val="44"/>
          <w:szCs w:val="44"/>
        </w:rPr>
      </w:pPr>
    </w:p>
    <w:p>
      <w:pPr>
        <w:pStyle w:val="4"/>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4"/>
        <w:ind w:left="-141" w:leftChars="-67" w:right="480"/>
        <w:jc w:val="left"/>
        <w:rPr>
          <w:rFonts w:ascii="Times New Roman" w:hAnsi="Times New Roman"/>
          <w:color w:val="000000" w:themeColor="text1"/>
        </w:rPr>
      </w:pPr>
    </w:p>
    <w:p>
      <w:pPr>
        <w:pStyle w:val="4"/>
        <w:ind w:right="480"/>
        <w:jc w:val="left"/>
        <w:rPr>
          <w:rFonts w:ascii="Times New Roman" w:hAnsi="Times New Roman"/>
          <w:color w:val="000000" w:themeColor="text1"/>
        </w:rPr>
      </w:pPr>
      <w:r>
        <w:rPr>
          <w:rFonts w:ascii="Times New Roman" w:hAnsi="Times New Roman"/>
          <w:color w:val="000000" w:themeColor="text1"/>
        </w:rPr>
        <w:t>×××局：</w:t>
      </w:r>
    </w:p>
    <w:p>
      <w:pPr>
        <w:pStyle w:val="4"/>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4"/>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4"/>
        <w:ind w:left="-141" w:leftChars="-67" w:right="480"/>
        <w:jc w:val="left"/>
        <w:rPr>
          <w:rFonts w:ascii="Times New Roman" w:hAnsi="Times New Roman"/>
          <w:color w:val="000000" w:themeColor="text1"/>
        </w:rPr>
      </w:pPr>
    </w:p>
    <w:p>
      <w:pPr>
        <w:pStyle w:val="4"/>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4"/>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4"/>
        <w:ind w:left="-141" w:leftChars="-67" w:right="480"/>
        <w:jc w:val="left"/>
        <w:rPr>
          <w:rFonts w:ascii="Times New Roman" w:hAnsi="Times New Roman"/>
          <w:color w:val="000000" w:themeColor="text1"/>
        </w:rPr>
      </w:pPr>
    </w:p>
    <w:p>
      <w:pPr>
        <w:pStyle w:val="4"/>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25pt;width:417.7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4"/>
        <w:spacing w:line="578" w:lineRule="atLeast"/>
        <w:ind w:left="-141" w:leftChars="-67" w:right="802"/>
        <w:jc w:val="right"/>
        <w:rPr>
          <w:rFonts w:ascii="Times New Roman" w:hAnsi="Times New Roman" w:eastAsia="仿宋_GB2312"/>
        </w:rPr>
      </w:pPr>
    </w:p>
    <w:p>
      <w:pPr>
        <w:pStyle w:val="4"/>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w:pict>
        <v:shape id="_x0000_s2051" o:spid="_x0000_s2051"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2052" o:spid="_x0000_s2052"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YzJhYzQ1MWVlMTA1ODJjODE1ZDY4NjA1YzQ4MTU3MmE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2BF8"/>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686"/>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1D0796A"/>
    <w:rsid w:val="02522611"/>
    <w:rsid w:val="029972DE"/>
    <w:rsid w:val="032C24DC"/>
    <w:rsid w:val="034D12D4"/>
    <w:rsid w:val="039463AD"/>
    <w:rsid w:val="03AA19C7"/>
    <w:rsid w:val="03DE645D"/>
    <w:rsid w:val="03FD2C8C"/>
    <w:rsid w:val="04384486"/>
    <w:rsid w:val="05E1083F"/>
    <w:rsid w:val="06686A01"/>
    <w:rsid w:val="06FA7189"/>
    <w:rsid w:val="07C85206"/>
    <w:rsid w:val="089900B5"/>
    <w:rsid w:val="095D3F56"/>
    <w:rsid w:val="0A5E2D20"/>
    <w:rsid w:val="0B1A4AB9"/>
    <w:rsid w:val="0B76632E"/>
    <w:rsid w:val="0B8C4961"/>
    <w:rsid w:val="0BBF1C32"/>
    <w:rsid w:val="0C1F2AD1"/>
    <w:rsid w:val="0C396D14"/>
    <w:rsid w:val="0CFF7400"/>
    <w:rsid w:val="0D095DE0"/>
    <w:rsid w:val="0D822374"/>
    <w:rsid w:val="0DD93B5C"/>
    <w:rsid w:val="0DDD6766"/>
    <w:rsid w:val="0E2D6DD1"/>
    <w:rsid w:val="0F9E56F6"/>
    <w:rsid w:val="103114B3"/>
    <w:rsid w:val="103B29D8"/>
    <w:rsid w:val="10C679D7"/>
    <w:rsid w:val="10F37A1C"/>
    <w:rsid w:val="11797BE6"/>
    <w:rsid w:val="126976EC"/>
    <w:rsid w:val="132F26C0"/>
    <w:rsid w:val="13351506"/>
    <w:rsid w:val="141D4DDA"/>
    <w:rsid w:val="14E16390"/>
    <w:rsid w:val="15CE1DD3"/>
    <w:rsid w:val="15E909F5"/>
    <w:rsid w:val="163B2879"/>
    <w:rsid w:val="16572F7C"/>
    <w:rsid w:val="16801789"/>
    <w:rsid w:val="16831C06"/>
    <w:rsid w:val="16CF777F"/>
    <w:rsid w:val="17694C0B"/>
    <w:rsid w:val="18D0495C"/>
    <w:rsid w:val="19A31B88"/>
    <w:rsid w:val="19F2660E"/>
    <w:rsid w:val="1A987298"/>
    <w:rsid w:val="1B58701B"/>
    <w:rsid w:val="1B9117F5"/>
    <w:rsid w:val="1BC879CD"/>
    <w:rsid w:val="1BE71137"/>
    <w:rsid w:val="1C961A9E"/>
    <w:rsid w:val="1D430F6E"/>
    <w:rsid w:val="1DCF1CAD"/>
    <w:rsid w:val="1F107083"/>
    <w:rsid w:val="20795D5C"/>
    <w:rsid w:val="20C02E3B"/>
    <w:rsid w:val="20D90E52"/>
    <w:rsid w:val="20E5353A"/>
    <w:rsid w:val="216C0BB0"/>
    <w:rsid w:val="22153C27"/>
    <w:rsid w:val="24992D39"/>
    <w:rsid w:val="249F1FCC"/>
    <w:rsid w:val="24A40FBC"/>
    <w:rsid w:val="24A50662"/>
    <w:rsid w:val="24B554F3"/>
    <w:rsid w:val="25033A80"/>
    <w:rsid w:val="25EA5EC1"/>
    <w:rsid w:val="266F0406"/>
    <w:rsid w:val="26AF0309"/>
    <w:rsid w:val="27AB0974"/>
    <w:rsid w:val="27B73DC6"/>
    <w:rsid w:val="28AF3A48"/>
    <w:rsid w:val="2A403FBB"/>
    <w:rsid w:val="2B525815"/>
    <w:rsid w:val="2C136A03"/>
    <w:rsid w:val="2C2A5EE7"/>
    <w:rsid w:val="2C74180A"/>
    <w:rsid w:val="2C7744DE"/>
    <w:rsid w:val="2CDA6E57"/>
    <w:rsid w:val="2CE65313"/>
    <w:rsid w:val="2CFF066C"/>
    <w:rsid w:val="2DFB7CF8"/>
    <w:rsid w:val="2E7F4750"/>
    <w:rsid w:val="2F246B5F"/>
    <w:rsid w:val="2F5446ED"/>
    <w:rsid w:val="2FEC3571"/>
    <w:rsid w:val="300466C5"/>
    <w:rsid w:val="308710A4"/>
    <w:rsid w:val="30B22A4B"/>
    <w:rsid w:val="311E5627"/>
    <w:rsid w:val="31BF6449"/>
    <w:rsid w:val="3206368A"/>
    <w:rsid w:val="327B74C9"/>
    <w:rsid w:val="32CA5270"/>
    <w:rsid w:val="32DB6043"/>
    <w:rsid w:val="33396494"/>
    <w:rsid w:val="33844E91"/>
    <w:rsid w:val="33FC5923"/>
    <w:rsid w:val="34A87036"/>
    <w:rsid w:val="35462D36"/>
    <w:rsid w:val="35A13B85"/>
    <w:rsid w:val="35E24B70"/>
    <w:rsid w:val="360762D6"/>
    <w:rsid w:val="365111B7"/>
    <w:rsid w:val="37743531"/>
    <w:rsid w:val="379A16BD"/>
    <w:rsid w:val="37C026CC"/>
    <w:rsid w:val="37C71DB0"/>
    <w:rsid w:val="37DE2A16"/>
    <w:rsid w:val="37DE2AD6"/>
    <w:rsid w:val="37F678AD"/>
    <w:rsid w:val="381F43B6"/>
    <w:rsid w:val="3891221D"/>
    <w:rsid w:val="38BE7829"/>
    <w:rsid w:val="396D17E3"/>
    <w:rsid w:val="3AB94585"/>
    <w:rsid w:val="3B373BF0"/>
    <w:rsid w:val="3BC33327"/>
    <w:rsid w:val="3C0A10AE"/>
    <w:rsid w:val="3C774D3E"/>
    <w:rsid w:val="3CAC0CBC"/>
    <w:rsid w:val="3CF60293"/>
    <w:rsid w:val="3D066E64"/>
    <w:rsid w:val="3D1179C2"/>
    <w:rsid w:val="3DAC76A7"/>
    <w:rsid w:val="3DF86F11"/>
    <w:rsid w:val="3E4C593B"/>
    <w:rsid w:val="3E510064"/>
    <w:rsid w:val="3EB30628"/>
    <w:rsid w:val="3F321ED1"/>
    <w:rsid w:val="3F4C5993"/>
    <w:rsid w:val="3F8D625F"/>
    <w:rsid w:val="40D82DFB"/>
    <w:rsid w:val="419C0A8D"/>
    <w:rsid w:val="42C33F30"/>
    <w:rsid w:val="437556E9"/>
    <w:rsid w:val="43962F64"/>
    <w:rsid w:val="44036F51"/>
    <w:rsid w:val="44B17B31"/>
    <w:rsid w:val="44F3127A"/>
    <w:rsid w:val="44F32D05"/>
    <w:rsid w:val="455A3683"/>
    <w:rsid w:val="456A6AE6"/>
    <w:rsid w:val="457B24F2"/>
    <w:rsid w:val="46477E22"/>
    <w:rsid w:val="468A0DE6"/>
    <w:rsid w:val="47EF2633"/>
    <w:rsid w:val="48000CA4"/>
    <w:rsid w:val="485E3EFB"/>
    <w:rsid w:val="497E0E3E"/>
    <w:rsid w:val="49BF33D2"/>
    <w:rsid w:val="4A3416AF"/>
    <w:rsid w:val="4A527BD5"/>
    <w:rsid w:val="4BCE582C"/>
    <w:rsid w:val="4BF44EFB"/>
    <w:rsid w:val="4C072893"/>
    <w:rsid w:val="4C8B5DD4"/>
    <w:rsid w:val="4D820DE4"/>
    <w:rsid w:val="4D881D6F"/>
    <w:rsid w:val="4DEC0600"/>
    <w:rsid w:val="4EB4413A"/>
    <w:rsid w:val="4F3710E1"/>
    <w:rsid w:val="501A39CA"/>
    <w:rsid w:val="503B5814"/>
    <w:rsid w:val="506C2151"/>
    <w:rsid w:val="50E16708"/>
    <w:rsid w:val="511F1731"/>
    <w:rsid w:val="51E62B79"/>
    <w:rsid w:val="525A371F"/>
    <w:rsid w:val="536415F1"/>
    <w:rsid w:val="53EE4B74"/>
    <w:rsid w:val="53F4463B"/>
    <w:rsid w:val="54263430"/>
    <w:rsid w:val="547153CD"/>
    <w:rsid w:val="55E81647"/>
    <w:rsid w:val="56105421"/>
    <w:rsid w:val="56BD505E"/>
    <w:rsid w:val="57A6600E"/>
    <w:rsid w:val="589A3193"/>
    <w:rsid w:val="592C5219"/>
    <w:rsid w:val="5AE42DEB"/>
    <w:rsid w:val="5B2C0106"/>
    <w:rsid w:val="5B9F3B36"/>
    <w:rsid w:val="5D796F08"/>
    <w:rsid w:val="5E746526"/>
    <w:rsid w:val="5F5C11C0"/>
    <w:rsid w:val="5FBF30CA"/>
    <w:rsid w:val="5FCD01EE"/>
    <w:rsid w:val="601B7A0C"/>
    <w:rsid w:val="605F5BE5"/>
    <w:rsid w:val="60A80089"/>
    <w:rsid w:val="61563D8A"/>
    <w:rsid w:val="61963FB3"/>
    <w:rsid w:val="61CB167B"/>
    <w:rsid w:val="624433AB"/>
    <w:rsid w:val="6325605A"/>
    <w:rsid w:val="64F01059"/>
    <w:rsid w:val="668F14E4"/>
    <w:rsid w:val="670A7F27"/>
    <w:rsid w:val="67BB0FE6"/>
    <w:rsid w:val="67ED50B4"/>
    <w:rsid w:val="682B47D1"/>
    <w:rsid w:val="687E4741"/>
    <w:rsid w:val="68C567C2"/>
    <w:rsid w:val="68EE7968"/>
    <w:rsid w:val="691E189E"/>
    <w:rsid w:val="69F978B3"/>
    <w:rsid w:val="6B330383"/>
    <w:rsid w:val="6B7F1EA3"/>
    <w:rsid w:val="6BD12065"/>
    <w:rsid w:val="6BF47809"/>
    <w:rsid w:val="6C74796F"/>
    <w:rsid w:val="6D625C1A"/>
    <w:rsid w:val="6DB97DE8"/>
    <w:rsid w:val="6E4E27FF"/>
    <w:rsid w:val="6E696399"/>
    <w:rsid w:val="6E7E09DA"/>
    <w:rsid w:val="6F341910"/>
    <w:rsid w:val="6F535138"/>
    <w:rsid w:val="6F94610B"/>
    <w:rsid w:val="6FFF27F3"/>
    <w:rsid w:val="7037434E"/>
    <w:rsid w:val="70A75B7F"/>
    <w:rsid w:val="716F100B"/>
    <w:rsid w:val="720A41A6"/>
    <w:rsid w:val="72395801"/>
    <w:rsid w:val="72997548"/>
    <w:rsid w:val="72A0212A"/>
    <w:rsid w:val="73837CDD"/>
    <w:rsid w:val="73CB2B9E"/>
    <w:rsid w:val="73CF1D2F"/>
    <w:rsid w:val="745C561E"/>
    <w:rsid w:val="745D03BD"/>
    <w:rsid w:val="74AF3F7B"/>
    <w:rsid w:val="752C70F1"/>
    <w:rsid w:val="7543535A"/>
    <w:rsid w:val="75493809"/>
    <w:rsid w:val="77310B5C"/>
    <w:rsid w:val="78340C7E"/>
    <w:rsid w:val="78762B59"/>
    <w:rsid w:val="79D92211"/>
    <w:rsid w:val="7A4B0F6D"/>
    <w:rsid w:val="7B2014A6"/>
    <w:rsid w:val="7B3D5FC0"/>
    <w:rsid w:val="7C944F83"/>
    <w:rsid w:val="7C9C5934"/>
    <w:rsid w:val="7D717F32"/>
    <w:rsid w:val="7E9637AF"/>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字符"/>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字符"/>
    <w:link w:val="5"/>
    <w:qFormat/>
    <w:locked/>
    <w:uiPriority w:val="99"/>
    <w:rPr>
      <w:rFonts w:cs="Times New Roman"/>
      <w:kern w:val="2"/>
      <w:sz w:val="18"/>
      <w:szCs w:val="18"/>
    </w:rPr>
  </w:style>
  <w:style w:type="character" w:customStyle="1" w:styleId="21">
    <w:name w:val="页脚 字符"/>
    <w:link w:val="6"/>
    <w:qFormat/>
    <w:locked/>
    <w:uiPriority w:val="99"/>
    <w:rPr>
      <w:rFonts w:eastAsia="宋体" w:cs="Times New Roman"/>
      <w:kern w:val="2"/>
      <w:sz w:val="18"/>
      <w:lang w:val="en-US" w:eastAsia="zh-CN"/>
    </w:rPr>
  </w:style>
  <w:style w:type="character" w:customStyle="1" w:styleId="22">
    <w:name w:val="页眉 字符"/>
    <w:link w:val="7"/>
    <w:qFormat/>
    <w:locked/>
    <w:uiPriority w:val="99"/>
    <w:rPr>
      <w:rFonts w:eastAsia="宋体" w:cs="Times New Roman"/>
      <w:kern w:val="2"/>
      <w:sz w:val="18"/>
      <w:lang w:val="en-US" w:eastAsia="zh-CN"/>
    </w:rPr>
  </w:style>
  <w:style w:type="character" w:customStyle="1" w:styleId="23">
    <w:name w:val="副标题 字符"/>
    <w:link w:val="9"/>
    <w:qFormat/>
    <w:locked/>
    <w:uiPriority w:val="99"/>
    <w:rPr>
      <w:rFonts w:ascii="Calibri" w:hAnsi="Calibri" w:eastAsia="宋体" w:cs="Times New Roman"/>
      <w:b/>
      <w:bCs/>
      <w:kern w:val="28"/>
      <w:sz w:val="32"/>
      <w:szCs w:val="32"/>
    </w:rPr>
  </w:style>
  <w:style w:type="character" w:customStyle="1" w:styleId="24">
    <w:name w:val="标题 字符"/>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字符"/>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46</Pages>
  <Words>15737</Words>
  <Characters>16473</Characters>
  <Lines>127</Lines>
  <Paragraphs>35</Paragraphs>
  <TotalTime>23</TotalTime>
  <ScaleCrop>false</ScaleCrop>
  <LinksUpToDate>false</LinksUpToDate>
  <CharactersWithSpaces>16846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2022-12-09T04:59:16Z</cp:lastPrinted>
  <dcterms:modified xsi:type="dcterms:W3CDTF">2022-12-09T05:02:40Z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