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38" w:lineRule="atLeast"/>
        <w:jc w:val="right"/>
        <w:rPr>
          <w:rFonts w:ascii="黑体" w:hAnsi="黑体" w:eastAsia="黑体"/>
          <w:color w:val="auto"/>
          <w:sz w:val="30"/>
          <w:szCs w:val="30"/>
        </w:rPr>
      </w:pPr>
      <w:r>
        <w:rPr>
          <w:rFonts w:hint="eastAsia" w:ascii="黑体" w:hAnsi="黑体" w:eastAsia="黑体" w:cs="微软雅黑"/>
          <w:color w:val="auto"/>
          <w:sz w:val="30"/>
          <w:szCs w:val="30"/>
        </w:rPr>
        <w:t>DST(P)[2023]</w:t>
      </w:r>
      <w:r>
        <w:rPr>
          <w:rFonts w:hint="eastAsia" w:ascii="黑体" w:hAnsi="黑体" w:eastAsia="黑体" w:cs="微软雅黑"/>
          <w:color w:val="auto"/>
          <w:sz w:val="30"/>
          <w:szCs w:val="30"/>
          <w:lang w:val="en-US" w:eastAsia="zh-CN"/>
        </w:rPr>
        <w:t>12</w:t>
      </w:r>
      <w:r>
        <w:rPr>
          <w:rFonts w:hint="eastAsia" w:ascii="黑体" w:hAnsi="黑体" w:eastAsia="黑体" w:cs="微软雅黑"/>
          <w:color w:val="auto"/>
          <w:sz w:val="30"/>
          <w:szCs w:val="30"/>
        </w:rPr>
        <w:t>号</w:t>
      </w:r>
    </w:p>
    <w:p>
      <w:pPr>
        <w:ind w:firstLine="4620" w:firstLineChars="2200"/>
        <w:rPr>
          <w:color w:val="auto"/>
          <w:sz w:val="44"/>
        </w:rPr>
      </w:pPr>
      <w:r>
        <w:rPr>
          <w:color w:val="auto"/>
        </w:rPr>
        <mc:AlternateContent>
          <mc:Choice Requires="wps">
            <w:drawing>
              <wp:anchor distT="0" distB="0" distL="114300" distR="114300" simplePos="0" relativeHeight="251661312" behindDoc="0" locked="0" layoutInCell="0" allowOverlap="1">
                <wp:simplePos x="0" y="0"/>
                <wp:positionH relativeFrom="page">
                  <wp:posOffset>737235</wp:posOffset>
                </wp:positionH>
                <wp:positionV relativeFrom="page">
                  <wp:posOffset>1593850</wp:posOffset>
                </wp:positionV>
                <wp:extent cx="6286500" cy="396240"/>
                <wp:effectExtent l="0" t="0" r="0" b="0"/>
                <wp:wrapNone/>
                <wp:docPr id="4" name="Text Box 4"/>
                <wp:cNvGraphicFramePr/>
                <a:graphic xmlns:a="http://schemas.openxmlformats.org/drawingml/2006/main">
                  <a:graphicData uri="http://schemas.microsoft.com/office/word/2010/wordprocessingShape">
                    <wps:wsp>
                      <wps:cNvSpPr txBox="1"/>
                      <wps:spPr>
                        <a:xfrm>
                          <a:off x="0" y="0"/>
                          <a:ext cx="6286500" cy="396240"/>
                        </a:xfrm>
                        <a:prstGeom prst="rect">
                          <a:avLst/>
                        </a:prstGeom>
                        <a:noFill/>
                        <a:ln>
                          <a:noFill/>
                        </a:ln>
                        <a:effectLst/>
                      </wps:spPr>
                      <wps:txbx>
                        <w:txbxContent>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58.05pt;margin-top:125.5pt;height:31.2pt;width:495pt;mso-position-horizontal-relative:page;mso-position-vertical-relative:page;z-index:251661312;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1f0lK1wAAAAwBAAAPAAAAAAAAAAEAIAAAACIAAABkcnMvZG93bnJldi54bWxQSwEC&#10;FAAUAAAACACHTuJAd4kbJbwBAACRAwAADgAAAAAAAAABACAAAAAmAQAAZHJzL2Uyb0RvYy54bWxQ&#10;SwUGAAAAAAYABgBZAQAAVAUAAAAA&#10;">
                <v:fill on="f" focussize="0,0"/>
                <v:stroke on="f"/>
                <v:imagedata o:title=""/>
                <o:lock v:ext="edit" aspectratio="f"/>
                <v:textbox inset="13.6062204724409pt,2.83456692913386pt,13.6062204724409pt,6.5196062992126pt">
                  <w:txbxContent>
                    <w:p>
                      <w:pPr>
                        <w:snapToGrid w:val="0"/>
                        <w:spacing w:line="289" w:lineRule="atLeast"/>
                      </w:pPr>
                    </w:p>
                    <w:p>
                      <w:pPr>
                        <w:snapToGrid w:val="0"/>
                        <w:spacing w:line="538" w:lineRule="atLeast"/>
                      </w:pPr>
                    </w:p>
                    <w:p/>
                  </w:txbxContent>
                </v:textbox>
              </v:shape>
            </w:pict>
          </mc:Fallback>
        </mc:AlternateContent>
      </w:r>
    </w:p>
    <w:p>
      <w:pPr>
        <w:rPr>
          <w:color w:val="auto"/>
          <w:sz w:val="44"/>
        </w:rPr>
      </w:pPr>
    </w:p>
    <w:p>
      <w:pPr>
        <w:jc w:val="left"/>
        <w:rPr>
          <w:color w:val="auto"/>
          <w:sz w:val="44"/>
        </w:rPr>
      </w:pPr>
    </w:p>
    <w:p>
      <w:pPr>
        <w:rPr>
          <w:rFonts w:eastAsia="方正小标宋简体"/>
          <w:color w:val="auto"/>
          <w:sz w:val="52"/>
          <w:szCs w:val="52"/>
        </w:rPr>
      </w:pPr>
    </w:p>
    <w:p>
      <w:pPr>
        <w:ind w:left="260" w:hanging="260" w:hangingChars="50"/>
        <w:jc w:val="center"/>
        <w:rPr>
          <w:rFonts w:hint="eastAsia" w:ascii="方正小标宋简体" w:hAnsi="微软雅黑" w:eastAsia="方正小标宋简体"/>
          <w:color w:val="auto"/>
          <w:sz w:val="52"/>
          <w:szCs w:val="52"/>
        </w:rPr>
      </w:pPr>
      <w:r>
        <w:rPr>
          <w:rFonts w:hint="eastAsia" w:ascii="方正小标宋简体" w:hAnsi="微软雅黑" w:eastAsia="方正小标宋简体"/>
          <w:color w:val="auto"/>
          <w:sz w:val="52"/>
          <w:szCs w:val="52"/>
        </w:rPr>
        <w:t>达州市马踏洞外围片区C7-04地块</w:t>
      </w:r>
    </w:p>
    <w:p>
      <w:pPr>
        <w:ind w:left="260" w:hanging="260" w:hangingChars="50"/>
        <w:jc w:val="center"/>
        <w:rPr>
          <w:rFonts w:eastAsia="方正小标宋简体"/>
          <w:color w:val="auto"/>
          <w:sz w:val="52"/>
          <w:szCs w:val="52"/>
        </w:rPr>
      </w:pPr>
      <w:r>
        <w:rPr>
          <w:rFonts w:eastAsia="方正小标宋简体"/>
          <w:color w:val="auto"/>
          <w:sz w:val="52"/>
          <w:szCs w:val="52"/>
        </w:rPr>
        <w:t>国有建设用地使用权</w:t>
      </w:r>
    </w:p>
    <w:p>
      <w:pPr>
        <w:ind w:left="260" w:hanging="260" w:hangingChars="50"/>
        <w:jc w:val="center"/>
        <w:rPr>
          <w:rFonts w:ascii="方正小标宋简体" w:hAnsi="微软雅黑" w:eastAsia="方正小标宋简体"/>
          <w:color w:val="auto"/>
          <w:sz w:val="52"/>
          <w:szCs w:val="52"/>
        </w:rPr>
      </w:pPr>
      <w:r>
        <w:rPr>
          <w:rFonts w:eastAsia="方正小标宋简体"/>
          <w:color w:val="auto"/>
          <w:sz w:val="52"/>
          <w:szCs w:val="52"/>
        </w:rPr>
        <w:t>拍卖出让文件</w:t>
      </w: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rPr>
          <w:color w:val="auto"/>
          <w:sz w:val="44"/>
        </w:rPr>
      </w:pPr>
    </w:p>
    <w:p>
      <w:pPr>
        <w:tabs>
          <w:tab w:val="left" w:leader="middleDot" w:pos="6720"/>
        </w:tabs>
        <w:ind w:left="220" w:hanging="220" w:hangingChars="50"/>
        <w:rPr>
          <w:color w:val="auto"/>
          <w:sz w:val="44"/>
        </w:rPr>
      </w:pPr>
    </w:p>
    <w:p>
      <w:pPr>
        <w:tabs>
          <w:tab w:val="left" w:leader="middleDot" w:pos="6720"/>
        </w:tabs>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rPr>
          <w:color w:val="auto"/>
          <w:sz w:val="44"/>
        </w:rPr>
      </w:pPr>
    </w:p>
    <w:p>
      <w:pPr>
        <w:tabs>
          <w:tab w:val="left" w:leader="middleDot" w:pos="6720"/>
        </w:tabs>
        <w:rPr>
          <w:color w:val="auto"/>
          <w:sz w:val="44"/>
        </w:rPr>
      </w:pPr>
    </w:p>
    <w:p>
      <w:pPr>
        <w:tabs>
          <w:tab w:val="left" w:leader="middleDot" w:pos="6720"/>
        </w:tabs>
        <w:ind w:left="220" w:hanging="220" w:hangingChars="50"/>
        <w:jc w:val="center"/>
        <w:rPr>
          <w:color w:val="auto"/>
          <w:sz w:val="44"/>
        </w:rPr>
      </w:pPr>
      <w:r>
        <w:rPr>
          <w:color w:val="auto"/>
          <w:sz w:val="44"/>
        </w:rPr>
        <mc:AlternateContent>
          <mc:Choice Requires="wps">
            <w:drawing>
              <wp:anchor distT="0" distB="0" distL="114300" distR="114300" simplePos="0" relativeHeight="251665408"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7" name="文本框 13"/>
                <wp:cNvGraphicFramePr/>
                <a:graphic xmlns:a="http://schemas.openxmlformats.org/drawingml/2006/main">
                  <a:graphicData uri="http://schemas.microsoft.com/office/word/2010/wordprocessingShape">
                    <wps:wsp>
                      <wps:cNvSpPr txBox="1"/>
                      <wps:spPr>
                        <a:xfrm>
                          <a:off x="0" y="0"/>
                          <a:ext cx="4307840" cy="128968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3" o:spid="_x0000_s1026" o:spt="202" type="#_x0000_t202" style="position:absolute;left:0pt;margin-left:55.85pt;margin-top:0.65pt;height:101.55pt;width:339.2pt;z-index:251665408;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&#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eUki0b&#10;AgAAYAQAAA4AAAAAAAAAAQAgAAAAKAEAAGRycy9lMm9Eb2MueG1sUEsFBgAAAAAGAAYAWQEAALUF&#10;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p>
    <w:p>
      <w:pPr>
        <w:tabs>
          <w:tab w:val="left" w:leader="middleDot" w:pos="6720"/>
        </w:tabs>
        <w:ind w:left="220" w:hanging="220" w:hangingChars="50"/>
        <w:jc w:val="center"/>
        <w:rPr>
          <w:color w:val="auto"/>
          <w:sz w:val="44"/>
        </w:rPr>
      </w:pPr>
    </w:p>
    <w:p>
      <w:pPr>
        <w:tabs>
          <w:tab w:val="left" w:leader="middleDot" w:pos="6720"/>
        </w:tabs>
        <w:ind w:left="220" w:hanging="220" w:hangingChars="50"/>
        <w:jc w:val="center"/>
        <w:rPr>
          <w:color w:val="auto"/>
          <w:sz w:val="44"/>
        </w:rPr>
      </w:pPr>
    </w:p>
    <w:p>
      <w:pPr>
        <w:tabs>
          <w:tab w:val="left" w:leader="middleDot" w:pos="6720"/>
        </w:tabs>
        <w:ind w:firstLine="3520" w:firstLineChars="800"/>
        <w:rPr>
          <w:rFonts w:eastAsia="黑体"/>
          <w:bCs/>
          <w:color w:val="auto"/>
          <w:sz w:val="44"/>
        </w:rPr>
      </w:pPr>
      <w:r>
        <w:rPr>
          <w:rFonts w:eastAsia="黑体"/>
          <w:bCs/>
          <w:color w:val="auto"/>
          <w:sz w:val="44"/>
        </w:rPr>
        <w:t>目录</w:t>
      </w:r>
    </w:p>
    <w:p>
      <w:pPr>
        <w:tabs>
          <w:tab w:val="left" w:leader="middleDot" w:pos="7980"/>
        </w:tabs>
        <w:rPr>
          <w:color w:val="auto"/>
          <w:w w:val="66"/>
          <w:sz w:val="32"/>
          <w:szCs w:val="32"/>
        </w:rPr>
      </w:pPr>
    </w:p>
    <w:p>
      <w:pPr>
        <w:numPr>
          <w:ilvl w:val="0"/>
          <w:numId w:val="1"/>
        </w:numPr>
        <w:tabs>
          <w:tab w:val="left" w:leader="middleDot" w:pos="7980"/>
        </w:tabs>
        <w:spacing w:line="578" w:lineRule="exact"/>
        <w:ind w:left="160" w:hanging="160" w:hangingChars="50"/>
        <w:rPr>
          <w:color w:val="auto"/>
          <w:sz w:val="32"/>
          <w:szCs w:val="32"/>
        </w:rPr>
      </w:pPr>
      <w:r>
        <w:rPr>
          <w:color w:val="auto"/>
          <w:sz w:val="32"/>
          <w:szCs w:val="32"/>
        </w:rPr>
        <w:fldChar w:fldCharType="begin"/>
      </w:r>
      <w:r>
        <w:rPr>
          <w:color w:val="auto"/>
          <w:sz w:val="32"/>
          <w:szCs w:val="32"/>
        </w:rPr>
        <w:instrText xml:space="preserve"> TOC \o "1-1" \h \z \u </w:instrText>
      </w:r>
      <w:r>
        <w:rPr>
          <w:color w:val="auto"/>
          <w:sz w:val="32"/>
          <w:szCs w:val="32"/>
        </w:rPr>
        <w:fldChar w:fldCharType="separate"/>
      </w:r>
      <w:r>
        <w:rPr>
          <w:color w:val="auto"/>
        </w:rPr>
        <w:fldChar w:fldCharType="begin"/>
      </w:r>
      <w:r>
        <w:rPr>
          <w:color w:val="auto"/>
        </w:rPr>
        <w:instrText xml:space="preserve"> HYPERLINK \l "_Toc3391970" </w:instrText>
      </w:r>
      <w:r>
        <w:rPr>
          <w:color w:val="auto"/>
        </w:rPr>
        <w:fldChar w:fldCharType="separate"/>
      </w:r>
      <w:r>
        <w:rPr>
          <w:color w:val="auto"/>
          <w:sz w:val="32"/>
          <w:szCs w:val="32"/>
        </w:rPr>
        <w:t>拍卖出让公告</w:t>
      </w:r>
      <w:r>
        <w:rPr>
          <w:color w:val="auto"/>
          <w:sz w:val="32"/>
          <w:szCs w:val="32"/>
        </w:rPr>
        <w:tab/>
      </w:r>
      <w:r>
        <w:rPr>
          <w:color w:val="auto"/>
          <w:sz w:val="32"/>
          <w:szCs w:val="32"/>
        </w:rPr>
        <w:fldChar w:fldCharType="begin"/>
      </w:r>
      <w:r>
        <w:rPr>
          <w:color w:val="auto"/>
          <w:sz w:val="32"/>
          <w:szCs w:val="32"/>
        </w:rPr>
        <w:instrText xml:space="preserve"> PAGEREF _Toc3391970 \h </w:instrText>
      </w:r>
      <w:r>
        <w:rPr>
          <w:color w:val="auto"/>
          <w:sz w:val="32"/>
          <w:szCs w:val="32"/>
        </w:rPr>
        <w:fldChar w:fldCharType="separate"/>
      </w:r>
      <w:r>
        <w:rPr>
          <w:color w:val="auto"/>
          <w:sz w:val="32"/>
          <w:szCs w:val="32"/>
        </w:rPr>
        <w:t>- 3 -</w:t>
      </w:r>
      <w:r>
        <w:rPr>
          <w:color w:val="auto"/>
          <w:sz w:val="32"/>
          <w:szCs w:val="32"/>
        </w:rPr>
        <w:fldChar w:fldCharType="end"/>
      </w:r>
      <w:r>
        <w:rPr>
          <w:color w:val="auto"/>
          <w:sz w:val="32"/>
          <w:szCs w:val="32"/>
        </w:rPr>
        <w:fldChar w:fldCharType="end"/>
      </w:r>
      <w:r>
        <w:rPr>
          <w:rFonts w:hint="eastAsia"/>
          <w:color w:val="auto"/>
          <w:sz w:val="32"/>
          <w:szCs w:val="32"/>
        </w:rPr>
        <w:t>6</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"_Toc3391971" </w:instrText>
      </w:r>
      <w:r>
        <w:rPr>
          <w:color w:val="auto"/>
        </w:rPr>
        <w:fldChar w:fldCharType="separate"/>
      </w:r>
      <w:r>
        <w:rPr>
          <w:color w:val="auto"/>
          <w:sz w:val="32"/>
          <w:szCs w:val="32"/>
        </w:rPr>
        <w:t>国有建设用地使用权拍卖出让须知</w:t>
      </w:r>
      <w:r>
        <w:rPr>
          <w:color w:val="auto"/>
          <w:sz w:val="32"/>
          <w:szCs w:val="32"/>
        </w:rPr>
        <w:tab/>
      </w:r>
      <w:r>
        <w:rPr>
          <w:color w:val="auto"/>
          <w:sz w:val="32"/>
          <w:szCs w:val="32"/>
        </w:rPr>
        <w:fldChar w:fldCharType="end"/>
      </w:r>
      <w:r>
        <w:rPr>
          <w:rFonts w:hint="eastAsia"/>
          <w:color w:val="auto"/>
          <w:sz w:val="32"/>
          <w:szCs w:val="32"/>
        </w:rPr>
        <w:t>7</w:t>
      </w:r>
      <w:r>
        <w:rPr>
          <w:color w:val="auto"/>
          <w:sz w:val="32"/>
          <w:szCs w:val="32"/>
        </w:rPr>
        <w:t>-</w:t>
      </w:r>
      <w:r>
        <w:rPr>
          <w:rFonts w:hint="eastAsia"/>
          <w:color w:val="auto"/>
          <w:sz w:val="32"/>
          <w:szCs w:val="32"/>
        </w:rPr>
        <w:t>20</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"_Toc3391972" </w:instrText>
      </w:r>
      <w:r>
        <w:rPr>
          <w:color w:val="auto"/>
        </w:rPr>
        <w:fldChar w:fldCharType="separate"/>
      </w:r>
      <w:r>
        <w:rPr>
          <w:color w:val="auto"/>
          <w:sz w:val="32"/>
          <w:szCs w:val="32"/>
        </w:rPr>
        <w:t>地块规划条件相关资料</w:t>
      </w:r>
      <w:r>
        <w:rPr>
          <w:color w:val="auto"/>
          <w:sz w:val="32"/>
          <w:szCs w:val="32"/>
        </w:rPr>
        <w:tab/>
      </w:r>
      <w:r>
        <w:rPr>
          <w:color w:val="auto"/>
          <w:sz w:val="32"/>
          <w:szCs w:val="32"/>
        </w:rPr>
        <w:fldChar w:fldCharType="end"/>
      </w:r>
      <w:r>
        <w:rPr>
          <w:rFonts w:hint="eastAsia"/>
          <w:color w:val="auto"/>
          <w:sz w:val="32"/>
          <w:szCs w:val="32"/>
        </w:rPr>
        <w:t>21</w:t>
      </w:r>
      <w:r>
        <w:rPr>
          <w:color w:val="auto"/>
          <w:sz w:val="32"/>
          <w:szCs w:val="32"/>
        </w:rPr>
        <w:t>-</w:t>
      </w:r>
      <w:r>
        <w:rPr>
          <w:rFonts w:hint="eastAsia"/>
          <w:color w:val="auto"/>
          <w:sz w:val="32"/>
          <w:szCs w:val="32"/>
        </w:rPr>
        <w:t>23</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"_Toc3391973" </w:instrText>
      </w:r>
      <w:r>
        <w:rPr>
          <w:color w:val="auto"/>
        </w:rPr>
        <w:fldChar w:fldCharType="separate"/>
      </w:r>
      <w:r>
        <w:rPr>
          <w:color w:val="auto"/>
          <w:sz w:val="32"/>
          <w:szCs w:val="32"/>
        </w:rPr>
        <w:t>用地红线图</w:t>
      </w:r>
      <w:r>
        <w:rPr>
          <w:color w:val="auto"/>
          <w:sz w:val="32"/>
          <w:szCs w:val="32"/>
        </w:rPr>
        <w:tab/>
      </w:r>
      <w:r>
        <w:rPr>
          <w:color w:val="auto"/>
          <w:sz w:val="32"/>
          <w:szCs w:val="32"/>
        </w:rPr>
        <w:fldChar w:fldCharType="end"/>
      </w:r>
      <w:r>
        <w:rPr>
          <w:color w:val="auto"/>
          <w:sz w:val="32"/>
          <w:szCs w:val="32"/>
        </w:rPr>
        <w:t>2</w:t>
      </w:r>
      <w:r>
        <w:rPr>
          <w:rFonts w:hint="eastAsia"/>
          <w:color w:val="auto"/>
          <w:sz w:val="32"/>
          <w:szCs w:val="32"/>
        </w:rPr>
        <w:t>4</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"_Toc3391974" </w:instrText>
      </w:r>
      <w:r>
        <w:rPr>
          <w:color w:val="auto"/>
        </w:rPr>
        <w:fldChar w:fldCharType="separate"/>
      </w:r>
      <w:r>
        <w:rPr>
          <w:color w:val="auto"/>
          <w:sz w:val="32"/>
          <w:szCs w:val="32"/>
        </w:rPr>
        <w:t>宗地平面界址图</w:t>
      </w:r>
      <w:r>
        <w:rPr>
          <w:color w:val="auto"/>
          <w:sz w:val="32"/>
          <w:szCs w:val="32"/>
        </w:rPr>
        <w:tab/>
      </w:r>
      <w:r>
        <w:rPr>
          <w:color w:val="auto"/>
          <w:sz w:val="32"/>
          <w:szCs w:val="32"/>
        </w:rPr>
        <w:fldChar w:fldCharType="end"/>
      </w:r>
      <w:r>
        <w:rPr>
          <w:color w:val="auto"/>
          <w:sz w:val="32"/>
          <w:szCs w:val="32"/>
        </w:rPr>
        <w:t>2</w:t>
      </w:r>
      <w:r>
        <w:rPr>
          <w:rFonts w:hint="eastAsia"/>
          <w:color w:val="auto"/>
          <w:sz w:val="32"/>
          <w:szCs w:val="32"/>
        </w:rPr>
        <w:t>5</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"_Toc3391975" </w:instrText>
      </w:r>
      <w:r>
        <w:rPr>
          <w:color w:val="auto"/>
        </w:rPr>
        <w:fldChar w:fldCharType="separate"/>
      </w:r>
      <w:r>
        <w:rPr>
          <w:color w:val="auto"/>
          <w:sz w:val="32"/>
          <w:szCs w:val="32"/>
        </w:rPr>
        <w:t>竞买申请书（样本）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6</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"_Toc3391976" </w:instrText>
      </w:r>
      <w:r>
        <w:rPr>
          <w:color w:val="auto"/>
        </w:rPr>
        <w:fldChar w:fldCharType="separate"/>
      </w:r>
      <w:r>
        <w:rPr>
          <w:color w:val="auto"/>
          <w:sz w:val="32"/>
          <w:szCs w:val="32"/>
        </w:rPr>
        <w:t>保证金承诺书（样本）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7</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"_Toc3391977" </w:instrText>
      </w:r>
      <w:r>
        <w:rPr>
          <w:color w:val="auto"/>
        </w:rPr>
        <w:fldChar w:fldCharType="separate"/>
      </w:r>
      <w:r>
        <w:rPr>
          <w:color w:val="auto"/>
          <w:sz w:val="32"/>
          <w:szCs w:val="32"/>
        </w:rPr>
        <w:t>法定代表人身份证明书（样本）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8</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"_Toc3391978" </w:instrText>
      </w:r>
      <w:r>
        <w:rPr>
          <w:color w:val="auto"/>
        </w:rPr>
        <w:fldChar w:fldCharType="separate"/>
      </w:r>
      <w:r>
        <w:rPr>
          <w:color w:val="auto"/>
          <w:sz w:val="32"/>
          <w:szCs w:val="32"/>
        </w:rPr>
        <w:t>授权委托书（样本）</w:t>
      </w:r>
      <w:r>
        <w:rPr>
          <w:color w:val="auto"/>
          <w:sz w:val="32"/>
          <w:szCs w:val="32"/>
        </w:rPr>
        <w:tab/>
      </w:r>
      <w:r>
        <w:rPr>
          <w:color w:val="auto"/>
          <w:sz w:val="32"/>
          <w:szCs w:val="32"/>
        </w:rPr>
        <w:t>2</w:t>
      </w:r>
      <w:r>
        <w:rPr>
          <w:color w:val="auto"/>
          <w:sz w:val="32"/>
          <w:szCs w:val="32"/>
        </w:rPr>
        <w:fldChar w:fldCharType="end"/>
      </w:r>
      <w:r>
        <w:rPr>
          <w:rFonts w:hint="eastAsia"/>
          <w:color w:val="auto"/>
          <w:sz w:val="32"/>
          <w:szCs w:val="32"/>
        </w:rPr>
        <w:t>9</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"_Toc3391979" </w:instrText>
      </w:r>
      <w:r>
        <w:rPr>
          <w:color w:val="auto"/>
        </w:rPr>
        <w:fldChar w:fldCharType="separate"/>
      </w:r>
      <w:r>
        <w:rPr>
          <w:color w:val="auto"/>
          <w:sz w:val="32"/>
          <w:szCs w:val="32"/>
        </w:rPr>
        <w:t>成交确认书（样本）</w:t>
      </w:r>
      <w:r>
        <w:rPr>
          <w:color w:val="auto"/>
          <w:sz w:val="32"/>
          <w:szCs w:val="32"/>
        </w:rPr>
        <w:tab/>
      </w:r>
      <w:r>
        <w:rPr>
          <w:rFonts w:hint="eastAsia"/>
          <w:color w:val="auto"/>
          <w:sz w:val="32"/>
          <w:szCs w:val="32"/>
        </w:rPr>
        <w:t>3</w:t>
      </w:r>
      <w:r>
        <w:rPr>
          <w:rFonts w:hint="eastAsia"/>
          <w:color w:val="auto"/>
          <w:sz w:val="32"/>
          <w:szCs w:val="32"/>
        </w:rPr>
        <w:fldChar w:fldCharType="end"/>
      </w:r>
      <w:r>
        <w:rPr>
          <w:rFonts w:hint="eastAsia"/>
          <w:color w:val="auto"/>
          <w:sz w:val="32"/>
          <w:szCs w:val="32"/>
        </w:rPr>
        <w:t>0</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"_Toc3391980" </w:instrText>
      </w:r>
      <w:r>
        <w:rPr>
          <w:color w:val="auto"/>
        </w:rPr>
        <w:fldChar w:fldCharType="separate"/>
      </w:r>
      <w:r>
        <w:rPr>
          <w:color w:val="auto"/>
          <w:sz w:val="32"/>
          <w:szCs w:val="32"/>
        </w:rPr>
        <w:t>国有建设用地使用权出让合同（样本）</w:t>
      </w:r>
      <w:r>
        <w:rPr>
          <w:color w:val="auto"/>
          <w:sz w:val="32"/>
          <w:szCs w:val="32"/>
        </w:rPr>
        <w:tab/>
      </w:r>
      <w:r>
        <w:rPr>
          <w:color w:val="auto"/>
          <w:sz w:val="32"/>
          <w:szCs w:val="32"/>
        </w:rPr>
        <w:fldChar w:fldCharType="end"/>
      </w:r>
      <w:r>
        <w:rPr>
          <w:rFonts w:hint="eastAsia"/>
          <w:color w:val="auto"/>
          <w:sz w:val="32"/>
          <w:szCs w:val="32"/>
        </w:rPr>
        <w:t>31</w:t>
      </w:r>
      <w:r>
        <w:rPr>
          <w:color w:val="auto"/>
          <w:sz w:val="32"/>
          <w:szCs w:val="32"/>
        </w:rPr>
        <w:t>-4</w:t>
      </w:r>
      <w:r>
        <w:rPr>
          <w:rFonts w:hint="eastAsia"/>
          <w:color w:val="auto"/>
          <w:sz w:val="32"/>
          <w:szCs w:val="32"/>
        </w:rPr>
        <w:t>4</w:t>
      </w:r>
    </w:p>
    <w:p>
      <w:pPr>
        <w:numPr>
          <w:ilvl w:val="0"/>
          <w:numId w:val="1"/>
        </w:numPr>
        <w:tabs>
          <w:tab w:val="left" w:leader="middleDot" w:pos="7980"/>
        </w:tabs>
        <w:spacing w:line="578" w:lineRule="exact"/>
        <w:ind w:left="105" w:hanging="105" w:hangingChars="50"/>
        <w:rPr>
          <w:color w:val="auto"/>
          <w:sz w:val="32"/>
          <w:szCs w:val="32"/>
        </w:rPr>
      </w:pPr>
      <w:r>
        <w:rPr>
          <w:color w:val="auto"/>
        </w:rPr>
        <w:fldChar w:fldCharType="begin"/>
      </w:r>
      <w:r>
        <w:rPr>
          <w:color w:val="auto"/>
        </w:rPr>
        <w:instrText xml:space="preserve"> HYPERLINK \l "_Toc3391981" </w:instrText>
      </w:r>
      <w:r>
        <w:rPr>
          <w:color w:val="auto"/>
        </w:rPr>
        <w:fldChar w:fldCharType="separate"/>
      </w:r>
      <w:r>
        <w:rPr>
          <w:color w:val="auto"/>
          <w:sz w:val="32"/>
          <w:szCs w:val="32"/>
        </w:rPr>
        <w:t>其他相关文件</w:t>
      </w:r>
      <w:r>
        <w:rPr>
          <w:color w:val="auto"/>
          <w:sz w:val="32"/>
          <w:szCs w:val="32"/>
        </w:rPr>
        <w:tab/>
      </w:r>
      <w:r>
        <w:rPr>
          <w:color w:val="auto"/>
          <w:sz w:val="32"/>
          <w:szCs w:val="32"/>
        </w:rPr>
        <w:fldChar w:fldCharType="end"/>
      </w:r>
      <w:r>
        <w:rPr>
          <w:color w:val="auto"/>
          <w:sz w:val="32"/>
          <w:szCs w:val="32"/>
        </w:rPr>
        <w:t>4</w:t>
      </w:r>
      <w:r>
        <w:rPr>
          <w:rFonts w:hint="eastAsia"/>
          <w:color w:val="auto"/>
          <w:sz w:val="32"/>
          <w:szCs w:val="32"/>
        </w:rPr>
        <w:t>5</w:t>
      </w:r>
      <w:r>
        <w:rPr>
          <w:color w:val="auto"/>
          <w:sz w:val="32"/>
          <w:szCs w:val="32"/>
        </w:rPr>
        <w:t>-4</w:t>
      </w:r>
      <w:r>
        <w:rPr>
          <w:rFonts w:hint="eastAsia"/>
          <w:color w:val="auto"/>
          <w:sz w:val="32"/>
          <w:szCs w:val="32"/>
        </w:rPr>
        <w:t>8</w:t>
      </w:r>
    </w:p>
    <w:p>
      <w:pPr>
        <w:spacing w:line="578" w:lineRule="exact"/>
        <w:rPr>
          <w:rFonts w:eastAsia="黑体"/>
          <w:color w:val="auto"/>
          <w:sz w:val="48"/>
          <w:szCs w:val="48"/>
        </w:rPr>
      </w:pPr>
      <w:r>
        <w:rPr>
          <w:color w:val="auto"/>
          <w:sz w:val="32"/>
          <w:szCs w:val="32"/>
        </w:rPr>
        <w:fldChar w:fldCharType="end"/>
      </w:r>
    </w:p>
    <w:p>
      <w:pPr>
        <w:tabs>
          <w:tab w:val="left" w:leader="middleDot" w:pos="6720"/>
        </w:tabs>
        <w:ind w:left="105" w:hanging="105" w:hangingChars="50"/>
        <w:jc w:val="center"/>
        <w:rPr>
          <w:color w:val="auto"/>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pPr>
    </w:p>
    <w:p>
      <w:pPr>
        <w:pStyle w:val="29"/>
        <w:spacing w:line="492" w:lineRule="atLeast"/>
        <w:ind w:left="0"/>
        <w:rPr>
          <w:rFonts w:eastAsiaTheme="minorEastAsia"/>
          <w:b/>
          <w:color w:val="auto"/>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auto"/>
          <w:sz w:val="44"/>
          <w:szCs w:val="44"/>
        </w:rPr>
      </w:pPr>
      <w:bookmarkStart w:id="0" w:name="_Toc3391741"/>
      <w:bookmarkStart w:id="1" w:name="_Toc3391970"/>
      <w:bookmarkStart w:id="2" w:name="OLE_LINK1"/>
      <w:bookmarkStart w:id="3" w:name="OLE_LINK2"/>
      <w:bookmarkStart w:id="4" w:name="_Toc3391971"/>
      <w:bookmarkStart w:id="5" w:name="_Toc3391742"/>
      <w:r>
        <w:rPr>
          <w:rFonts w:eastAsia="方正小标宋简体"/>
          <w:color w:val="auto"/>
          <w:sz w:val="44"/>
          <w:szCs w:val="44"/>
        </w:rPr>
        <w:t>达州市自然资源</w:t>
      </w:r>
      <w:r>
        <w:rPr>
          <w:rFonts w:hint="eastAsia" w:eastAsia="方正小标宋简体"/>
          <w:color w:val="auto"/>
          <w:sz w:val="44"/>
          <w:szCs w:val="44"/>
        </w:rPr>
        <w:t>和</w:t>
      </w:r>
      <w:r>
        <w:rPr>
          <w:rFonts w:eastAsia="方正小标宋简体"/>
          <w:color w:val="auto"/>
          <w:sz w:val="44"/>
          <w:szCs w:val="44"/>
        </w:rPr>
        <w:t>规划局</w:t>
      </w:r>
    </w:p>
    <w:p>
      <w:pPr>
        <w:snapToGrid w:val="0"/>
        <w:spacing w:line="578" w:lineRule="exact"/>
        <w:jc w:val="center"/>
        <w:rPr>
          <w:rFonts w:eastAsia="方正小标宋简体"/>
          <w:color w:val="auto"/>
          <w:sz w:val="44"/>
          <w:szCs w:val="44"/>
        </w:rPr>
      </w:pPr>
      <w:r>
        <w:rPr>
          <w:rFonts w:eastAsia="方正小标宋简体"/>
          <w:color w:val="auto"/>
          <w:sz w:val="44"/>
          <w:szCs w:val="44"/>
        </w:rPr>
        <w:t>达州市公共资源交易服务中心</w:t>
      </w:r>
    </w:p>
    <w:p>
      <w:pPr>
        <w:pStyle w:val="15"/>
        <w:spacing w:before="0" w:after="0" w:line="578" w:lineRule="exact"/>
        <w:rPr>
          <w:rFonts w:ascii="Times New Roman" w:hAnsi="Times New Roman" w:eastAsia="方正小标宋简体"/>
          <w:b w:val="0"/>
          <w:color w:val="auto"/>
          <w:sz w:val="44"/>
          <w:szCs w:val="44"/>
        </w:rPr>
      </w:pPr>
      <w:r>
        <w:rPr>
          <w:rFonts w:ascii="Times New Roman" w:hAnsi="Times New Roman" w:eastAsia="方正小标宋简体"/>
          <w:b w:val="0"/>
          <w:color w:val="auto"/>
          <w:sz w:val="44"/>
          <w:szCs w:val="44"/>
        </w:rPr>
        <w:t>国有建设用地使用权</w:t>
      </w:r>
      <w:r>
        <w:rPr>
          <w:rFonts w:hint="eastAsia" w:ascii="Times New Roman" w:hAnsi="Times New Roman" w:eastAsia="方正小标宋简体"/>
          <w:b w:val="0"/>
          <w:color w:val="auto"/>
          <w:sz w:val="44"/>
          <w:szCs w:val="44"/>
        </w:rPr>
        <w:t>拍卖</w:t>
      </w:r>
      <w:r>
        <w:rPr>
          <w:rFonts w:ascii="Times New Roman" w:hAnsi="Times New Roman" w:eastAsia="方正小标宋简体"/>
          <w:b w:val="0"/>
          <w:color w:val="auto"/>
          <w:sz w:val="44"/>
          <w:szCs w:val="44"/>
        </w:rPr>
        <w:t>出让公告</w:t>
      </w:r>
      <w:bookmarkEnd w:id="0"/>
      <w:bookmarkEnd w:id="1"/>
    </w:p>
    <w:p>
      <w:pPr>
        <w:snapToGrid w:val="0"/>
        <w:spacing w:line="400" w:lineRule="exact"/>
        <w:jc w:val="center"/>
        <w:rPr>
          <w:color w:val="auto"/>
          <w:sz w:val="28"/>
          <w:szCs w:val="28"/>
        </w:rPr>
      </w:pPr>
    </w:p>
    <w:p>
      <w:pPr>
        <w:snapToGrid w:val="0"/>
        <w:spacing w:line="520" w:lineRule="exact"/>
        <w:jc w:val="center"/>
        <w:rPr>
          <w:color w:val="auto"/>
          <w:sz w:val="28"/>
          <w:szCs w:val="28"/>
        </w:rPr>
      </w:pPr>
      <w:r>
        <w:rPr>
          <w:rFonts w:hint="eastAsia" w:ascii="黑体" w:hAnsi="黑体" w:eastAsia="黑体" w:cs="微软雅黑"/>
          <w:color w:val="auto"/>
          <w:sz w:val="30"/>
          <w:szCs w:val="30"/>
        </w:rPr>
        <w:t>DST(P)[2023]</w:t>
      </w:r>
      <w:r>
        <w:rPr>
          <w:rFonts w:hint="eastAsia" w:ascii="黑体" w:hAnsi="黑体" w:eastAsia="黑体" w:cs="微软雅黑"/>
          <w:color w:val="auto"/>
          <w:sz w:val="30"/>
          <w:szCs w:val="30"/>
          <w:lang w:val="en-US" w:eastAsia="zh-CN"/>
        </w:rPr>
        <w:t>12</w:t>
      </w:r>
      <w:r>
        <w:rPr>
          <w:rFonts w:hint="eastAsia" w:ascii="黑体" w:hAnsi="黑体" w:eastAsia="黑体" w:cs="微软雅黑"/>
          <w:color w:val="auto"/>
          <w:sz w:val="30"/>
          <w:szCs w:val="30"/>
        </w:rPr>
        <w:t xml:space="preserve">号 </w:t>
      </w:r>
    </w:p>
    <w:p>
      <w:pPr>
        <w:spacing w:line="520" w:lineRule="exact"/>
        <w:ind w:firstLine="640" w:firstLineChars="200"/>
        <w:rPr>
          <w:rFonts w:eastAsia="仿宋"/>
          <w:color w:val="auto"/>
          <w:sz w:val="32"/>
          <w:szCs w:val="32"/>
        </w:rPr>
      </w:pPr>
      <w:r>
        <w:rPr>
          <w:rFonts w:eastAsia="仿宋"/>
          <w:color w:val="auto"/>
          <w:sz w:val="32"/>
          <w:szCs w:val="32"/>
          <w:u w:val="none"/>
        </w:rPr>
        <w:t>经达州市人民政府批</w:t>
      </w:r>
      <w:r>
        <w:rPr>
          <w:rFonts w:hint="eastAsia" w:eastAsia="仿宋"/>
          <w:color w:val="auto"/>
          <w:sz w:val="32"/>
          <w:szCs w:val="32"/>
          <w:u w:val="none"/>
        </w:rPr>
        <w:t>准，达州市自然资源和规划局决定以</w:t>
      </w:r>
      <w:r>
        <w:rPr>
          <w:rFonts w:hint="eastAsia" w:eastAsia="仿宋"/>
          <w:color w:val="auto"/>
          <w:sz w:val="32"/>
          <w:szCs w:val="32"/>
          <w:u w:val="none"/>
        </w:rPr>
        <w:t>拍卖方式出让</w:t>
      </w:r>
      <w:r>
        <w:rPr>
          <w:rFonts w:hint="eastAsia" w:eastAsia="仿宋"/>
          <w:color w:val="auto"/>
          <w:sz w:val="32"/>
          <w:szCs w:val="32"/>
          <w:u w:val="none"/>
        </w:rPr>
        <w:t>莲花湖片区</w:t>
      </w:r>
      <w:r>
        <w:rPr>
          <w:rFonts w:hint="eastAsia" w:eastAsia="仿宋"/>
          <w:color w:val="auto"/>
          <w:sz w:val="32"/>
          <w:szCs w:val="32"/>
          <w:u w:val="none"/>
          <w:lang w:val="en-US" w:eastAsia="zh-CN"/>
        </w:rPr>
        <w:t>Ⅲ</w:t>
      </w:r>
      <w:bookmarkStart w:id="21" w:name="_GoBack"/>
      <w:bookmarkEnd w:id="21"/>
      <w:r>
        <w:rPr>
          <w:rFonts w:hint="eastAsia" w:eastAsia="仿宋"/>
          <w:color w:val="auto"/>
          <w:sz w:val="32"/>
          <w:szCs w:val="32"/>
          <w:u w:val="none"/>
          <w:lang w:val="en-US" w:eastAsia="zh-CN"/>
        </w:rPr>
        <w:t>C6-2/1</w:t>
      </w:r>
      <w:r>
        <w:rPr>
          <w:rFonts w:hint="eastAsia" w:eastAsia="仿宋"/>
          <w:color w:val="auto"/>
          <w:sz w:val="32"/>
          <w:szCs w:val="32"/>
          <w:u w:val="none"/>
        </w:rPr>
        <w:t>等8宗国有建设用地使用权</w:t>
      </w:r>
      <w:r>
        <w:rPr>
          <w:rFonts w:eastAsia="仿宋"/>
          <w:color w:val="auto"/>
          <w:sz w:val="32"/>
          <w:szCs w:val="32"/>
          <w:u w:val="none"/>
        </w:rPr>
        <w:t>。达州市公共资源交易服务中心受出让</w:t>
      </w:r>
      <w:r>
        <w:rPr>
          <w:rFonts w:eastAsia="仿宋"/>
          <w:color w:val="auto"/>
          <w:sz w:val="32"/>
          <w:szCs w:val="32"/>
        </w:rPr>
        <w:t>人委托对</w:t>
      </w:r>
      <w:r>
        <w:rPr>
          <w:rFonts w:eastAsia="仿宋"/>
          <w:color w:val="auto"/>
          <w:kern w:val="0"/>
          <w:sz w:val="32"/>
          <w:szCs w:val="32"/>
        </w:rPr>
        <w:t>该地块</w:t>
      </w:r>
      <w:r>
        <w:rPr>
          <w:rFonts w:eastAsia="仿宋"/>
          <w:color w:val="auto"/>
          <w:sz w:val="32"/>
          <w:szCs w:val="32"/>
        </w:rPr>
        <w:t>组织拍卖。现将有关事项公告如下：</w:t>
      </w:r>
    </w:p>
    <w:p>
      <w:pPr>
        <w:pStyle w:val="32"/>
        <w:numPr>
          <w:ilvl w:val="0"/>
          <w:numId w:val="2"/>
        </w:numPr>
        <w:spacing w:line="520" w:lineRule="exact"/>
        <w:ind w:firstLineChars="0"/>
        <w:rPr>
          <w:rFonts w:eastAsia="仿宋"/>
          <w:color w:val="auto"/>
          <w:sz w:val="32"/>
          <w:szCs w:val="32"/>
        </w:rPr>
      </w:pPr>
      <w:r>
        <w:rPr>
          <w:rFonts w:hint="eastAsia" w:eastAsia="仿宋"/>
          <w:color w:val="auto"/>
          <w:sz w:val="32"/>
          <w:szCs w:val="32"/>
        </w:rPr>
        <w:t>拍卖</w:t>
      </w:r>
      <w:r>
        <w:rPr>
          <w:rFonts w:eastAsia="仿宋"/>
          <w:color w:val="auto"/>
          <w:sz w:val="32"/>
          <w:szCs w:val="32"/>
        </w:rPr>
        <w:t>出让地块的基本情况和规划指标要求：</w:t>
      </w:r>
    </w:p>
    <w:tbl>
      <w:tblPr>
        <w:tblStyle w:val="16"/>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4"/>
        <w:gridCol w:w="531"/>
        <w:gridCol w:w="493"/>
        <w:gridCol w:w="584"/>
        <w:gridCol w:w="417"/>
        <w:gridCol w:w="684"/>
        <w:gridCol w:w="550"/>
        <w:gridCol w:w="683"/>
        <w:gridCol w:w="550"/>
        <w:gridCol w:w="684"/>
        <w:gridCol w:w="817"/>
        <w:gridCol w:w="390"/>
        <w:gridCol w:w="458"/>
        <w:gridCol w:w="641"/>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atLeast"/>
          <w:jc w:val="center"/>
        </w:trPr>
        <w:tc>
          <w:tcPr>
            <w:tcW w:w="217" w:type="pct"/>
            <w:vMerge w:val="restart"/>
            <w:tcBorders>
              <w:top w:val="single" w:color="000000" w:sz="4" w:space="0"/>
              <w:lef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序号</w:t>
            </w:r>
          </w:p>
        </w:tc>
        <w:tc>
          <w:tcPr>
            <w:tcW w:w="316"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地块</w:t>
            </w:r>
          </w:p>
          <w:p>
            <w:pPr>
              <w:jc w:val="center"/>
              <w:rPr>
                <w:rFonts w:ascii="仿宋" w:hAnsi="仿宋" w:eastAsia="仿宋"/>
                <w:b/>
                <w:color w:val="auto"/>
                <w:sz w:val="18"/>
                <w:szCs w:val="18"/>
              </w:rPr>
            </w:pPr>
            <w:r>
              <w:rPr>
                <w:rFonts w:hint="eastAsia" w:ascii="仿宋" w:hAnsi="仿宋" w:eastAsia="仿宋" w:cs="宋体"/>
                <w:b/>
                <w:color w:val="auto"/>
                <w:sz w:val="18"/>
                <w:szCs w:val="18"/>
              </w:rPr>
              <w:t>编号</w:t>
            </w:r>
          </w:p>
        </w:tc>
        <w:tc>
          <w:tcPr>
            <w:tcW w:w="293"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w:t>
            </w:r>
          </w:p>
          <w:p>
            <w:pPr>
              <w:jc w:val="center"/>
              <w:rPr>
                <w:rFonts w:ascii="仿宋" w:hAnsi="仿宋" w:eastAsia="仿宋"/>
                <w:b/>
                <w:color w:val="auto"/>
                <w:sz w:val="18"/>
                <w:szCs w:val="18"/>
              </w:rPr>
            </w:pPr>
            <w:r>
              <w:rPr>
                <w:rFonts w:hint="eastAsia" w:ascii="仿宋" w:hAnsi="仿宋" w:eastAsia="仿宋" w:cs="宋体"/>
                <w:b/>
                <w:color w:val="auto"/>
                <w:sz w:val="18"/>
                <w:szCs w:val="18"/>
              </w:rPr>
              <w:t>位置</w:t>
            </w:r>
          </w:p>
        </w:tc>
        <w:tc>
          <w:tcPr>
            <w:tcW w:w="348"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土地出让面积</w:t>
            </w:r>
            <w:r>
              <w:rPr>
                <w:rFonts w:ascii="仿宋" w:hAnsi="仿宋" w:eastAsia="仿宋" w:cs="宋体"/>
                <w:b/>
                <w:color w:val="auto"/>
                <w:sz w:val="18"/>
                <w:szCs w:val="18"/>
              </w:rPr>
              <w:t>(</w:t>
            </w:r>
            <w:r>
              <w:rPr>
                <w:rFonts w:hint="eastAsia" w:ascii="仿宋" w:hAnsi="仿宋" w:eastAsia="仿宋" w:cs="宋体"/>
                <w:b/>
                <w:color w:val="auto"/>
                <w:sz w:val="18"/>
                <w:szCs w:val="18"/>
              </w:rPr>
              <w:t>㎡）</w:t>
            </w:r>
          </w:p>
        </w:tc>
        <w:tc>
          <w:tcPr>
            <w:tcW w:w="248"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土地</w:t>
            </w:r>
          </w:p>
          <w:p>
            <w:pPr>
              <w:jc w:val="center"/>
              <w:rPr>
                <w:rFonts w:ascii="仿宋" w:hAnsi="仿宋" w:eastAsia="仿宋"/>
                <w:b/>
                <w:color w:val="auto"/>
                <w:sz w:val="18"/>
                <w:szCs w:val="18"/>
              </w:rPr>
            </w:pPr>
            <w:r>
              <w:rPr>
                <w:rFonts w:hint="eastAsia" w:ascii="仿宋" w:hAnsi="仿宋" w:eastAsia="仿宋" w:cs="宋体"/>
                <w:b/>
                <w:color w:val="auto"/>
                <w:sz w:val="18"/>
                <w:szCs w:val="18"/>
              </w:rPr>
              <w:t>用途</w:t>
            </w:r>
          </w:p>
        </w:tc>
        <w:tc>
          <w:tcPr>
            <w:tcW w:w="2365" w:type="pct"/>
            <w:gridSpan w:val="6"/>
            <w:tcBorders>
              <w:top w:val="single" w:color="000000" w:sz="4" w:space="0"/>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规划指标要求</w:t>
            </w:r>
          </w:p>
        </w:tc>
        <w:tc>
          <w:tcPr>
            <w:tcW w:w="232"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出让</w:t>
            </w:r>
          </w:p>
          <w:p>
            <w:pPr>
              <w:jc w:val="center"/>
              <w:rPr>
                <w:rFonts w:ascii="仿宋" w:hAnsi="仿宋" w:eastAsia="仿宋"/>
                <w:b/>
                <w:color w:val="auto"/>
                <w:sz w:val="18"/>
                <w:szCs w:val="18"/>
              </w:rPr>
            </w:pPr>
            <w:r>
              <w:rPr>
                <w:rFonts w:hint="eastAsia" w:ascii="仿宋" w:hAnsi="仿宋" w:eastAsia="仿宋" w:cs="宋体"/>
                <w:b/>
                <w:color w:val="auto"/>
                <w:sz w:val="18"/>
                <w:szCs w:val="18"/>
              </w:rPr>
              <w:t>年限</w:t>
            </w:r>
          </w:p>
        </w:tc>
        <w:tc>
          <w:tcPr>
            <w:tcW w:w="272" w:type="pct"/>
            <w:vMerge w:val="restart"/>
            <w:tcBorders>
              <w:top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起叫价</w:t>
            </w:r>
          </w:p>
        </w:tc>
        <w:tc>
          <w:tcPr>
            <w:tcW w:w="382" w:type="pct"/>
            <w:vMerge w:val="restart"/>
            <w:tcBorders>
              <w:top w:val="single" w:color="000000" w:sz="4" w:space="0"/>
              <w:right w:val="single" w:color="000000" w:sz="4" w:space="0"/>
            </w:tcBorders>
            <w:vAlign w:val="center"/>
          </w:tcPr>
          <w:p>
            <w:pPr>
              <w:jc w:val="center"/>
              <w:rPr>
                <w:rFonts w:ascii="仿宋" w:hAnsi="仿宋" w:eastAsia="仿宋"/>
                <w:b/>
                <w:color w:val="auto"/>
                <w:spacing w:val="-6"/>
                <w:sz w:val="18"/>
                <w:szCs w:val="18"/>
              </w:rPr>
            </w:pPr>
            <w:r>
              <w:rPr>
                <w:rFonts w:hint="eastAsia" w:ascii="仿宋" w:hAnsi="仿宋" w:eastAsia="仿宋" w:cs="宋体"/>
                <w:b/>
                <w:color w:val="auto"/>
                <w:spacing w:val="-6"/>
                <w:sz w:val="18"/>
                <w:szCs w:val="18"/>
              </w:rPr>
              <w:t>增价</w:t>
            </w:r>
          </w:p>
          <w:p>
            <w:pPr>
              <w:jc w:val="center"/>
              <w:rPr>
                <w:rFonts w:ascii="仿宋" w:hAnsi="仿宋" w:eastAsia="仿宋"/>
                <w:b/>
                <w:color w:val="auto"/>
                <w:spacing w:val="-32"/>
                <w:sz w:val="18"/>
                <w:szCs w:val="18"/>
              </w:rPr>
            </w:pPr>
            <w:r>
              <w:rPr>
                <w:rFonts w:hint="eastAsia" w:ascii="仿宋" w:hAnsi="仿宋" w:eastAsia="仿宋" w:cs="宋体"/>
                <w:b/>
                <w:color w:val="auto"/>
                <w:spacing w:val="-6"/>
                <w:sz w:val="18"/>
                <w:szCs w:val="18"/>
              </w:rPr>
              <w:t>幅度</w:t>
            </w:r>
          </w:p>
        </w:tc>
        <w:tc>
          <w:tcPr>
            <w:tcW w:w="322" w:type="pct"/>
            <w:vMerge w:val="restart"/>
            <w:tcBorders>
              <w:top w:val="single" w:color="000000" w:sz="4" w:space="0"/>
              <w:right w:val="single" w:color="000000" w:sz="4" w:space="0"/>
            </w:tcBorders>
            <w:vAlign w:val="center"/>
          </w:tcPr>
          <w:p>
            <w:pPr>
              <w:jc w:val="center"/>
              <w:rPr>
                <w:rFonts w:ascii="仿宋" w:hAnsi="仿宋" w:eastAsia="仿宋" w:cs="宋体"/>
                <w:b/>
                <w:color w:val="auto"/>
                <w:sz w:val="18"/>
                <w:szCs w:val="18"/>
              </w:rPr>
            </w:pPr>
            <w:r>
              <w:rPr>
                <w:rFonts w:hint="eastAsia" w:ascii="仿宋" w:hAnsi="仿宋" w:eastAsia="仿宋" w:cs="宋体"/>
                <w:b/>
                <w:color w:val="auto"/>
                <w:sz w:val="18"/>
                <w:szCs w:val="18"/>
              </w:rPr>
              <w:t>竞买</w:t>
            </w:r>
          </w:p>
          <w:p>
            <w:pPr>
              <w:jc w:val="center"/>
              <w:rPr>
                <w:rFonts w:ascii="仿宋" w:hAnsi="仿宋" w:eastAsia="仿宋"/>
                <w:b/>
                <w:color w:val="auto"/>
                <w:sz w:val="18"/>
                <w:szCs w:val="18"/>
              </w:rPr>
            </w:pPr>
            <w:r>
              <w:rPr>
                <w:rFonts w:hint="eastAsia" w:ascii="仿宋" w:hAnsi="仿宋" w:eastAsia="仿宋" w:cs="宋体"/>
                <w:b/>
                <w:color w:val="auto"/>
                <w:sz w:val="18"/>
                <w:szCs w:val="18"/>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217" w:type="pct"/>
            <w:vMerge w:val="continue"/>
            <w:tcBorders>
              <w:top w:val="single" w:color="000000" w:sz="4" w:space="0"/>
              <w:left w:val="single" w:color="000000" w:sz="4" w:space="0"/>
            </w:tcBorders>
            <w:vAlign w:val="center"/>
          </w:tcPr>
          <w:p>
            <w:pPr>
              <w:widowControl/>
              <w:jc w:val="left"/>
              <w:rPr>
                <w:rFonts w:ascii="仿宋" w:hAnsi="仿宋" w:eastAsia="仿宋"/>
                <w:color w:val="auto"/>
                <w:sz w:val="18"/>
                <w:szCs w:val="18"/>
              </w:rPr>
            </w:pPr>
          </w:p>
        </w:tc>
        <w:tc>
          <w:tcPr>
            <w:tcW w:w="316"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293"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348"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248" w:type="pct"/>
            <w:vMerge w:val="continue"/>
            <w:tcBorders>
              <w:top w:val="single" w:color="000000" w:sz="4" w:space="0"/>
              <w:right w:val="single" w:color="000000" w:sz="4" w:space="0"/>
            </w:tcBorders>
            <w:vAlign w:val="center"/>
          </w:tcPr>
          <w:p>
            <w:pPr>
              <w:widowControl/>
              <w:jc w:val="left"/>
              <w:rPr>
                <w:rFonts w:ascii="仿宋" w:hAnsi="仿宋" w:eastAsia="仿宋"/>
                <w:color w:val="auto"/>
                <w:sz w:val="18"/>
                <w:szCs w:val="18"/>
              </w:rPr>
            </w:pPr>
          </w:p>
        </w:tc>
        <w:tc>
          <w:tcPr>
            <w:tcW w:w="407" w:type="pct"/>
            <w:tcBorders>
              <w:bottom w:val="single" w:color="000000" w:sz="4" w:space="0"/>
              <w:right w:val="single" w:color="000000" w:sz="4" w:space="0"/>
            </w:tcBorders>
            <w:vAlign w:val="center"/>
          </w:tcPr>
          <w:p>
            <w:pPr>
              <w:snapToGrid w:val="0"/>
              <w:spacing w:line="289" w:lineRule="atLeast"/>
              <w:jc w:val="center"/>
              <w:rPr>
                <w:rFonts w:ascii="仿宋" w:hAnsi="仿宋" w:eastAsia="仿宋"/>
                <w:b/>
                <w:color w:val="auto"/>
                <w:sz w:val="18"/>
                <w:szCs w:val="18"/>
              </w:rPr>
            </w:pPr>
            <w:r>
              <w:rPr>
                <w:rFonts w:hint="eastAsia" w:ascii="仿宋" w:hAnsi="仿宋" w:eastAsia="仿宋" w:cs="宋体"/>
                <w:b/>
                <w:color w:val="auto"/>
                <w:sz w:val="18"/>
                <w:szCs w:val="18"/>
              </w:rPr>
              <w:t>容积率</w:t>
            </w:r>
          </w:p>
        </w:tc>
        <w:tc>
          <w:tcPr>
            <w:tcW w:w="32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建筑</w:t>
            </w:r>
          </w:p>
          <w:p>
            <w:pPr>
              <w:jc w:val="center"/>
              <w:rPr>
                <w:rFonts w:ascii="仿宋" w:hAnsi="仿宋" w:eastAsia="仿宋"/>
                <w:b/>
                <w:color w:val="auto"/>
                <w:sz w:val="18"/>
                <w:szCs w:val="18"/>
              </w:rPr>
            </w:pPr>
            <w:r>
              <w:rPr>
                <w:rFonts w:hint="eastAsia" w:ascii="仿宋" w:hAnsi="仿宋" w:eastAsia="仿宋" w:cs="宋体"/>
                <w:b/>
                <w:color w:val="auto"/>
                <w:sz w:val="18"/>
                <w:szCs w:val="18"/>
              </w:rPr>
              <w:t>密度</w:t>
            </w:r>
          </w:p>
        </w:tc>
        <w:tc>
          <w:tcPr>
            <w:tcW w:w="40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绿地率</w:t>
            </w:r>
          </w:p>
        </w:tc>
        <w:tc>
          <w:tcPr>
            <w:tcW w:w="327" w:type="pct"/>
            <w:tcBorders>
              <w:bottom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建筑</w:t>
            </w:r>
          </w:p>
          <w:p>
            <w:pPr>
              <w:jc w:val="center"/>
              <w:rPr>
                <w:rFonts w:ascii="仿宋" w:hAnsi="仿宋" w:eastAsia="仿宋"/>
                <w:b/>
                <w:color w:val="auto"/>
                <w:sz w:val="18"/>
                <w:szCs w:val="18"/>
              </w:rPr>
            </w:pPr>
            <w:r>
              <w:rPr>
                <w:rFonts w:hint="eastAsia" w:ascii="仿宋" w:hAnsi="仿宋" w:eastAsia="仿宋" w:cs="宋体"/>
                <w:b/>
                <w:color w:val="auto"/>
                <w:sz w:val="18"/>
                <w:szCs w:val="18"/>
              </w:rPr>
              <w:t>限高</w:t>
            </w:r>
          </w:p>
        </w:tc>
        <w:tc>
          <w:tcPr>
            <w:tcW w:w="407" w:type="pct"/>
            <w:tcBorders>
              <w:bottom w:val="single" w:color="000000" w:sz="4" w:space="0"/>
            </w:tcBorders>
            <w:vAlign w:val="center"/>
          </w:tcPr>
          <w:p>
            <w:pPr>
              <w:jc w:val="center"/>
              <w:rPr>
                <w:rFonts w:ascii="仿宋" w:hAnsi="仿宋" w:eastAsia="仿宋"/>
                <w:b/>
                <w:color w:val="auto"/>
                <w:sz w:val="18"/>
                <w:szCs w:val="18"/>
              </w:rPr>
            </w:pPr>
            <w:r>
              <w:rPr>
                <w:rFonts w:hint="eastAsia" w:ascii="仿宋" w:hAnsi="仿宋" w:eastAsia="仿宋"/>
                <w:b/>
                <w:color w:val="auto"/>
                <w:sz w:val="18"/>
                <w:szCs w:val="18"/>
              </w:rPr>
              <w:t>配套</w:t>
            </w:r>
          </w:p>
          <w:p>
            <w:pPr>
              <w:jc w:val="center"/>
              <w:rPr>
                <w:rFonts w:ascii="仿宋" w:hAnsi="仿宋" w:eastAsia="仿宋"/>
                <w:b/>
                <w:color w:val="auto"/>
                <w:sz w:val="18"/>
                <w:szCs w:val="18"/>
              </w:rPr>
            </w:pPr>
            <w:r>
              <w:rPr>
                <w:rFonts w:hint="eastAsia" w:ascii="仿宋" w:hAnsi="仿宋" w:eastAsia="仿宋"/>
                <w:b/>
                <w:color w:val="auto"/>
                <w:sz w:val="18"/>
                <w:szCs w:val="18"/>
              </w:rPr>
              <w:t>设施</w:t>
            </w:r>
          </w:p>
        </w:tc>
        <w:tc>
          <w:tcPr>
            <w:tcW w:w="487" w:type="pct"/>
            <w:tcBorders>
              <w:bottom w:val="single" w:color="000000" w:sz="4" w:space="0"/>
              <w:right w:val="single" w:color="000000" w:sz="4" w:space="0"/>
            </w:tcBorders>
            <w:vAlign w:val="center"/>
          </w:tcPr>
          <w:p>
            <w:pPr>
              <w:jc w:val="center"/>
              <w:rPr>
                <w:rFonts w:ascii="仿宋" w:hAnsi="仿宋" w:eastAsia="仿宋"/>
                <w:b/>
                <w:color w:val="auto"/>
                <w:sz w:val="18"/>
                <w:szCs w:val="18"/>
              </w:rPr>
            </w:pPr>
            <w:r>
              <w:rPr>
                <w:rFonts w:hint="eastAsia" w:ascii="仿宋" w:hAnsi="仿宋" w:eastAsia="仿宋" w:cs="宋体"/>
                <w:b/>
                <w:color w:val="auto"/>
                <w:sz w:val="18"/>
                <w:szCs w:val="18"/>
              </w:rPr>
              <w:t>其他规划指标</w:t>
            </w:r>
          </w:p>
        </w:tc>
        <w:tc>
          <w:tcPr>
            <w:tcW w:w="232" w:type="pct"/>
            <w:vMerge w:val="continue"/>
            <w:tcBorders>
              <w:right w:val="single" w:color="000000" w:sz="4" w:space="0"/>
            </w:tcBorders>
            <w:vAlign w:val="center"/>
          </w:tcPr>
          <w:p>
            <w:pPr>
              <w:widowControl/>
              <w:jc w:val="left"/>
              <w:rPr>
                <w:rFonts w:ascii="仿宋" w:hAnsi="仿宋" w:eastAsia="仿宋"/>
                <w:color w:val="auto"/>
                <w:sz w:val="18"/>
                <w:szCs w:val="18"/>
              </w:rPr>
            </w:pPr>
          </w:p>
        </w:tc>
        <w:tc>
          <w:tcPr>
            <w:tcW w:w="272" w:type="pct"/>
            <w:vMerge w:val="continue"/>
            <w:tcBorders>
              <w:right w:val="single" w:color="000000" w:sz="4" w:space="0"/>
            </w:tcBorders>
            <w:vAlign w:val="center"/>
          </w:tcPr>
          <w:p>
            <w:pPr>
              <w:widowControl/>
              <w:jc w:val="left"/>
              <w:rPr>
                <w:rFonts w:ascii="仿宋" w:hAnsi="仿宋" w:eastAsia="仿宋"/>
                <w:color w:val="auto"/>
                <w:sz w:val="18"/>
                <w:szCs w:val="18"/>
              </w:rPr>
            </w:pPr>
          </w:p>
        </w:tc>
        <w:tc>
          <w:tcPr>
            <w:tcW w:w="382" w:type="pct"/>
            <w:vMerge w:val="continue"/>
            <w:tcBorders>
              <w:right w:val="single" w:color="000000" w:sz="4" w:space="0"/>
            </w:tcBorders>
            <w:vAlign w:val="center"/>
          </w:tcPr>
          <w:p>
            <w:pPr>
              <w:widowControl/>
              <w:jc w:val="left"/>
              <w:rPr>
                <w:rFonts w:ascii="仿宋" w:hAnsi="仿宋" w:eastAsia="仿宋"/>
                <w:color w:val="auto"/>
                <w:spacing w:val="-32"/>
                <w:sz w:val="18"/>
                <w:szCs w:val="18"/>
              </w:rPr>
            </w:pPr>
          </w:p>
        </w:tc>
        <w:tc>
          <w:tcPr>
            <w:tcW w:w="322" w:type="pct"/>
            <w:vMerge w:val="continue"/>
            <w:tcBorders>
              <w:right w:val="single" w:color="000000" w:sz="4" w:space="0"/>
            </w:tcBorders>
            <w:vAlign w:val="center"/>
          </w:tcPr>
          <w:p>
            <w:pPr>
              <w:widowControl/>
              <w:jc w:val="left"/>
              <w:rPr>
                <w:rFonts w:ascii="仿宋" w:hAnsi="仿宋" w:eastAsia="仿宋"/>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ascii="仿宋" w:hAnsi="仿宋" w:eastAsia="仿宋" w:cs="宋体"/>
                <w:color w:val="auto"/>
                <w:kern w:val="2"/>
                <w:sz w:val="18"/>
                <w:szCs w:val="18"/>
                <w:lang w:val="en-US" w:eastAsia="zh-CN" w:bidi="ar-SA"/>
              </w:rPr>
            </w:pPr>
            <w:r>
              <w:rPr>
                <w:rFonts w:ascii="仿宋" w:hAnsi="仿宋" w:eastAsia="仿宋" w:cs="宋体"/>
                <w:color w:val="auto"/>
                <w:sz w:val="18"/>
                <w:szCs w:val="18"/>
              </w:rPr>
              <w:t>1</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达州市马踏洞外围片区C7-04地块</w:t>
            </w:r>
            <w:r>
              <w:rPr>
                <w:rFonts w:hint="default"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kern w:val="2"/>
                <w:sz w:val="18"/>
                <w:szCs w:val="18"/>
                <w:lang w:val="en-US" w:eastAsia="zh-CN" w:bidi="ar-SA"/>
              </w:rPr>
            </w:pPr>
          </w:p>
        </w:tc>
        <w:tc>
          <w:tcPr>
            <w:tcW w:w="293"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达州市通川区复兴镇孙家坪社区</w:t>
            </w:r>
          </w:p>
        </w:tc>
        <w:tc>
          <w:tcPr>
            <w:tcW w:w="348"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31507.91 </w:t>
            </w:r>
            <w:r>
              <w:rPr>
                <w:rFonts w:hint="eastAsia" w:ascii="仿宋" w:hAnsi="仿宋" w:eastAsia="仿宋" w:cs="仿宋"/>
                <w:color w:val="auto"/>
                <w:sz w:val="18"/>
                <w:szCs w:val="18"/>
                <w:lang w:val="en-US" w:eastAsia="zh-CN"/>
              </w:rPr>
              <w:t>平方米（折合47.26亩）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二类居住用地</w:t>
            </w:r>
          </w:p>
        </w:tc>
        <w:tc>
          <w:tcPr>
            <w:tcW w:w="40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60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达州市马踏洞外围片区C7-04地块规划条件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达州市马踏洞外围片区C7-04地块规划条件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213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的整数倍</w:t>
            </w: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2020 </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2</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达州市梁家坝组团B-06-03（A区）地块</w:t>
            </w:r>
          </w:p>
        </w:tc>
        <w:tc>
          <w:tcPr>
            <w:tcW w:w="293"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r>
              <w:rPr>
                <w:rFonts w:hint="default" w:ascii="仿宋" w:hAnsi="仿宋" w:eastAsia="仿宋" w:cs="仿宋"/>
                <w:color w:val="auto"/>
                <w:sz w:val="18"/>
                <w:szCs w:val="18"/>
                <w:lang w:val="en-US" w:eastAsia="zh-CN"/>
              </w:rPr>
              <w:t>六组</w:t>
            </w:r>
          </w:p>
        </w:tc>
        <w:tc>
          <w:tcPr>
            <w:tcW w:w="348"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45563.25  </w:t>
            </w:r>
            <w:r>
              <w:rPr>
                <w:rFonts w:hint="eastAsia" w:ascii="仿宋" w:hAnsi="仿宋" w:eastAsia="仿宋" w:cs="仿宋"/>
                <w:color w:val="auto"/>
                <w:sz w:val="18"/>
                <w:szCs w:val="18"/>
                <w:lang w:val="en-US" w:eastAsia="zh-CN"/>
              </w:rPr>
              <w:t>平方米（折合68.34亩）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达州市梁家坝组团B-06-03（A区）地块规划条件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达州市梁家坝组团B-06-03（A区）地块规划条件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234</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的整数倍</w:t>
            </w: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3200</w:t>
            </w:r>
            <w:r>
              <w:rPr>
                <w:rFonts w:hint="default"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tcBorders>
              <w:left w:val="single" w:color="000000" w:sz="4" w:space="0"/>
            </w:tcBorders>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3</w:t>
            </w:r>
          </w:p>
        </w:tc>
        <w:tc>
          <w:tcPr>
            <w:tcW w:w="316"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达州市梁家坝组团B-06-03（B区）地块</w:t>
            </w:r>
          </w:p>
        </w:tc>
        <w:tc>
          <w:tcPr>
            <w:tcW w:w="293" w:type="pct"/>
            <w:tcBorders>
              <w:right w:val="single" w:color="000000" w:sz="4" w:space="0"/>
            </w:tcBorders>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p>
        </w:tc>
        <w:tc>
          <w:tcPr>
            <w:tcW w:w="3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46259.69</w:t>
            </w: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rPr>
              <w:t xml:space="preserve"> </w:t>
            </w:r>
            <w:r>
              <w:rPr>
                <w:rFonts w:hint="default" w:ascii="仿宋" w:hAnsi="仿宋" w:eastAsia="仿宋" w:cs="仿宋"/>
                <w:color w:val="auto"/>
                <w:sz w:val="18"/>
                <w:szCs w:val="18"/>
                <w:lang w:val="en-US" w:eastAsia="zh-CN"/>
              </w:rPr>
              <w:t xml:space="preserve">  </w:t>
            </w:r>
            <w:r>
              <w:rPr>
                <w:rFonts w:hint="default" w:ascii="仿宋" w:hAnsi="仿宋" w:eastAsia="仿宋" w:cs="仿宋"/>
                <w:color w:val="auto"/>
                <w:sz w:val="18"/>
                <w:szCs w:val="18"/>
              </w:rPr>
              <w:t xml:space="preserve">69.39 </w:t>
            </w:r>
            <w:r>
              <w:rPr>
                <w:rFonts w:hint="eastAsia" w:ascii="仿宋" w:hAnsi="仿宋" w:eastAsia="仿宋" w:cs="仿宋"/>
                <w:color w:val="auto"/>
                <w:sz w:val="18"/>
                <w:szCs w:val="18"/>
                <w:lang w:val="en-US" w:eastAsia="zh-CN"/>
              </w:rPr>
              <w:t xml:space="preserve"> 亩）</w:t>
            </w:r>
          </w:p>
        </w:tc>
        <w:tc>
          <w:tcPr>
            <w:tcW w:w="248"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1.0</w:t>
            </w:r>
            <w:r>
              <w:rPr>
                <w:rFonts w:hint="default" w:ascii="仿宋" w:hAnsi="仿宋" w:eastAsia="仿宋" w:cs="仿宋"/>
                <w:color w:val="auto"/>
                <w:sz w:val="18"/>
                <w:szCs w:val="18"/>
                <w:lang w:val="en-US" w:eastAsia="zh-CN"/>
              </w:rPr>
              <w:t>＜</w:t>
            </w:r>
            <w:r>
              <w:rPr>
                <w:rFonts w:hint="default" w:ascii="仿宋" w:hAnsi="仿宋" w:eastAsia="仿宋" w:cs="仿宋"/>
                <w:color w:val="auto"/>
                <w:sz w:val="18"/>
                <w:szCs w:val="18"/>
              </w:rPr>
              <w:t>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达州市梁家坝组团B-06-03（B区）地块规划条件</w:t>
            </w:r>
            <w:r>
              <w:rPr>
                <w:rFonts w:hint="eastAsia" w:ascii="仿宋" w:hAnsi="仿宋" w:eastAsia="仿宋" w:cs="仿宋"/>
                <w:color w:val="auto"/>
                <w:sz w:val="18"/>
                <w:szCs w:val="18"/>
              </w:rPr>
              <w:t>》</w:t>
            </w:r>
          </w:p>
        </w:tc>
        <w:tc>
          <w:tcPr>
            <w:tcW w:w="487"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达州市梁家坝组团B-06-03（B区）地块规划条件</w:t>
            </w:r>
            <w:r>
              <w:rPr>
                <w:rFonts w:hint="eastAsia" w:ascii="仿宋" w:hAnsi="仿宋" w:eastAsia="仿宋" w:cs="仿宋"/>
                <w:color w:val="auto"/>
                <w:sz w:val="18"/>
                <w:szCs w:val="18"/>
              </w:rPr>
              <w:t>》</w:t>
            </w:r>
          </w:p>
        </w:tc>
        <w:tc>
          <w:tcPr>
            <w:tcW w:w="23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商业40年、住宅70年</w:t>
            </w:r>
          </w:p>
        </w:tc>
        <w:tc>
          <w:tcPr>
            <w:tcW w:w="27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228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tcBorders>
              <w:right w:val="single" w:color="000000" w:sz="4" w:space="0"/>
            </w:tcBorders>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tcBorders>
              <w:right w:val="single" w:color="000000" w:sz="4" w:space="0"/>
            </w:tcBorders>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3170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4</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达州市梁家坝组团B-06-04地块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3</w:t>
            </w:r>
            <w:r>
              <w:rPr>
                <w:rFonts w:hint="default" w:ascii="仿宋" w:hAnsi="仿宋" w:eastAsia="仿宋" w:cs="仿宋"/>
                <w:color w:val="auto"/>
                <w:sz w:val="18"/>
                <w:szCs w:val="18"/>
                <w:lang w:val="en-US" w:eastAsia="zh-CN"/>
              </w:rPr>
              <w:t>2225.12</w:t>
            </w:r>
            <w:r>
              <w:rPr>
                <w:rFonts w:hint="default" w:ascii="仿宋" w:hAnsi="仿宋" w:eastAsia="仿宋" w:cs="仿宋"/>
                <w:color w:val="auto"/>
                <w:sz w:val="18"/>
                <w:szCs w:val="18"/>
              </w:rPr>
              <w:t xml:space="preserve"> </w:t>
            </w: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lang w:val="en-US" w:eastAsia="zh-CN"/>
              </w:rPr>
              <w:t xml:space="preserve"> 48.34</w:t>
            </w:r>
            <w:r>
              <w:rPr>
                <w:rFonts w:hint="default" w:ascii="仿宋" w:hAnsi="仿宋" w:eastAsia="仿宋" w:cs="仿宋"/>
                <w:color w:val="auto"/>
                <w:sz w:val="18"/>
                <w:szCs w:val="18"/>
              </w:rPr>
              <w:t xml:space="preserve"> </w:t>
            </w:r>
            <w:r>
              <w:rPr>
                <w:rFonts w:hint="eastAsia" w:ascii="仿宋" w:hAnsi="仿宋" w:eastAsia="仿宋" w:cs="仿宋"/>
                <w:color w:val="auto"/>
                <w:sz w:val="18"/>
                <w:szCs w:val="18"/>
              </w:rPr>
              <w:t xml:space="preserve"> 亩</w:t>
            </w:r>
            <w:r>
              <w:rPr>
                <w:rFonts w:hint="eastAsia" w:ascii="仿宋" w:hAnsi="仿宋" w:eastAsia="仿宋" w:cs="仿宋"/>
                <w:color w:val="auto"/>
                <w:sz w:val="18"/>
                <w:szCs w:val="18"/>
                <w:lang w:eastAsia="zh-CN"/>
              </w:rPr>
              <w:t>）</w:t>
            </w:r>
          </w:p>
        </w:tc>
        <w:tc>
          <w:tcPr>
            <w:tcW w:w="2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二类居住用地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1.0</w:t>
            </w:r>
            <w:r>
              <w:rPr>
                <w:rFonts w:hint="default" w:ascii="仿宋" w:hAnsi="仿宋" w:eastAsia="仿宋" w:cs="仿宋"/>
                <w:color w:val="auto"/>
                <w:sz w:val="18"/>
                <w:szCs w:val="18"/>
                <w:lang w:val="en-US" w:eastAsia="zh-CN"/>
              </w:rPr>
              <w:t>＜</w:t>
            </w:r>
            <w:r>
              <w:rPr>
                <w:rFonts w:hint="default" w:ascii="仿宋" w:hAnsi="仿宋" w:eastAsia="仿宋" w:cs="仿宋"/>
                <w:color w:val="auto"/>
                <w:sz w:val="18"/>
                <w:szCs w:val="18"/>
              </w:rPr>
              <w:t>F≤2.0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B≤30%</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G≥30%</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70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详见《达州市梁家坝组团B-06-04地块</w:t>
            </w:r>
            <w:r>
              <w:rPr>
                <w:rFonts w:hint="eastAsia" w:ascii="仿宋" w:hAnsi="仿宋" w:eastAsia="仿宋" w:cs="仿宋"/>
                <w:color w:val="auto"/>
                <w:sz w:val="18"/>
                <w:szCs w:val="18"/>
                <w:lang w:val="en-US" w:eastAsia="zh-CN"/>
              </w:rPr>
              <w:t>规划条件》</w:t>
            </w:r>
          </w:p>
        </w:tc>
        <w:tc>
          <w:tcPr>
            <w:tcW w:w="48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详见《达州市梁家坝组团B-06-04地块</w:t>
            </w:r>
            <w:r>
              <w:rPr>
                <w:rFonts w:hint="eastAsia" w:ascii="仿宋" w:hAnsi="仿宋" w:eastAsia="仿宋" w:cs="仿宋"/>
                <w:color w:val="auto"/>
                <w:sz w:val="18"/>
                <w:szCs w:val="18"/>
                <w:lang w:val="en-US" w:eastAsia="zh-CN"/>
              </w:rPr>
              <w:t>规划条件》</w:t>
            </w: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商业 40</w:t>
            </w:r>
            <w:r>
              <w:rPr>
                <w:rFonts w:hint="eastAsia" w:ascii="仿宋" w:hAnsi="仿宋" w:eastAsia="仿宋" w:cs="仿宋"/>
                <w:color w:val="auto"/>
                <w:sz w:val="18"/>
                <w:szCs w:val="18"/>
                <w:lang w:val="en-US" w:eastAsia="zh-CN"/>
              </w:rPr>
              <w:t>年、</w:t>
            </w:r>
            <w:r>
              <w:rPr>
                <w:rFonts w:hint="eastAsia" w:ascii="仿宋" w:hAnsi="仿宋" w:eastAsia="仿宋" w:cs="仿宋"/>
                <w:color w:val="auto"/>
                <w:sz w:val="18"/>
                <w:szCs w:val="18"/>
              </w:rPr>
              <w:t xml:space="preserve"> 住 宅 70</w:t>
            </w:r>
            <w:r>
              <w:rPr>
                <w:rFonts w:hint="eastAsia" w:ascii="仿宋" w:hAnsi="仿宋" w:eastAsia="仿宋" w:cs="仿宋"/>
                <w:color w:val="auto"/>
                <w:sz w:val="18"/>
                <w:szCs w:val="18"/>
                <w:lang w:val="en-US" w:eastAsia="zh-CN"/>
              </w:rPr>
              <w:t>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228</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2210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5</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达州市梁家坝组团C-02-04地块</w:t>
            </w:r>
          </w:p>
        </w:tc>
        <w:tc>
          <w:tcPr>
            <w:tcW w:w="293"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达州市通川区复兴镇罗家坝社区</w:t>
            </w:r>
            <w:r>
              <w:rPr>
                <w:rFonts w:hint="eastAsia" w:ascii="仿宋" w:hAnsi="仿宋" w:eastAsia="仿宋" w:cs="仿宋"/>
                <w:color w:val="auto"/>
                <w:sz w:val="18"/>
                <w:szCs w:val="18"/>
                <w:lang w:val="en-US" w:eastAsia="zh-CN"/>
              </w:rPr>
              <w:t>四组</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 xml:space="preserve">3301.25 </w:t>
            </w:r>
            <w:r>
              <w:rPr>
                <w:rFonts w:hint="eastAsia" w:ascii="仿宋" w:hAnsi="仿宋" w:eastAsia="仿宋" w:cs="仿宋"/>
                <w:color w:val="auto"/>
                <w:sz w:val="18"/>
                <w:szCs w:val="18"/>
              </w:rPr>
              <w:t>平方米（折合</w:t>
            </w:r>
            <w:r>
              <w:rPr>
                <w:rFonts w:hint="default" w:ascii="仿宋" w:hAnsi="仿宋" w:eastAsia="仿宋" w:cs="仿宋"/>
                <w:color w:val="auto"/>
                <w:sz w:val="18"/>
                <w:szCs w:val="18"/>
              </w:rPr>
              <w:t xml:space="preserve">4.95 </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公用设施营业网点用地（加油站用地B41）</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F≤0.5</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详见《达州市梁家坝组团C-02-04地块规划条件》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详见《达州市梁家坝组团C-02-04地块规划条件》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702</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1740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6</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达州市环城路二期及环凤产业大道沿线片区03-B-01-05地块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w:t>
            </w:r>
            <w:r>
              <w:rPr>
                <w:rFonts w:hint="default" w:ascii="仿宋" w:hAnsi="仿宋" w:eastAsia="仿宋" w:cs="仿宋"/>
                <w:color w:val="auto"/>
                <w:sz w:val="18"/>
                <w:szCs w:val="18"/>
                <w:lang w:val="en-US" w:eastAsia="zh-CN"/>
              </w:rPr>
              <w:t>东岳</w:t>
            </w:r>
            <w:r>
              <w:rPr>
                <w:rFonts w:hint="default" w:ascii="仿宋" w:hAnsi="仿宋" w:eastAsia="仿宋" w:cs="仿宋"/>
                <w:color w:val="auto"/>
                <w:sz w:val="18"/>
                <w:szCs w:val="18"/>
              </w:rPr>
              <w:t>镇</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12009.27</w:t>
            </w:r>
            <w:r>
              <w:rPr>
                <w:rFonts w:hint="eastAsia" w:ascii="仿宋" w:hAnsi="仿宋" w:eastAsia="仿宋" w:cs="仿宋"/>
                <w:color w:val="auto"/>
                <w:sz w:val="18"/>
                <w:szCs w:val="18"/>
              </w:rPr>
              <w:t>平方米（折合</w:t>
            </w:r>
            <w:r>
              <w:rPr>
                <w:rFonts w:hint="default" w:ascii="仿宋" w:hAnsi="仿宋" w:eastAsia="仿宋" w:cs="仿宋"/>
                <w:color w:val="auto"/>
                <w:sz w:val="18"/>
                <w:szCs w:val="18"/>
                <w:lang w:val="en-US" w:eastAsia="zh-CN"/>
              </w:rPr>
              <w:t>18.01</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加油加气站用地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w:t>
            </w:r>
            <w:r>
              <w:rPr>
                <w:rFonts w:hint="default" w:ascii="仿宋" w:hAnsi="仿宋" w:eastAsia="仿宋" w:cs="仿宋"/>
                <w:color w:val="auto"/>
                <w:sz w:val="18"/>
                <w:szCs w:val="18"/>
                <w:lang w:val="en-US" w:eastAsia="zh-CN"/>
              </w:rPr>
              <w:t>0.4</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9</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详见《达州市环城路二期及环凤产业大道沿线片区03-B-01-05地块规划条件》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详见《达州市环城路二期及环凤产业大道沿线片区03-B-01-05地块规划条件》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643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5800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eastAsia" w:ascii="仿宋" w:hAnsi="仿宋" w:eastAsia="仿宋" w:cs="宋体"/>
                <w:color w:val="auto"/>
                <w:kern w:val="2"/>
                <w:sz w:val="18"/>
                <w:szCs w:val="18"/>
                <w:lang w:val="en-US" w:eastAsia="zh-CN" w:bidi="ar-SA"/>
              </w:rPr>
            </w:pPr>
            <w:r>
              <w:rPr>
                <w:rFonts w:hint="eastAsia" w:ascii="仿宋" w:hAnsi="仿宋" w:eastAsia="仿宋" w:cs="宋体"/>
                <w:color w:val="auto"/>
                <w:sz w:val="18"/>
                <w:szCs w:val="18"/>
                <w:lang w:val="en-US" w:eastAsia="zh-CN"/>
              </w:rPr>
              <w:t>7</w:t>
            </w:r>
          </w:p>
        </w:tc>
        <w:tc>
          <w:tcPr>
            <w:tcW w:w="316"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达州市环城路二期及环凤产业大道沿线片区03-B-01-07地块</w:t>
            </w:r>
          </w:p>
        </w:tc>
        <w:tc>
          <w:tcPr>
            <w:tcW w:w="293"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达州市通川区</w:t>
            </w:r>
            <w:r>
              <w:rPr>
                <w:rFonts w:hint="default" w:ascii="仿宋" w:hAnsi="仿宋" w:eastAsia="仿宋" w:cs="仿宋"/>
                <w:color w:val="auto"/>
                <w:sz w:val="18"/>
                <w:szCs w:val="18"/>
                <w:lang w:val="en-US" w:eastAsia="zh-CN"/>
              </w:rPr>
              <w:t>东岳</w:t>
            </w:r>
            <w:r>
              <w:rPr>
                <w:rFonts w:hint="default" w:ascii="仿宋" w:hAnsi="仿宋" w:eastAsia="仿宋" w:cs="仿宋"/>
                <w:color w:val="auto"/>
                <w:sz w:val="18"/>
                <w:szCs w:val="18"/>
              </w:rPr>
              <w:t>镇</w:t>
            </w:r>
          </w:p>
        </w:tc>
        <w:tc>
          <w:tcPr>
            <w:tcW w:w="348"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10749.86</w:t>
            </w:r>
            <w:r>
              <w:rPr>
                <w:rFonts w:hint="eastAsia" w:ascii="仿宋" w:hAnsi="仿宋" w:eastAsia="仿宋" w:cs="仿宋"/>
                <w:color w:val="auto"/>
                <w:sz w:val="18"/>
                <w:szCs w:val="18"/>
              </w:rPr>
              <w:t>平方米（折合</w:t>
            </w:r>
            <w:r>
              <w:rPr>
                <w:rFonts w:hint="default" w:ascii="仿宋" w:hAnsi="仿宋" w:eastAsia="仿宋" w:cs="仿宋"/>
                <w:color w:val="auto"/>
                <w:sz w:val="18"/>
                <w:szCs w:val="18"/>
                <w:lang w:val="en-US" w:eastAsia="zh-CN"/>
              </w:rPr>
              <w:t>16.13</w:t>
            </w:r>
            <w:r>
              <w:rPr>
                <w:rFonts w:hint="eastAsia" w:ascii="仿宋" w:hAnsi="仿宋" w:eastAsia="仿宋" w:cs="仿宋"/>
                <w:color w:val="auto"/>
                <w:sz w:val="18"/>
                <w:szCs w:val="18"/>
              </w:rPr>
              <w:t>亩）</w:t>
            </w: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default" w:ascii="仿宋" w:hAnsi="仿宋" w:eastAsia="仿宋" w:cs="仿宋"/>
                <w:color w:val="auto"/>
                <w:sz w:val="18"/>
                <w:szCs w:val="18"/>
                <w:lang w:val="en-US" w:eastAsia="zh-CN"/>
              </w:rPr>
              <w:t>加油加气站用地</w:t>
            </w:r>
          </w:p>
        </w:tc>
        <w:tc>
          <w:tcPr>
            <w:tcW w:w="40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rPr>
              <w:t>F≤</w:t>
            </w:r>
            <w:r>
              <w:rPr>
                <w:rFonts w:hint="default" w:ascii="仿宋" w:hAnsi="仿宋" w:eastAsia="仿宋" w:cs="仿宋"/>
                <w:color w:val="auto"/>
                <w:sz w:val="18"/>
                <w:szCs w:val="18"/>
                <w:lang w:val="en-US" w:eastAsia="zh-CN"/>
              </w:rPr>
              <w:t>0.4</w:t>
            </w:r>
          </w:p>
        </w:tc>
        <w:tc>
          <w:tcPr>
            <w:tcW w:w="32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407" w:type="pct"/>
            <w:vAlign w:val="center"/>
          </w:tcPr>
          <w:p>
            <w:pPr>
              <w:spacing w:line="200" w:lineRule="exact"/>
              <w:jc w:val="center"/>
              <w:rPr>
                <w:rFonts w:hint="default"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w:t>
            </w:r>
          </w:p>
        </w:tc>
        <w:tc>
          <w:tcPr>
            <w:tcW w:w="327"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lang w:val="en-US" w:eastAsia="zh-CN"/>
              </w:rPr>
              <w:t>9</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详见《达州市环城路二期及环凤产业大道沿线片区03-B-01-07地块规划条件》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详见《达州市环城路二期及环凤产业大道沿线片区03-B-01-07地块规划条件》</w:t>
            </w:r>
          </w:p>
          <w:p>
            <w:pPr>
              <w:spacing w:line="200" w:lineRule="exact"/>
              <w:jc w:val="center"/>
              <w:rPr>
                <w:rFonts w:hint="eastAsia" w:ascii="仿宋" w:hAnsi="仿宋" w:eastAsia="仿宋" w:cs="仿宋"/>
                <w:color w:val="auto"/>
                <w:kern w:val="2"/>
                <w:sz w:val="18"/>
                <w:szCs w:val="18"/>
                <w:lang w:val="en-US" w:eastAsia="zh-CN" w:bidi="ar-SA"/>
              </w:rPr>
            </w:pPr>
          </w:p>
        </w:tc>
        <w:tc>
          <w:tcPr>
            <w:tcW w:w="23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sz w:val="18"/>
                <w:szCs w:val="18"/>
              </w:rPr>
              <w:t>40年</w:t>
            </w: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643</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kern w:val="2"/>
                <w:sz w:val="18"/>
                <w:szCs w:val="18"/>
                <w:lang w:val="en-US" w:eastAsia="zh-CN" w:bidi="ar-SA"/>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kern w:val="2"/>
                <w:sz w:val="18"/>
                <w:szCs w:val="18"/>
                <w:lang w:val="en-US" w:eastAsia="zh-CN" w:bidi="ar-SA"/>
              </w:rPr>
            </w:pPr>
          </w:p>
        </w:tc>
        <w:tc>
          <w:tcPr>
            <w:tcW w:w="322" w:type="pct"/>
            <w:vAlign w:val="center"/>
          </w:tcPr>
          <w:p>
            <w:pPr>
              <w:spacing w:line="200" w:lineRule="exact"/>
              <w:jc w:val="center"/>
              <w:rPr>
                <w:rFonts w:hint="eastAsia" w:ascii="仿宋" w:hAnsi="仿宋" w:eastAsia="仿宋" w:cs="仿宋"/>
                <w:color w:val="auto"/>
                <w:kern w:val="2"/>
                <w:sz w:val="18"/>
                <w:szCs w:val="18"/>
                <w:lang w:val="en-US" w:eastAsia="zh-CN" w:bidi="ar-SA"/>
              </w:rPr>
            </w:pPr>
            <w:r>
              <w:rPr>
                <w:rFonts w:hint="default" w:ascii="仿宋" w:hAnsi="仿宋" w:eastAsia="仿宋" w:cs="仿宋"/>
                <w:color w:val="auto"/>
                <w:sz w:val="18"/>
                <w:szCs w:val="18"/>
                <w:lang w:val="en-US" w:eastAsia="zh-CN"/>
              </w:rPr>
              <w:t>5200</w:t>
            </w:r>
            <w:r>
              <w:rPr>
                <w:rFonts w:hint="eastAsia" w:ascii="仿宋" w:hAnsi="仿宋" w:eastAsia="仿宋" w:cs="仿宋"/>
                <w:color w:val="auto"/>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7" w:hRule="atLeast"/>
          <w:jc w:val="center"/>
        </w:trPr>
        <w:tc>
          <w:tcPr>
            <w:tcW w:w="217" w:type="pct"/>
            <w:vAlign w:val="center"/>
          </w:tcPr>
          <w:p>
            <w:pPr>
              <w:jc w:val="center"/>
              <w:rPr>
                <w:rFonts w:hint="default" w:ascii="仿宋" w:hAnsi="仿宋" w:eastAsia="仿宋" w:cs="宋体"/>
                <w:color w:val="auto"/>
                <w:sz w:val="18"/>
                <w:szCs w:val="18"/>
                <w:lang w:val="en-US" w:eastAsia="zh-CN"/>
              </w:rPr>
            </w:pPr>
            <w:r>
              <w:rPr>
                <w:rFonts w:hint="eastAsia" w:ascii="仿宋" w:hAnsi="仿宋" w:eastAsia="仿宋" w:cs="宋体"/>
                <w:color w:val="auto"/>
                <w:sz w:val="18"/>
                <w:szCs w:val="18"/>
                <w:lang w:val="en-US" w:eastAsia="zh-CN"/>
              </w:rPr>
              <w:t>8</w:t>
            </w:r>
          </w:p>
        </w:tc>
        <w:tc>
          <w:tcPr>
            <w:tcW w:w="316"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 xml:space="preserve">花湖片区ⅢC6-2/1地块 </w:t>
            </w:r>
            <w:r>
              <w:rPr>
                <w:rFonts w:hint="eastAsia" w:ascii="仿宋" w:hAnsi="仿宋" w:eastAsia="仿宋" w:cs="仿宋"/>
                <w:color w:val="auto"/>
                <w:sz w:val="18"/>
                <w:szCs w:val="18"/>
              </w:rPr>
              <w:t xml:space="preserve"> </w:t>
            </w:r>
          </w:p>
        </w:tc>
        <w:tc>
          <w:tcPr>
            <w:tcW w:w="293"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莲花湖片区</w:t>
            </w:r>
          </w:p>
          <w:p>
            <w:pPr>
              <w:spacing w:line="200" w:lineRule="exact"/>
              <w:jc w:val="center"/>
              <w:rPr>
                <w:rFonts w:hint="default" w:ascii="仿宋" w:hAnsi="仿宋" w:eastAsia="仿宋" w:cs="仿宋"/>
                <w:color w:val="auto"/>
                <w:sz w:val="18"/>
                <w:szCs w:val="18"/>
              </w:rPr>
            </w:pPr>
          </w:p>
        </w:tc>
        <w:tc>
          <w:tcPr>
            <w:tcW w:w="348"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37488</w:t>
            </w:r>
          </w:p>
          <w:p>
            <w:pPr>
              <w:spacing w:line="200" w:lineRule="exact"/>
              <w:jc w:val="center"/>
              <w:rPr>
                <w:rFonts w:hint="default" w:ascii="仿宋" w:hAnsi="仿宋" w:eastAsia="仿宋" w:cs="仿宋"/>
                <w:color w:val="auto"/>
                <w:sz w:val="18"/>
                <w:szCs w:val="18"/>
                <w:lang w:val="en-US"/>
              </w:rPr>
            </w:pPr>
            <w:r>
              <w:rPr>
                <w:rFonts w:hint="eastAsia" w:ascii="仿宋" w:hAnsi="仿宋" w:eastAsia="仿宋" w:cs="仿宋"/>
                <w:color w:val="auto"/>
                <w:sz w:val="18"/>
                <w:szCs w:val="18"/>
                <w:lang w:val="en-US" w:eastAsia="zh-CN"/>
              </w:rPr>
              <w:t>平方米（折合</w:t>
            </w:r>
            <w:r>
              <w:rPr>
                <w:rFonts w:hint="default" w:ascii="仿宋" w:hAnsi="仿宋" w:eastAsia="仿宋" w:cs="仿宋"/>
                <w:color w:val="auto"/>
                <w:sz w:val="18"/>
                <w:szCs w:val="18"/>
                <w:lang w:val="en-US" w:eastAsia="zh-CN"/>
              </w:rPr>
              <w:t>56.23</w:t>
            </w:r>
            <w:r>
              <w:rPr>
                <w:rFonts w:hint="eastAsia" w:ascii="仿宋" w:hAnsi="仿宋" w:eastAsia="仿宋" w:cs="仿宋"/>
                <w:color w:val="auto"/>
                <w:sz w:val="18"/>
                <w:szCs w:val="18"/>
                <w:lang w:val="en-US" w:eastAsia="zh-CN"/>
              </w:rPr>
              <w:t>亩）</w:t>
            </w:r>
          </w:p>
          <w:p>
            <w:pPr>
              <w:spacing w:line="200" w:lineRule="exact"/>
              <w:jc w:val="center"/>
              <w:rPr>
                <w:rFonts w:hint="default" w:ascii="仿宋" w:hAnsi="仿宋" w:eastAsia="仿宋" w:cs="仿宋"/>
                <w:color w:val="auto"/>
                <w:sz w:val="18"/>
                <w:szCs w:val="18"/>
                <w:lang w:val="en-US" w:eastAsia="zh-CN"/>
              </w:rPr>
            </w:pPr>
          </w:p>
        </w:tc>
        <w:tc>
          <w:tcPr>
            <w:tcW w:w="248" w:type="pct"/>
            <w:vAlign w:val="center"/>
          </w:tcPr>
          <w:p>
            <w:pPr>
              <w:spacing w:line="200" w:lineRule="exact"/>
              <w:jc w:val="center"/>
              <w:rPr>
                <w:rFonts w:hint="eastAsia" w:ascii="仿宋" w:hAnsi="仿宋" w:eastAsia="仿宋" w:cs="仿宋"/>
                <w:color w:val="auto"/>
                <w:sz w:val="18"/>
                <w:szCs w:val="18"/>
                <w:lang w:val="en-US" w:eastAsia="zh-CN"/>
              </w:rPr>
            </w:pPr>
            <w:r>
              <w:rPr>
                <w:rFonts w:hint="eastAsia" w:ascii="仿宋" w:hAnsi="仿宋" w:eastAsia="仿宋" w:cs="仿宋"/>
                <w:color w:val="auto"/>
                <w:sz w:val="18"/>
                <w:szCs w:val="18"/>
                <w:lang w:val="en-US" w:eastAsia="zh-CN"/>
              </w:rPr>
              <w:t>二类城镇住宅用地（其中商业计容面积按不超过总计容面积的10%执行）</w:t>
            </w:r>
          </w:p>
          <w:p>
            <w:pPr>
              <w:spacing w:line="200" w:lineRule="exact"/>
              <w:jc w:val="center"/>
              <w:rPr>
                <w:rFonts w:hint="default" w:ascii="仿宋" w:hAnsi="仿宋" w:eastAsia="仿宋" w:cs="仿宋"/>
                <w:color w:val="auto"/>
                <w:sz w:val="18"/>
                <w:szCs w:val="18"/>
                <w:lang w:val="en-US" w:eastAsia="zh-CN"/>
              </w:rPr>
            </w:pPr>
          </w:p>
        </w:tc>
        <w:tc>
          <w:tcPr>
            <w:tcW w:w="40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1.0</w:t>
            </w:r>
            <w:r>
              <w:rPr>
                <w:rFonts w:hint="eastAsia" w:ascii="仿宋" w:hAnsi="仿宋" w:eastAsia="仿宋" w:cs="仿宋"/>
                <w:color w:val="auto"/>
                <w:sz w:val="18"/>
                <w:szCs w:val="18"/>
                <w:lang w:val="en-US" w:eastAsia="zh-CN"/>
              </w:rPr>
              <w:t xml:space="preserve">＜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F≤3.3</w:t>
            </w:r>
          </w:p>
          <w:p>
            <w:pPr>
              <w:spacing w:line="200" w:lineRule="exact"/>
              <w:jc w:val="center"/>
              <w:rPr>
                <w:rFonts w:hint="default" w:ascii="仿宋" w:hAnsi="仿宋" w:eastAsia="仿宋" w:cs="仿宋"/>
                <w:color w:val="auto"/>
                <w:sz w:val="18"/>
                <w:szCs w:val="18"/>
              </w:rPr>
            </w:pPr>
          </w:p>
        </w:tc>
        <w:tc>
          <w:tcPr>
            <w:tcW w:w="32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B≤30%</w:t>
            </w:r>
          </w:p>
          <w:p>
            <w:pPr>
              <w:spacing w:line="200" w:lineRule="exact"/>
              <w:jc w:val="center"/>
              <w:rPr>
                <w:rFonts w:hint="eastAsia" w:ascii="仿宋" w:hAnsi="仿宋" w:eastAsia="仿宋" w:cs="仿宋"/>
                <w:color w:val="auto"/>
                <w:sz w:val="18"/>
                <w:szCs w:val="18"/>
                <w:lang w:val="en-US" w:eastAsia="zh-CN"/>
              </w:rPr>
            </w:pPr>
          </w:p>
        </w:tc>
        <w:tc>
          <w:tcPr>
            <w:tcW w:w="407"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G≥30%</w:t>
            </w:r>
          </w:p>
          <w:p>
            <w:pPr>
              <w:spacing w:line="200" w:lineRule="exact"/>
              <w:jc w:val="center"/>
              <w:rPr>
                <w:rFonts w:hint="eastAsia" w:ascii="仿宋" w:hAnsi="仿宋" w:eastAsia="仿宋" w:cs="仿宋"/>
                <w:color w:val="auto"/>
                <w:sz w:val="18"/>
                <w:szCs w:val="18"/>
                <w:lang w:val="en-US" w:eastAsia="zh-CN"/>
              </w:rPr>
            </w:pPr>
          </w:p>
        </w:tc>
        <w:tc>
          <w:tcPr>
            <w:tcW w:w="32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100</w:t>
            </w:r>
            <w:r>
              <w:rPr>
                <w:rFonts w:hint="eastAsia" w:ascii="仿宋" w:hAnsi="仿宋" w:eastAsia="仿宋" w:cs="仿宋"/>
                <w:color w:val="auto"/>
                <w:sz w:val="18"/>
                <w:szCs w:val="18"/>
              </w:rPr>
              <w:t>米</w:t>
            </w:r>
          </w:p>
        </w:tc>
        <w:tc>
          <w:tcPr>
            <w:tcW w:w="40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花湖片区ⅢC6-2/1地块</w:t>
            </w:r>
            <w:r>
              <w:rPr>
                <w:rFonts w:hint="eastAsia" w:ascii="仿宋" w:hAnsi="仿宋" w:eastAsia="仿宋" w:cs="仿宋"/>
                <w:color w:val="auto"/>
                <w:sz w:val="18"/>
                <w:szCs w:val="18"/>
              </w:rPr>
              <w:t>规划条件》</w:t>
            </w:r>
          </w:p>
          <w:p>
            <w:pPr>
              <w:spacing w:line="200" w:lineRule="exact"/>
              <w:jc w:val="center"/>
              <w:rPr>
                <w:rFonts w:hint="eastAsia" w:ascii="仿宋" w:hAnsi="仿宋" w:eastAsia="仿宋" w:cs="仿宋"/>
                <w:color w:val="auto"/>
                <w:sz w:val="18"/>
                <w:szCs w:val="18"/>
                <w:lang w:val="en-US" w:eastAsia="zh-CN"/>
              </w:rPr>
            </w:pPr>
          </w:p>
        </w:tc>
        <w:tc>
          <w:tcPr>
            <w:tcW w:w="487"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详见《</w:t>
            </w:r>
            <w:r>
              <w:rPr>
                <w:rFonts w:hint="eastAsia" w:ascii="仿宋" w:hAnsi="仿宋" w:eastAsia="仿宋" w:cs="仿宋"/>
                <w:color w:val="auto"/>
                <w:sz w:val="18"/>
                <w:szCs w:val="18"/>
                <w:lang w:val="en-US" w:eastAsia="zh-CN"/>
              </w:rPr>
              <w:t>达州市</w:t>
            </w:r>
            <w:r>
              <w:rPr>
                <w:rFonts w:hint="eastAsia" w:ascii="仿宋" w:hAnsi="仿宋" w:eastAsia="仿宋" w:cs="仿宋"/>
                <w:color w:val="auto"/>
                <w:sz w:val="18"/>
                <w:szCs w:val="18"/>
              </w:rPr>
              <w:t>莲</w:t>
            </w:r>
            <w:r>
              <w:rPr>
                <w:rFonts w:hint="eastAsia" w:ascii="仿宋" w:hAnsi="仿宋" w:eastAsia="仿宋" w:cs="仿宋"/>
                <w:color w:val="auto"/>
                <w:sz w:val="18"/>
                <w:szCs w:val="18"/>
                <w:lang w:val="en-US" w:eastAsia="zh-CN"/>
              </w:rPr>
              <w:t>花湖片区ⅢC6-2/1地块</w:t>
            </w:r>
            <w:r>
              <w:rPr>
                <w:rFonts w:hint="eastAsia" w:ascii="仿宋" w:hAnsi="仿宋" w:eastAsia="仿宋" w:cs="仿宋"/>
                <w:color w:val="auto"/>
                <w:sz w:val="18"/>
                <w:szCs w:val="18"/>
              </w:rPr>
              <w:t>规划条件》</w:t>
            </w:r>
          </w:p>
          <w:p>
            <w:pPr>
              <w:spacing w:line="200" w:lineRule="exact"/>
              <w:jc w:val="center"/>
              <w:rPr>
                <w:rFonts w:hint="eastAsia" w:ascii="仿宋" w:hAnsi="仿宋" w:eastAsia="仿宋" w:cs="仿宋"/>
                <w:color w:val="auto"/>
                <w:sz w:val="18"/>
                <w:szCs w:val="18"/>
                <w:lang w:val="en-US" w:eastAsia="zh-CN"/>
              </w:rPr>
            </w:pPr>
          </w:p>
        </w:tc>
        <w:tc>
          <w:tcPr>
            <w:tcW w:w="23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商业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40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年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 xml:space="preserve">住宅 </w:t>
            </w:r>
          </w:p>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 xml:space="preserve">70 </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lang w:val="en-US" w:eastAsia="zh-CN"/>
              </w:rPr>
              <w:t>年</w:t>
            </w:r>
          </w:p>
          <w:p>
            <w:pPr>
              <w:spacing w:line="200" w:lineRule="exact"/>
              <w:jc w:val="center"/>
              <w:rPr>
                <w:rFonts w:hint="eastAsia" w:ascii="仿宋" w:hAnsi="仿宋" w:eastAsia="仿宋" w:cs="仿宋"/>
                <w:color w:val="auto"/>
                <w:sz w:val="18"/>
                <w:szCs w:val="18"/>
              </w:rPr>
            </w:pPr>
          </w:p>
        </w:tc>
        <w:tc>
          <w:tcPr>
            <w:tcW w:w="272" w:type="pct"/>
            <w:vAlign w:val="center"/>
          </w:tcPr>
          <w:p>
            <w:pPr>
              <w:spacing w:line="200" w:lineRule="exact"/>
              <w:jc w:val="center"/>
              <w:rPr>
                <w:rFonts w:hint="eastAsia" w:ascii="仿宋" w:hAnsi="仿宋" w:eastAsia="仿宋" w:cs="仿宋"/>
                <w:color w:val="auto"/>
                <w:sz w:val="18"/>
                <w:szCs w:val="18"/>
              </w:rPr>
            </w:pPr>
            <w:r>
              <w:rPr>
                <w:rFonts w:hint="default" w:ascii="仿宋" w:hAnsi="仿宋" w:eastAsia="仿宋" w:cs="仿宋"/>
                <w:color w:val="auto"/>
                <w:sz w:val="18"/>
                <w:szCs w:val="18"/>
                <w:lang w:val="en-US" w:eastAsia="zh-CN"/>
              </w:rPr>
              <w:t>532</w:t>
            </w:r>
            <w:r>
              <w:rPr>
                <w:rFonts w:hint="eastAsia" w:ascii="仿宋" w:hAnsi="仿宋" w:eastAsia="仿宋" w:cs="仿宋"/>
                <w:color w:val="auto"/>
                <w:sz w:val="18"/>
                <w:szCs w:val="18"/>
              </w:rPr>
              <w:t>万元/亩</w:t>
            </w:r>
          </w:p>
          <w:p>
            <w:pPr>
              <w:spacing w:line="200" w:lineRule="exact"/>
              <w:jc w:val="center"/>
              <w:rPr>
                <w:rFonts w:hint="eastAsia" w:ascii="仿宋" w:hAnsi="仿宋" w:eastAsia="仿宋" w:cs="仿宋"/>
                <w:color w:val="auto"/>
                <w:sz w:val="18"/>
                <w:szCs w:val="18"/>
                <w:lang w:val="en-US" w:eastAsia="zh-CN"/>
              </w:rPr>
            </w:pPr>
          </w:p>
        </w:tc>
        <w:tc>
          <w:tcPr>
            <w:tcW w:w="382" w:type="pct"/>
            <w:vAlign w:val="center"/>
          </w:tcPr>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5万元/亩或 5万元/亩</w:t>
            </w:r>
          </w:p>
          <w:p>
            <w:pPr>
              <w:spacing w:line="200" w:lineRule="exact"/>
              <w:jc w:val="center"/>
              <w:rPr>
                <w:rFonts w:hint="eastAsia" w:ascii="仿宋" w:hAnsi="仿宋" w:eastAsia="仿宋" w:cs="仿宋"/>
                <w:color w:val="auto"/>
                <w:sz w:val="18"/>
                <w:szCs w:val="18"/>
              </w:rPr>
            </w:pPr>
            <w:r>
              <w:rPr>
                <w:rFonts w:hint="eastAsia" w:ascii="仿宋" w:hAnsi="仿宋" w:eastAsia="仿宋" w:cs="仿宋"/>
                <w:color w:val="auto"/>
                <w:sz w:val="18"/>
                <w:szCs w:val="18"/>
              </w:rPr>
              <w:t>的整数倍</w:t>
            </w:r>
          </w:p>
          <w:p>
            <w:pPr>
              <w:spacing w:line="200" w:lineRule="exact"/>
              <w:jc w:val="center"/>
              <w:rPr>
                <w:rFonts w:hint="eastAsia" w:ascii="仿宋" w:hAnsi="仿宋" w:eastAsia="仿宋" w:cs="仿宋"/>
                <w:color w:val="auto"/>
                <w:sz w:val="18"/>
                <w:szCs w:val="18"/>
                <w:lang w:val="en-US" w:eastAsia="zh-CN"/>
              </w:rPr>
            </w:pPr>
          </w:p>
        </w:tc>
        <w:tc>
          <w:tcPr>
            <w:tcW w:w="322" w:type="pct"/>
            <w:vAlign w:val="center"/>
          </w:tcPr>
          <w:p>
            <w:pPr>
              <w:spacing w:line="200" w:lineRule="exact"/>
              <w:jc w:val="center"/>
              <w:rPr>
                <w:rFonts w:hint="default" w:ascii="仿宋" w:hAnsi="仿宋" w:eastAsia="仿宋" w:cs="仿宋"/>
                <w:color w:val="auto"/>
                <w:sz w:val="18"/>
                <w:szCs w:val="18"/>
                <w:lang w:val="en-US"/>
              </w:rPr>
            </w:pPr>
            <w:r>
              <w:rPr>
                <w:rFonts w:hint="default" w:ascii="仿宋" w:hAnsi="仿宋" w:eastAsia="仿宋" w:cs="仿宋"/>
                <w:color w:val="auto"/>
                <w:sz w:val="18"/>
                <w:szCs w:val="18"/>
                <w:lang w:val="en-US" w:eastAsia="zh-CN"/>
              </w:rPr>
              <w:t>6000</w:t>
            </w:r>
            <w:r>
              <w:rPr>
                <w:rFonts w:hint="eastAsia" w:ascii="仿宋" w:hAnsi="仿宋" w:eastAsia="仿宋" w:cs="仿宋"/>
                <w:color w:val="auto"/>
                <w:sz w:val="18"/>
                <w:szCs w:val="18"/>
                <w:lang w:val="en-US" w:eastAsia="zh-CN"/>
              </w:rPr>
              <w:t>万元</w:t>
            </w:r>
          </w:p>
          <w:p>
            <w:pPr>
              <w:spacing w:line="200" w:lineRule="exact"/>
              <w:jc w:val="center"/>
              <w:rPr>
                <w:rFonts w:hint="default" w:ascii="仿宋" w:hAnsi="仿宋" w:eastAsia="仿宋" w:cs="仿宋"/>
                <w:color w:val="auto"/>
                <w:sz w:val="18"/>
                <w:szCs w:val="18"/>
                <w:lang w:val="en-US" w:eastAsia="zh-CN"/>
              </w:rPr>
            </w:pPr>
          </w:p>
        </w:tc>
      </w:tr>
    </w:tbl>
    <w:p>
      <w:pPr>
        <w:snapToGrid w:val="0"/>
        <w:spacing w:line="570" w:lineRule="exact"/>
        <w:ind w:firstLine="640" w:firstLineChars="200"/>
        <w:rPr>
          <w:rFonts w:eastAsia="仿宋"/>
          <w:color w:val="auto"/>
          <w:sz w:val="32"/>
          <w:szCs w:val="32"/>
        </w:rPr>
      </w:pPr>
      <w:r>
        <w:rPr>
          <w:rFonts w:eastAsia="仿宋"/>
          <w:color w:val="auto"/>
          <w:sz w:val="32"/>
          <w:szCs w:val="32"/>
        </w:rPr>
        <w:t>二、中华人民共和国境内外的法人、自然人和其他组织均可申请参加竞买，竞买申请人可以单独申请</w:t>
      </w:r>
      <w:r>
        <w:rPr>
          <w:rFonts w:hint="eastAsia" w:eastAsia="仿宋"/>
          <w:color w:val="auto"/>
          <w:sz w:val="32"/>
          <w:szCs w:val="32"/>
        </w:rPr>
        <w:t>，</w:t>
      </w:r>
      <w:r>
        <w:rPr>
          <w:rFonts w:eastAsia="仿宋"/>
          <w:color w:val="auto"/>
          <w:sz w:val="32"/>
          <w:szCs w:val="32"/>
        </w:rPr>
        <w:t>也可以联合申请，但法律法规或出让文件有特殊规定的除外。</w:t>
      </w:r>
    </w:p>
    <w:p>
      <w:pPr>
        <w:snapToGrid w:val="0"/>
        <w:spacing w:line="570" w:lineRule="exact"/>
        <w:ind w:firstLine="640" w:firstLineChars="200"/>
        <w:rPr>
          <w:rFonts w:eastAsia="仿宋"/>
          <w:color w:val="auto"/>
          <w:sz w:val="32"/>
          <w:szCs w:val="32"/>
        </w:rPr>
      </w:pPr>
      <w:r>
        <w:rPr>
          <w:rFonts w:eastAsia="仿宋"/>
          <w:color w:val="auto"/>
          <w:sz w:val="32"/>
          <w:szCs w:val="32"/>
        </w:rPr>
        <w:t>三、申请参加本公告土地竞买的，竞买保证金须按竞买宗地对应金额足额缴纳。</w:t>
      </w:r>
      <w:r>
        <w:rPr>
          <w:rFonts w:hint="eastAsia" w:eastAsia="仿宋"/>
          <w:color w:val="auto"/>
          <w:sz w:val="32"/>
          <w:szCs w:val="32"/>
          <w:lang w:val="en-US" w:eastAsia="zh-CN"/>
        </w:rPr>
        <w:t>竞</w:t>
      </w:r>
      <w:r>
        <w:rPr>
          <w:rFonts w:hint="eastAsia" w:eastAsia="仿宋"/>
          <w:color w:val="auto"/>
          <w:sz w:val="32"/>
          <w:szCs w:val="32"/>
        </w:rPr>
        <w:t>得人交纳的</w:t>
      </w:r>
      <w:r>
        <w:rPr>
          <w:rFonts w:hint="eastAsia" w:eastAsia="仿宋"/>
          <w:color w:val="auto"/>
          <w:sz w:val="32"/>
          <w:szCs w:val="32"/>
          <w:lang w:val="en-US" w:eastAsia="zh-CN"/>
        </w:rPr>
        <w:t>竞</w:t>
      </w:r>
      <w:r>
        <w:rPr>
          <w:rFonts w:hint="eastAsia" w:eastAsia="仿宋"/>
          <w:color w:val="auto"/>
          <w:sz w:val="32"/>
          <w:szCs w:val="32"/>
        </w:rPr>
        <w:t>买保证金，在签订《成交确认书》后自动转为出让土地的定金，在签订《国有建设用地使用权出让合同》后，于支付土地出让价款时可抵作土地出让价款。</w:t>
      </w:r>
    </w:p>
    <w:p>
      <w:pPr>
        <w:snapToGrid w:val="0"/>
        <w:spacing w:line="570" w:lineRule="exact"/>
        <w:ind w:firstLine="640" w:firstLineChars="200"/>
        <w:rPr>
          <w:rFonts w:hint="eastAsia" w:eastAsia="仿宋"/>
          <w:color w:val="auto"/>
          <w:sz w:val="32"/>
          <w:szCs w:val="32"/>
          <w:lang w:val="en-US" w:eastAsia="zh-CN"/>
        </w:rPr>
      </w:pPr>
      <w:r>
        <w:rPr>
          <w:rFonts w:eastAsia="仿宋"/>
          <w:color w:val="auto"/>
          <w:sz w:val="32"/>
          <w:szCs w:val="32"/>
        </w:rPr>
        <w:t>四、本次国有建设用地使用权</w:t>
      </w:r>
      <w:r>
        <w:rPr>
          <w:rFonts w:hint="eastAsia" w:eastAsia="仿宋"/>
          <w:color w:val="auto"/>
          <w:sz w:val="32"/>
          <w:szCs w:val="32"/>
        </w:rPr>
        <w:t>拍卖</w:t>
      </w:r>
      <w:r>
        <w:rPr>
          <w:rFonts w:eastAsia="仿宋"/>
          <w:color w:val="auto"/>
          <w:sz w:val="32"/>
          <w:szCs w:val="32"/>
        </w:rPr>
        <w:t>出让</w:t>
      </w:r>
      <w:r>
        <w:rPr>
          <w:rFonts w:hint="eastAsia" w:eastAsia="仿宋"/>
          <w:color w:val="auto"/>
          <w:sz w:val="32"/>
          <w:szCs w:val="32"/>
          <w:lang w:val="en-US" w:eastAsia="zh-CN"/>
        </w:rPr>
        <w:t>地块中：</w:t>
      </w:r>
      <w:r>
        <w:rPr>
          <w:rFonts w:hint="eastAsia" w:eastAsia="仿宋"/>
          <w:color w:val="auto"/>
          <w:sz w:val="32"/>
          <w:szCs w:val="32"/>
        </w:rPr>
        <w:t>达州市梁家坝组团C-02-04地块</w:t>
      </w:r>
      <w:r>
        <w:rPr>
          <w:rFonts w:hint="eastAsia" w:eastAsia="仿宋"/>
          <w:color w:val="auto"/>
          <w:sz w:val="32"/>
          <w:szCs w:val="32"/>
          <w:lang w:eastAsia="zh-CN"/>
        </w:rPr>
        <w:t>、</w:t>
      </w:r>
      <w:r>
        <w:rPr>
          <w:rFonts w:hint="eastAsia" w:eastAsia="仿宋"/>
          <w:color w:val="auto"/>
          <w:sz w:val="32"/>
          <w:szCs w:val="32"/>
        </w:rPr>
        <w:t>达州市环城路二期及环凤产业大道沿线片区03-B-01-05地块</w:t>
      </w:r>
      <w:r>
        <w:rPr>
          <w:rFonts w:hint="eastAsia" w:eastAsia="仿宋"/>
          <w:color w:val="auto"/>
          <w:sz w:val="32"/>
          <w:szCs w:val="32"/>
          <w:lang w:eastAsia="zh-CN"/>
        </w:rPr>
        <w:t>、</w:t>
      </w:r>
      <w:r>
        <w:rPr>
          <w:rFonts w:hint="eastAsia" w:eastAsia="仿宋"/>
          <w:color w:val="auto"/>
          <w:sz w:val="32"/>
          <w:szCs w:val="32"/>
        </w:rPr>
        <w:t>达州市环城路二期及环凤产业大道沿线片区03-B-01-07地块</w:t>
      </w:r>
      <w:r>
        <w:rPr>
          <w:rFonts w:eastAsia="仿宋"/>
          <w:color w:val="auto"/>
          <w:sz w:val="32"/>
          <w:szCs w:val="32"/>
        </w:rPr>
        <w:t>政府</w:t>
      </w:r>
      <w:r>
        <w:rPr>
          <w:rFonts w:hint="eastAsia" w:eastAsia="仿宋"/>
          <w:color w:val="auto"/>
          <w:sz w:val="32"/>
          <w:szCs w:val="32"/>
          <w:lang w:val="en-US" w:eastAsia="zh-CN"/>
        </w:rPr>
        <w:t>设有</w:t>
      </w:r>
      <w:r>
        <w:rPr>
          <w:rFonts w:eastAsia="仿宋"/>
          <w:color w:val="auto"/>
          <w:sz w:val="32"/>
          <w:szCs w:val="32"/>
        </w:rPr>
        <w:t>底价，采用增价拍卖方式竞价，按照价高者得原则确定竞得人</w:t>
      </w:r>
      <w:r>
        <w:rPr>
          <w:rFonts w:hint="eastAsia" w:eastAsia="仿宋"/>
          <w:color w:val="auto"/>
          <w:sz w:val="32"/>
          <w:szCs w:val="32"/>
          <w:lang w:eastAsia="zh-CN"/>
        </w:rPr>
        <w:t>（</w:t>
      </w:r>
      <w:r>
        <w:rPr>
          <w:rFonts w:hint="eastAsia" w:eastAsia="仿宋"/>
          <w:color w:val="auto"/>
          <w:sz w:val="32"/>
          <w:szCs w:val="32"/>
          <w:lang w:val="en-US" w:eastAsia="zh-CN"/>
        </w:rPr>
        <w:t>不低于政府底价</w:t>
      </w:r>
      <w:r>
        <w:rPr>
          <w:rFonts w:hint="eastAsia" w:eastAsia="仿宋"/>
          <w:color w:val="auto"/>
          <w:sz w:val="32"/>
          <w:szCs w:val="32"/>
          <w:lang w:eastAsia="zh-CN"/>
        </w:rPr>
        <w:t>）；</w:t>
      </w:r>
      <w:r>
        <w:rPr>
          <w:rFonts w:hint="eastAsia" w:eastAsia="仿宋"/>
          <w:color w:val="auto"/>
          <w:sz w:val="32"/>
          <w:szCs w:val="32"/>
          <w:lang w:val="en-US" w:eastAsia="zh-CN"/>
        </w:rPr>
        <w:t>达州市马踏洞外围片区C7-04地块、达州市梁家坝组团B-06-03（A区）地块、达州市梁家坝组团B-06-03（B区）地块、</w:t>
      </w:r>
      <w:r>
        <w:rPr>
          <w:rFonts w:hint="eastAsia" w:eastAsia="仿宋"/>
          <w:color w:val="auto"/>
          <w:sz w:val="32"/>
          <w:szCs w:val="32"/>
        </w:rPr>
        <w:t>达州市梁家坝组团B-06-04地块</w:t>
      </w:r>
      <w:r>
        <w:rPr>
          <w:rFonts w:hint="eastAsia" w:eastAsia="仿宋"/>
          <w:color w:val="auto"/>
          <w:sz w:val="32"/>
          <w:szCs w:val="32"/>
          <w:lang w:eastAsia="zh-CN"/>
        </w:rPr>
        <w:t>、</w:t>
      </w:r>
      <w:r>
        <w:rPr>
          <w:rFonts w:hint="eastAsia" w:eastAsia="仿宋"/>
          <w:color w:val="auto"/>
          <w:sz w:val="32"/>
          <w:szCs w:val="32"/>
          <w:lang w:val="en-US" w:eastAsia="zh-CN"/>
        </w:rPr>
        <w:t>达州市</w:t>
      </w:r>
      <w:r>
        <w:rPr>
          <w:rFonts w:hint="eastAsia" w:eastAsia="仿宋"/>
          <w:color w:val="auto"/>
          <w:sz w:val="32"/>
          <w:szCs w:val="32"/>
        </w:rPr>
        <w:t>莲</w:t>
      </w:r>
      <w:r>
        <w:rPr>
          <w:rFonts w:hint="eastAsia" w:eastAsia="仿宋"/>
          <w:color w:val="auto"/>
          <w:sz w:val="32"/>
          <w:szCs w:val="32"/>
          <w:lang w:val="en-US" w:eastAsia="zh-CN"/>
        </w:rPr>
        <w:t>花湖片区ⅢC6-2/1地块政府不设底价，</w:t>
      </w:r>
      <w:r>
        <w:rPr>
          <w:rFonts w:eastAsia="仿宋"/>
          <w:color w:val="auto"/>
          <w:sz w:val="32"/>
          <w:szCs w:val="32"/>
        </w:rPr>
        <w:t>采用增价拍卖方式竞价，按照价高者得原则确定竞得人</w:t>
      </w:r>
      <w:r>
        <w:rPr>
          <w:rFonts w:hint="eastAsia" w:eastAsia="仿宋"/>
          <w:color w:val="auto"/>
          <w:sz w:val="32"/>
          <w:szCs w:val="32"/>
          <w:lang w:eastAsia="zh-CN"/>
        </w:rPr>
        <w:t>。</w:t>
      </w:r>
    </w:p>
    <w:p>
      <w:pPr>
        <w:snapToGrid w:val="0"/>
        <w:spacing w:line="570" w:lineRule="exact"/>
        <w:ind w:firstLine="640" w:firstLineChars="200"/>
        <w:rPr>
          <w:rFonts w:eastAsia="仿宋"/>
          <w:color w:val="auto"/>
          <w:sz w:val="32"/>
          <w:szCs w:val="32"/>
        </w:rPr>
      </w:pPr>
      <w:r>
        <w:rPr>
          <w:rFonts w:eastAsia="仿宋"/>
          <w:color w:val="auto"/>
          <w:sz w:val="32"/>
          <w:szCs w:val="32"/>
        </w:rPr>
        <w:t>五、本次国有建设用地使用权</w:t>
      </w:r>
      <w:r>
        <w:rPr>
          <w:rFonts w:hint="eastAsia" w:eastAsia="仿宋"/>
          <w:color w:val="auto"/>
          <w:sz w:val="32"/>
          <w:szCs w:val="32"/>
        </w:rPr>
        <w:t>拍卖</w:t>
      </w:r>
      <w:r>
        <w:rPr>
          <w:rFonts w:eastAsia="仿宋"/>
          <w:color w:val="auto"/>
          <w:sz w:val="32"/>
          <w:szCs w:val="32"/>
        </w:rPr>
        <w:t>出让实行网上报名，竞买申请人须在达州市公共资源交易服务网（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）查阅网上操作指南，完成用户注册、网上报名等。</w:t>
      </w:r>
    </w:p>
    <w:p>
      <w:pPr>
        <w:snapToGrid w:val="0"/>
        <w:spacing w:line="570" w:lineRule="exact"/>
        <w:ind w:firstLine="555"/>
        <w:rPr>
          <w:rFonts w:eastAsia="仿宋"/>
          <w:color w:val="auto"/>
          <w:sz w:val="32"/>
          <w:szCs w:val="32"/>
        </w:rPr>
      </w:pPr>
      <w:r>
        <w:rPr>
          <w:rFonts w:eastAsia="仿宋"/>
          <w:color w:val="auto"/>
          <w:sz w:val="32"/>
          <w:szCs w:val="32"/>
        </w:rPr>
        <w:t>已完成用户注册的竞买申请人须在</w:t>
      </w:r>
      <w:r>
        <w:rPr>
          <w:rFonts w:eastAsia="仿宋"/>
          <w:color w:val="auto"/>
          <w:sz w:val="32"/>
          <w:szCs w:val="32"/>
          <w:u w:val="single"/>
        </w:rPr>
        <w:t>2023年</w:t>
      </w:r>
      <w:r>
        <w:rPr>
          <w:rFonts w:hint="eastAsia" w:eastAsia="仿宋"/>
          <w:color w:val="auto"/>
          <w:sz w:val="32"/>
          <w:szCs w:val="32"/>
          <w:u w:val="single"/>
          <w:lang w:val="en-US" w:eastAsia="zh-CN"/>
        </w:rPr>
        <w:t>12</w:t>
      </w:r>
      <w:r>
        <w:rPr>
          <w:rFonts w:eastAsia="仿宋"/>
          <w:color w:val="auto"/>
          <w:sz w:val="32"/>
          <w:szCs w:val="32"/>
          <w:u w:val="single"/>
        </w:rPr>
        <w:t>月</w:t>
      </w:r>
      <w:r>
        <w:rPr>
          <w:rFonts w:hint="eastAsia" w:eastAsia="仿宋"/>
          <w:color w:val="auto"/>
          <w:sz w:val="32"/>
          <w:szCs w:val="32"/>
          <w:u w:val="single"/>
          <w:lang w:val="en-US" w:eastAsia="zh-CN"/>
        </w:rPr>
        <w:t>12</w:t>
      </w:r>
      <w:r>
        <w:rPr>
          <w:rFonts w:eastAsia="仿宋"/>
          <w:color w:val="auto"/>
          <w:sz w:val="32"/>
          <w:szCs w:val="32"/>
          <w:u w:val="single"/>
        </w:rPr>
        <w:t>日</w:t>
      </w:r>
      <w:r>
        <w:rPr>
          <w:rFonts w:eastAsia="仿宋"/>
          <w:color w:val="auto"/>
          <w:sz w:val="32"/>
          <w:szCs w:val="32"/>
        </w:rPr>
        <w:t>17:00之前经达州市公共资源交易服务网（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）通过系统提交竞买申请。通过指定账户缴纳竞买保证金，到账截止时间为</w:t>
      </w:r>
      <w:r>
        <w:rPr>
          <w:rFonts w:eastAsia="仿宋"/>
          <w:color w:val="auto"/>
          <w:sz w:val="32"/>
          <w:szCs w:val="32"/>
          <w:u w:val="single"/>
        </w:rPr>
        <w:t>2023年</w:t>
      </w:r>
      <w:r>
        <w:rPr>
          <w:rFonts w:hint="eastAsia" w:eastAsia="仿宋"/>
          <w:color w:val="auto"/>
          <w:sz w:val="32"/>
          <w:szCs w:val="32"/>
          <w:u w:val="single"/>
          <w:lang w:val="en-US" w:eastAsia="zh-CN"/>
        </w:rPr>
        <w:t>12</w:t>
      </w:r>
      <w:r>
        <w:rPr>
          <w:rFonts w:eastAsia="仿宋"/>
          <w:color w:val="auto"/>
          <w:sz w:val="32"/>
          <w:szCs w:val="32"/>
          <w:u w:val="single"/>
        </w:rPr>
        <w:t>月</w:t>
      </w:r>
      <w:r>
        <w:rPr>
          <w:rFonts w:hint="eastAsia" w:eastAsia="仿宋"/>
          <w:color w:val="auto"/>
          <w:sz w:val="32"/>
          <w:szCs w:val="32"/>
          <w:u w:val="single"/>
          <w:lang w:val="en-US" w:eastAsia="zh-CN"/>
        </w:rPr>
        <w:t>12</w:t>
      </w:r>
      <w:r>
        <w:rPr>
          <w:rFonts w:eastAsia="仿宋"/>
          <w:color w:val="auto"/>
          <w:sz w:val="32"/>
          <w:szCs w:val="32"/>
          <w:u w:val="single"/>
        </w:rPr>
        <w:t>日</w:t>
      </w:r>
      <w:r>
        <w:rPr>
          <w:rFonts w:eastAsia="仿宋"/>
          <w:color w:val="auto"/>
          <w:sz w:val="32"/>
          <w:szCs w:val="32"/>
        </w:rPr>
        <w:t>17:00时。</w:t>
      </w:r>
    </w:p>
    <w:p>
      <w:pPr>
        <w:snapToGrid w:val="0"/>
        <w:spacing w:line="570" w:lineRule="exact"/>
        <w:ind w:firstLine="524" w:firstLineChars="164"/>
        <w:rPr>
          <w:rFonts w:eastAsia="仿宋"/>
          <w:color w:val="auto"/>
          <w:sz w:val="32"/>
          <w:szCs w:val="32"/>
        </w:rPr>
      </w:pPr>
      <w:r>
        <w:rPr>
          <w:rFonts w:eastAsia="仿宋"/>
          <w:color w:val="auto"/>
          <w:sz w:val="32"/>
          <w:szCs w:val="32"/>
        </w:rPr>
        <w:t>已提交申请的竞买申请人须在</w:t>
      </w:r>
      <w:r>
        <w:rPr>
          <w:rFonts w:eastAsia="仿宋"/>
          <w:b/>
          <w:color w:val="auto"/>
          <w:sz w:val="32"/>
          <w:szCs w:val="32"/>
        </w:rPr>
        <w:t>资格审查当日（</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w:t>
      </w:r>
      <w:r>
        <w:rPr>
          <w:rFonts w:eastAsia="仿宋"/>
          <w:b/>
          <w:color w:val="auto"/>
          <w:sz w:val="32"/>
          <w:szCs w:val="32"/>
        </w:rPr>
        <w:t>）</w:t>
      </w:r>
      <w:r>
        <w:rPr>
          <w:rFonts w:eastAsia="仿宋"/>
          <w:b/>
          <w:color w:val="auto"/>
          <w:sz w:val="32"/>
          <w:szCs w:val="32"/>
          <w:u w:val="single"/>
        </w:rPr>
        <w:t>9:00</w:t>
      </w:r>
      <w:r>
        <w:rPr>
          <w:rFonts w:eastAsia="仿宋"/>
          <w:color w:val="auto"/>
          <w:sz w:val="32"/>
          <w:szCs w:val="32"/>
        </w:rPr>
        <w:t>之前将竞买申请文件原件现场提交至达州市公共资源交易服务中心</w:t>
      </w:r>
      <w:r>
        <w:rPr>
          <w:rFonts w:eastAsia="仿宋"/>
          <w:color w:val="auto"/>
          <w:sz w:val="32"/>
          <w:szCs w:val="32"/>
          <w:u w:val="single"/>
        </w:rPr>
        <w:t>4B-17</w:t>
      </w:r>
      <w:r>
        <w:rPr>
          <w:rFonts w:eastAsia="仿宋"/>
          <w:color w:val="auto"/>
          <w:sz w:val="32"/>
          <w:szCs w:val="32"/>
        </w:rPr>
        <w:t>室，未按时提交原件的视为自行放弃竞买资格。</w:t>
      </w:r>
    </w:p>
    <w:p>
      <w:pPr>
        <w:snapToGrid w:val="0"/>
        <w:spacing w:line="570" w:lineRule="exact"/>
        <w:ind w:firstLine="555"/>
        <w:rPr>
          <w:rFonts w:eastAsia="仿宋"/>
          <w:color w:val="auto"/>
          <w:sz w:val="32"/>
          <w:szCs w:val="32"/>
        </w:rPr>
      </w:pPr>
      <w:r>
        <w:rPr>
          <w:rFonts w:eastAsia="仿宋"/>
          <w:color w:val="auto"/>
          <w:sz w:val="32"/>
          <w:szCs w:val="32"/>
        </w:rPr>
        <w:t>通过竞买资格审查的竞买申请人须在</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日10:00</w:t>
      </w:r>
      <w:r>
        <w:rPr>
          <w:rFonts w:eastAsia="仿宋"/>
          <w:color w:val="auto"/>
          <w:sz w:val="32"/>
          <w:szCs w:val="32"/>
        </w:rPr>
        <w:t>前自行通过</w:t>
      </w:r>
      <w:r>
        <w:rPr>
          <w:rFonts w:eastAsia="仿宋"/>
          <w:color w:val="auto"/>
          <w:sz w:val="32"/>
          <w:szCs w:val="32"/>
          <w:u w:val="single"/>
        </w:rPr>
        <w:t>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u w:val="single"/>
        </w:rPr>
        <w:t>http://www.dzggzy.cn</w:t>
      </w:r>
      <w:r>
        <w:rPr>
          <w:rFonts w:eastAsia="仿宋"/>
          <w:color w:val="auto"/>
          <w:sz w:val="32"/>
          <w:szCs w:val="32"/>
          <w:u w:val="single"/>
        </w:rPr>
        <w:fldChar w:fldCharType="end"/>
      </w:r>
      <w:r>
        <w:rPr>
          <w:rFonts w:eastAsia="仿宋"/>
          <w:color w:val="auto"/>
          <w:sz w:val="32"/>
          <w:szCs w:val="32"/>
          <w:u w:val="single"/>
        </w:rPr>
        <w:t>）</w:t>
      </w:r>
      <w:r>
        <w:rPr>
          <w:rFonts w:eastAsia="仿宋"/>
          <w:color w:val="auto"/>
          <w:sz w:val="32"/>
          <w:szCs w:val="32"/>
        </w:rPr>
        <w:t>打印竞买资格确认书并带到拍卖现场</w:t>
      </w:r>
      <w:r>
        <w:rPr>
          <w:rFonts w:hint="eastAsia" w:eastAsia="仿宋"/>
          <w:color w:val="auto"/>
          <w:sz w:val="32"/>
          <w:szCs w:val="32"/>
        </w:rPr>
        <w:t>（</w:t>
      </w:r>
      <w:r>
        <w:rPr>
          <w:rFonts w:eastAsia="仿宋"/>
          <w:color w:val="auto"/>
          <w:sz w:val="32"/>
          <w:szCs w:val="32"/>
        </w:rPr>
        <w:t>打印时间可能因资格审查而延迟</w:t>
      </w:r>
      <w:r>
        <w:rPr>
          <w:rFonts w:hint="eastAsia" w:eastAsia="仿宋"/>
          <w:color w:val="auto"/>
          <w:sz w:val="32"/>
          <w:szCs w:val="32"/>
        </w:rPr>
        <w:t>）</w:t>
      </w:r>
      <w:r>
        <w:rPr>
          <w:rFonts w:eastAsia="仿宋"/>
          <w:color w:val="auto"/>
          <w:sz w:val="32"/>
          <w:szCs w:val="32"/>
        </w:rPr>
        <w:t>。</w:t>
      </w:r>
    </w:p>
    <w:p>
      <w:pPr>
        <w:snapToGrid w:val="0"/>
        <w:spacing w:line="570" w:lineRule="exact"/>
        <w:ind w:firstLine="555"/>
        <w:rPr>
          <w:rFonts w:eastAsia="仿宋"/>
          <w:color w:val="auto"/>
          <w:sz w:val="32"/>
          <w:szCs w:val="32"/>
        </w:rPr>
      </w:pPr>
      <w:r>
        <w:rPr>
          <w:rFonts w:eastAsia="仿宋"/>
          <w:color w:val="auto"/>
          <w:sz w:val="32"/>
          <w:szCs w:val="32"/>
        </w:rPr>
        <w:t>六、本次国有建设用地使用权拍卖会定</w:t>
      </w:r>
      <w:r>
        <w:rPr>
          <w:rFonts w:eastAsia="仿宋"/>
          <w:b/>
          <w:color w:val="auto"/>
          <w:sz w:val="32"/>
          <w:szCs w:val="32"/>
          <w:u w:val="single"/>
        </w:rPr>
        <w:t>2023年</w:t>
      </w:r>
      <w:r>
        <w:rPr>
          <w:rFonts w:hint="eastAsia" w:eastAsia="仿宋"/>
          <w:b/>
          <w:color w:val="auto"/>
          <w:sz w:val="32"/>
          <w:szCs w:val="32"/>
          <w:u w:val="single"/>
        </w:rPr>
        <w:t>1</w:t>
      </w:r>
      <w:r>
        <w:rPr>
          <w:rFonts w:hint="eastAsia" w:eastAsia="仿宋"/>
          <w:b/>
          <w:color w:val="auto"/>
          <w:sz w:val="32"/>
          <w:szCs w:val="32"/>
          <w:u w:val="single"/>
          <w:lang w:val="en-US" w:eastAsia="zh-CN"/>
        </w:rPr>
        <w:t>2</w:t>
      </w:r>
      <w:r>
        <w:rPr>
          <w:rFonts w:eastAsia="仿宋"/>
          <w:b/>
          <w:color w:val="auto"/>
          <w:sz w:val="32"/>
          <w:szCs w:val="32"/>
          <w:u w:val="single"/>
        </w:rPr>
        <w:t>月</w:t>
      </w:r>
      <w:r>
        <w:rPr>
          <w:rFonts w:hint="eastAsia" w:eastAsia="仿宋"/>
          <w:b/>
          <w:color w:val="auto"/>
          <w:sz w:val="32"/>
          <w:szCs w:val="32"/>
          <w:u w:val="single"/>
          <w:lang w:val="en-US" w:eastAsia="zh-CN"/>
        </w:rPr>
        <w:t>13</w:t>
      </w:r>
      <w:r>
        <w:rPr>
          <w:rFonts w:eastAsia="仿宋"/>
          <w:b/>
          <w:color w:val="auto"/>
          <w:sz w:val="32"/>
          <w:szCs w:val="32"/>
          <w:u w:val="single"/>
        </w:rPr>
        <w:t>日10:00</w:t>
      </w:r>
      <w:r>
        <w:rPr>
          <w:rFonts w:eastAsia="仿宋"/>
          <w:color w:val="auto"/>
          <w:sz w:val="32"/>
          <w:szCs w:val="32"/>
        </w:rPr>
        <w:t>在</w:t>
      </w:r>
      <w:r>
        <w:rPr>
          <w:rFonts w:eastAsia="仿宋"/>
          <w:color w:val="auto"/>
          <w:sz w:val="32"/>
          <w:szCs w:val="32"/>
          <w:u w:val="single"/>
        </w:rPr>
        <w:t>开标二厅</w:t>
      </w:r>
      <w:r>
        <w:rPr>
          <w:rFonts w:eastAsia="仿宋"/>
          <w:color w:val="auto"/>
          <w:sz w:val="32"/>
          <w:szCs w:val="32"/>
        </w:rPr>
        <w:t>举行</w:t>
      </w:r>
      <w:r>
        <w:rPr>
          <w:rFonts w:hint="eastAsia" w:eastAsia="仿宋"/>
          <w:color w:val="auto"/>
          <w:sz w:val="32"/>
          <w:szCs w:val="32"/>
        </w:rPr>
        <w:t>（拍卖</w:t>
      </w:r>
      <w:r>
        <w:rPr>
          <w:rFonts w:eastAsia="仿宋"/>
          <w:color w:val="auto"/>
          <w:sz w:val="32"/>
          <w:szCs w:val="32"/>
        </w:rPr>
        <w:t>会时间可能因资格审查而延迟</w:t>
      </w:r>
      <w:r>
        <w:rPr>
          <w:rFonts w:hint="eastAsia" w:eastAsia="仿宋"/>
          <w:color w:val="auto"/>
          <w:sz w:val="32"/>
          <w:szCs w:val="32"/>
        </w:rPr>
        <w:t>）</w:t>
      </w:r>
      <w:r>
        <w:rPr>
          <w:rFonts w:eastAsia="仿宋"/>
          <w:color w:val="auto"/>
          <w:sz w:val="32"/>
          <w:szCs w:val="32"/>
        </w:rPr>
        <w:t>。</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sz w:val="32"/>
          <w:szCs w:val="32"/>
        </w:rPr>
      </w:pPr>
      <w:r>
        <w:rPr>
          <w:rFonts w:ascii="Times New Roman" w:hAnsi="Times New Roman" w:eastAsia="仿宋" w:cs="Times New Roman"/>
          <w:color w:val="auto"/>
          <w:sz w:val="32"/>
          <w:szCs w:val="32"/>
        </w:rPr>
        <w:t>七、凡参与竞买的申请人须对本出让公告、出让文件、宗地详情全面了解、完全接受、不持异议，必须承认起叫价，报价规则详见拍卖出让须知。本次拍卖出让不接受邮寄竞买申请。</w:t>
      </w:r>
    </w:p>
    <w:p>
      <w:pPr>
        <w:snapToGrid w:val="0"/>
        <w:spacing w:line="570" w:lineRule="exact"/>
        <w:ind w:firstLine="567"/>
        <w:rPr>
          <w:rFonts w:eastAsia="仿宋"/>
          <w:color w:val="auto"/>
          <w:sz w:val="32"/>
          <w:szCs w:val="32"/>
        </w:rPr>
      </w:pPr>
      <w:r>
        <w:rPr>
          <w:rFonts w:eastAsia="仿宋"/>
          <w:color w:val="auto"/>
          <w:sz w:val="32"/>
          <w:szCs w:val="32"/>
        </w:rPr>
        <w:t>八、本公告未尽事宜详见拍卖出让文件（拍卖出让文件可在达州市公共资源交易服务网（</w:t>
      </w:r>
      <w:r>
        <w:rPr>
          <w:color w:val="auto"/>
        </w:rPr>
        <w:fldChar w:fldCharType="begin"/>
      </w:r>
      <w:r>
        <w:rPr>
          <w:color w:val="auto"/>
        </w:rPr>
        <w:instrText xml:space="preserve"> HYPERLINK "http://www.dzggzy.cn/" </w:instrText>
      </w:r>
      <w:r>
        <w:rPr>
          <w:color w:val="auto"/>
        </w:rPr>
        <w:fldChar w:fldCharType="separate"/>
      </w:r>
      <w:r>
        <w:rPr>
          <w:rFonts w:eastAsia="仿宋"/>
          <w:color w:val="auto"/>
          <w:sz w:val="32"/>
          <w:szCs w:val="32"/>
        </w:rPr>
        <w:t>http://www.dzggzy.cn</w:t>
      </w:r>
      <w:r>
        <w:rPr>
          <w:rFonts w:eastAsia="仿宋"/>
          <w:color w:val="auto"/>
          <w:sz w:val="32"/>
          <w:szCs w:val="32"/>
        </w:rPr>
        <w:fldChar w:fldCharType="end"/>
      </w:r>
      <w:r>
        <w:rPr>
          <w:rFonts w:eastAsia="仿宋"/>
          <w:color w:val="auto"/>
          <w:sz w:val="32"/>
          <w:szCs w:val="32"/>
        </w:rPr>
        <w:t>）下载），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0" w:lineRule="exact"/>
        <w:ind w:firstLine="555"/>
        <w:rPr>
          <w:rFonts w:eastAsia="仿宋"/>
          <w:color w:val="auto"/>
          <w:sz w:val="32"/>
          <w:szCs w:val="32"/>
        </w:rPr>
      </w:pPr>
      <w:r>
        <w:rPr>
          <w:rFonts w:eastAsia="仿宋"/>
          <w:color w:val="auto"/>
          <w:sz w:val="32"/>
          <w:szCs w:val="32"/>
        </w:rPr>
        <w:t>九、竞买保证金缴纳指定账户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建设银行开户行：</w:t>
      </w:r>
      <w:r>
        <w:rPr>
          <w:rFonts w:ascii="Times New Roman" w:hAnsi="Times New Roman" w:eastAsia="仿宋" w:cs="Times New Roman"/>
          <w:color w:val="auto"/>
          <w:kern w:val="2"/>
          <w:sz w:val="32"/>
          <w:szCs w:val="32"/>
          <w:u w:val="single"/>
        </w:rPr>
        <w:t>中国建设银行股份有限公司达州荷叶支行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农业银行开户行：</w:t>
      </w:r>
      <w:r>
        <w:rPr>
          <w:rFonts w:ascii="Times New Roman" w:hAnsi="Times New Roman" w:eastAsia="仿宋" w:cs="Times New Roman"/>
          <w:color w:val="auto"/>
          <w:kern w:val="2"/>
          <w:sz w:val="32"/>
          <w:szCs w:val="32"/>
          <w:u w:val="single"/>
        </w:rPr>
        <w:t>中国农业银行达州通川支行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工商银行开户行：</w:t>
      </w:r>
      <w:r>
        <w:rPr>
          <w:rFonts w:ascii="Times New Roman" w:hAnsi="Times New Roman" w:eastAsia="仿宋" w:cs="Times New Roman"/>
          <w:color w:val="auto"/>
          <w:kern w:val="2"/>
          <w:sz w:val="32"/>
          <w:szCs w:val="32"/>
          <w:u w:val="single"/>
        </w:rPr>
        <w:t>中国工商银行达州市分行海棠湾支行</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rPr>
      </w:pPr>
      <w:r>
        <w:rPr>
          <w:rFonts w:ascii="Times New Roman" w:hAnsi="Times New Roman" w:eastAsia="仿宋" w:cs="Times New Roman"/>
          <w:color w:val="auto"/>
          <w:kern w:val="2"/>
          <w:sz w:val="32"/>
          <w:szCs w:val="32"/>
        </w:rPr>
        <w:t>户名：</w:t>
      </w:r>
      <w:r>
        <w:rPr>
          <w:rFonts w:ascii="Times New Roman" w:hAnsi="Times New Roman" w:eastAsia="仿宋" w:cs="Times New Roman"/>
          <w:color w:val="auto"/>
          <w:kern w:val="2"/>
          <w:sz w:val="32"/>
          <w:szCs w:val="32"/>
          <w:u w:val="single"/>
        </w:rPr>
        <w:t>达州市公共资源交易服务中心交易专户</w:t>
      </w:r>
    </w:p>
    <w:p>
      <w:pPr>
        <w:pStyle w:val="14"/>
        <w:spacing w:before="0" w:beforeAutospacing="0" w:after="0" w:afterAutospacing="0" w:line="570" w:lineRule="exact"/>
        <w:ind w:firstLine="604" w:firstLineChars="189"/>
        <w:jc w:val="both"/>
        <w:rPr>
          <w:rFonts w:ascii="Times New Roman" w:hAnsi="Times New Roman" w:eastAsia="仿宋" w:cs="Times New Roman"/>
          <w:color w:val="auto"/>
          <w:kern w:val="2"/>
          <w:sz w:val="32"/>
          <w:szCs w:val="32"/>
          <w:u w:val="single"/>
        </w:rPr>
      </w:pPr>
      <w:r>
        <w:rPr>
          <w:rFonts w:ascii="Times New Roman" w:hAnsi="Times New Roman" w:eastAsia="仿宋" w:cs="Times New Roman"/>
          <w:color w:val="auto"/>
          <w:kern w:val="2"/>
          <w:sz w:val="32"/>
          <w:szCs w:val="32"/>
        </w:rPr>
        <w:t>账号：</w:t>
      </w:r>
      <w:r>
        <w:rPr>
          <w:rFonts w:ascii="Times New Roman" w:hAnsi="Times New Roman" w:eastAsia="仿宋" w:cs="Times New Roman"/>
          <w:color w:val="auto"/>
          <w:kern w:val="2"/>
          <w:sz w:val="32"/>
          <w:szCs w:val="32"/>
          <w:u w:val="single"/>
        </w:rPr>
        <w:t>系统自动生成</w:t>
      </w:r>
    </w:p>
    <w:p>
      <w:pPr>
        <w:snapToGrid w:val="0"/>
        <w:spacing w:line="570" w:lineRule="exact"/>
        <w:ind w:firstLine="555"/>
        <w:rPr>
          <w:rFonts w:eastAsia="仿宋"/>
          <w:color w:val="auto"/>
          <w:sz w:val="32"/>
          <w:szCs w:val="32"/>
        </w:rPr>
      </w:pPr>
      <w:r>
        <w:rPr>
          <w:rFonts w:eastAsia="仿宋"/>
          <w:color w:val="auto"/>
          <w:sz w:val="32"/>
          <w:szCs w:val="32"/>
        </w:rPr>
        <w:t>十、联系方式</w:t>
      </w:r>
    </w:p>
    <w:p>
      <w:pPr>
        <w:snapToGrid w:val="0"/>
        <w:spacing w:line="570" w:lineRule="exact"/>
        <w:ind w:firstLine="555"/>
        <w:rPr>
          <w:rFonts w:eastAsia="仿宋"/>
          <w:color w:val="auto"/>
          <w:sz w:val="32"/>
          <w:szCs w:val="32"/>
        </w:rPr>
      </w:pPr>
      <w:r>
        <w:rPr>
          <w:rFonts w:eastAsia="仿宋"/>
          <w:color w:val="auto"/>
          <w:sz w:val="32"/>
          <w:szCs w:val="32"/>
        </w:rPr>
        <w:t>出让人：达州市自然资源和规划局</w:t>
      </w:r>
    </w:p>
    <w:p>
      <w:pPr>
        <w:snapToGrid w:val="0"/>
        <w:spacing w:line="570" w:lineRule="exact"/>
        <w:ind w:firstLine="555"/>
        <w:rPr>
          <w:rFonts w:eastAsia="仿宋"/>
          <w:color w:val="auto"/>
          <w:sz w:val="32"/>
          <w:szCs w:val="32"/>
        </w:rPr>
      </w:pPr>
      <w:r>
        <w:rPr>
          <w:rFonts w:eastAsia="仿宋"/>
          <w:color w:val="auto"/>
          <w:sz w:val="32"/>
          <w:szCs w:val="32"/>
        </w:rPr>
        <w:t>联系地址：</w:t>
      </w:r>
      <w:r>
        <w:rPr>
          <w:rFonts w:hint="eastAsia" w:eastAsia="仿宋"/>
          <w:color w:val="auto"/>
          <w:sz w:val="32"/>
          <w:szCs w:val="32"/>
        </w:rPr>
        <w:t>达州市通川区白塔路243号</w:t>
      </w:r>
    </w:p>
    <w:p>
      <w:pPr>
        <w:snapToGrid w:val="0"/>
        <w:spacing w:line="570" w:lineRule="exact"/>
        <w:ind w:firstLine="555"/>
        <w:rPr>
          <w:rFonts w:eastAsia="仿宋"/>
          <w:color w:val="auto"/>
          <w:sz w:val="32"/>
          <w:szCs w:val="32"/>
        </w:rPr>
      </w:pPr>
      <w:r>
        <w:rPr>
          <w:rFonts w:eastAsia="仿宋"/>
          <w:color w:val="auto"/>
          <w:sz w:val="32"/>
          <w:szCs w:val="32"/>
        </w:rPr>
        <w:t xml:space="preserve">联系电话： </w:t>
      </w:r>
      <w:r>
        <w:rPr>
          <w:rFonts w:hint="eastAsia" w:eastAsia="仿宋"/>
          <w:color w:val="auto"/>
          <w:sz w:val="32"/>
          <w:szCs w:val="32"/>
        </w:rPr>
        <w:t>0818-3091098</w:t>
      </w:r>
    </w:p>
    <w:p>
      <w:pPr>
        <w:snapToGrid w:val="0"/>
        <w:spacing w:line="570" w:lineRule="exact"/>
        <w:ind w:firstLine="555"/>
        <w:rPr>
          <w:rFonts w:eastAsia="仿宋"/>
          <w:color w:val="auto"/>
          <w:sz w:val="32"/>
          <w:szCs w:val="32"/>
        </w:rPr>
      </w:pPr>
      <w:r>
        <w:rPr>
          <w:rFonts w:eastAsia="仿宋"/>
          <w:color w:val="auto"/>
          <w:sz w:val="32"/>
          <w:szCs w:val="32"/>
        </w:rPr>
        <w:t>达州市公共资源交易服务中心</w:t>
      </w:r>
    </w:p>
    <w:p>
      <w:pPr>
        <w:snapToGrid w:val="0"/>
        <w:spacing w:line="570" w:lineRule="exact"/>
        <w:ind w:firstLine="555"/>
        <w:rPr>
          <w:rFonts w:eastAsia="仿宋"/>
          <w:b/>
          <w:color w:val="auto"/>
          <w:sz w:val="32"/>
          <w:szCs w:val="32"/>
          <w:u w:val="single"/>
        </w:rPr>
      </w:pPr>
      <w:r>
        <w:rPr>
          <w:rFonts w:eastAsia="仿宋"/>
          <w:color w:val="auto"/>
          <w:sz w:val="32"/>
          <w:szCs w:val="32"/>
        </w:rPr>
        <w:t>联系地址：</w:t>
      </w:r>
      <w:r>
        <w:rPr>
          <w:rFonts w:eastAsia="仿宋"/>
          <w:b/>
          <w:color w:val="auto"/>
          <w:sz w:val="32"/>
          <w:szCs w:val="32"/>
          <w:u w:val="single"/>
        </w:rPr>
        <w:t>四川省达州市马踏洞新区龙马大道与鱼泉路交叉口处新政务服务大楼</w:t>
      </w:r>
    </w:p>
    <w:p>
      <w:pPr>
        <w:snapToGrid w:val="0"/>
        <w:spacing w:line="570" w:lineRule="exact"/>
        <w:ind w:firstLine="555"/>
        <w:rPr>
          <w:rFonts w:hint="eastAsia" w:eastAsia="仿宋"/>
          <w:color w:val="auto"/>
          <w:sz w:val="32"/>
          <w:szCs w:val="32"/>
          <w:lang w:eastAsia="zh-CN"/>
        </w:rPr>
      </w:pPr>
      <w:r>
        <w:rPr>
          <w:rFonts w:eastAsia="仿宋"/>
          <w:color w:val="auto"/>
          <w:sz w:val="32"/>
          <w:szCs w:val="32"/>
        </w:rPr>
        <w:t>联系电话: 0818-</w:t>
      </w:r>
      <w:r>
        <w:rPr>
          <w:rFonts w:hint="eastAsia" w:eastAsia="仿宋"/>
          <w:color w:val="auto"/>
          <w:sz w:val="32"/>
          <w:szCs w:val="32"/>
        </w:rPr>
        <w:t>309134</w:t>
      </w:r>
      <w:r>
        <w:rPr>
          <w:rFonts w:hint="eastAsia" w:eastAsia="仿宋"/>
          <w:color w:val="auto"/>
          <w:sz w:val="32"/>
          <w:szCs w:val="32"/>
          <w:lang w:val="en-US" w:eastAsia="zh-CN"/>
        </w:rPr>
        <w:t>6</w:t>
      </w:r>
    </w:p>
    <w:p>
      <w:pPr>
        <w:snapToGrid w:val="0"/>
        <w:spacing w:line="570" w:lineRule="exact"/>
        <w:rPr>
          <w:rFonts w:eastAsia="仿宋"/>
          <w:color w:val="auto"/>
          <w:sz w:val="32"/>
          <w:szCs w:val="32"/>
        </w:rPr>
      </w:pPr>
    </w:p>
    <w:p>
      <w:pPr>
        <w:snapToGrid w:val="0"/>
        <w:spacing w:line="570" w:lineRule="exact"/>
        <w:rPr>
          <w:rFonts w:eastAsia="仿宋"/>
          <w:color w:val="auto"/>
          <w:sz w:val="32"/>
          <w:szCs w:val="32"/>
        </w:rPr>
      </w:pPr>
    </w:p>
    <w:p>
      <w:pPr>
        <w:snapToGrid w:val="0"/>
        <w:spacing w:line="570" w:lineRule="exact"/>
        <w:rPr>
          <w:rFonts w:eastAsia="仿宋"/>
          <w:color w:val="auto"/>
          <w:sz w:val="32"/>
          <w:szCs w:val="32"/>
        </w:rPr>
      </w:pPr>
      <w:r>
        <w:rPr>
          <w:rFonts w:eastAsia="仿宋"/>
          <w:color w:val="auto"/>
          <w:sz w:val="32"/>
          <w:szCs w:val="32"/>
        </w:rPr>
        <w:t>达州市自然资源和规划局</w:t>
      </w:r>
      <w:r>
        <w:rPr>
          <w:rFonts w:hint="eastAsia" w:eastAsia="仿宋"/>
          <w:color w:val="auto"/>
          <w:sz w:val="32"/>
          <w:szCs w:val="32"/>
        </w:rPr>
        <w:t xml:space="preserve">   </w:t>
      </w:r>
      <w:r>
        <w:rPr>
          <w:rFonts w:eastAsia="仿宋"/>
          <w:color w:val="auto"/>
          <w:sz w:val="32"/>
          <w:szCs w:val="32"/>
        </w:rPr>
        <w:t>达州市公共资源交易服务中心</w:t>
      </w:r>
    </w:p>
    <w:p>
      <w:pPr>
        <w:snapToGrid w:val="0"/>
        <w:spacing w:line="570" w:lineRule="exact"/>
        <w:ind w:firstLine="5120" w:firstLineChars="1600"/>
        <w:rPr>
          <w:rFonts w:eastAsia="仿宋"/>
          <w:color w:val="auto"/>
          <w:sz w:val="32"/>
          <w:szCs w:val="32"/>
        </w:rPr>
      </w:pPr>
      <w:r>
        <w:rPr>
          <w:rFonts w:eastAsia="仿宋"/>
          <w:color w:val="auto"/>
          <w:sz w:val="32"/>
          <w:szCs w:val="32"/>
        </w:rPr>
        <w:t>2023年</w:t>
      </w:r>
      <w:r>
        <w:rPr>
          <w:rFonts w:hint="eastAsia" w:eastAsia="仿宋"/>
          <w:color w:val="auto"/>
          <w:sz w:val="32"/>
          <w:szCs w:val="32"/>
        </w:rPr>
        <w:t>11</w:t>
      </w:r>
      <w:r>
        <w:rPr>
          <w:rFonts w:eastAsia="仿宋"/>
          <w:color w:val="auto"/>
          <w:sz w:val="32"/>
          <w:szCs w:val="32"/>
        </w:rPr>
        <w:t>月</w:t>
      </w:r>
      <w:r>
        <w:rPr>
          <w:rFonts w:hint="eastAsia" w:eastAsia="仿宋"/>
          <w:color w:val="auto"/>
          <w:sz w:val="32"/>
          <w:szCs w:val="32"/>
          <w:lang w:val="en-US" w:eastAsia="zh-CN"/>
        </w:rPr>
        <w:t>23</w:t>
      </w:r>
      <w:r>
        <w:rPr>
          <w:rFonts w:eastAsia="仿宋"/>
          <w:color w:val="auto"/>
          <w:sz w:val="32"/>
          <w:szCs w:val="32"/>
        </w:rPr>
        <w:t>日</w:t>
      </w:r>
      <w:bookmarkEnd w:id="2"/>
    </w:p>
    <w:bookmarkEnd w:id="3"/>
    <w:p>
      <w:pPr>
        <w:snapToGrid w:val="0"/>
        <w:spacing w:line="530" w:lineRule="exact"/>
        <w:ind w:firstLine="5120" w:firstLineChars="1600"/>
        <w:rPr>
          <w:rFonts w:eastAsia="仿宋"/>
          <w:color w:val="auto"/>
          <w:sz w:val="32"/>
          <w:szCs w:val="32"/>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ind w:firstLine="0" w:firstLineChars="0"/>
        <w:rPr>
          <w:color w:val="auto"/>
        </w:rPr>
      </w:pPr>
    </w:p>
    <w:p>
      <w:pPr>
        <w:pStyle w:val="2"/>
        <w:rPr>
          <w:color w:val="auto"/>
        </w:rPr>
      </w:pPr>
    </w:p>
    <w:p>
      <w:pPr>
        <w:snapToGrid w:val="0"/>
        <w:spacing w:line="530" w:lineRule="exact"/>
        <w:ind w:firstLine="880" w:firstLineChars="200"/>
        <w:rPr>
          <w:rFonts w:eastAsia="方正小标宋简体"/>
          <w:b/>
          <w:color w:val="auto"/>
          <w:sz w:val="44"/>
          <w:szCs w:val="44"/>
        </w:rPr>
      </w:pPr>
      <w:r>
        <w:rPr>
          <w:rFonts w:eastAsia="方正小标宋简体"/>
          <w:color w:val="auto"/>
          <w:sz w:val="44"/>
          <w:szCs w:val="44"/>
        </w:rPr>
        <w:t>国有建设用地使用权拍卖出让须知</w:t>
      </w:r>
      <w:bookmarkEnd w:id="4"/>
      <w:bookmarkEnd w:id="5"/>
    </w:p>
    <w:p>
      <w:pPr>
        <w:spacing w:line="600" w:lineRule="exact"/>
        <w:rPr>
          <w:color w:val="auto"/>
          <w:sz w:val="28"/>
          <w:szCs w:val="28"/>
        </w:rPr>
      </w:pPr>
    </w:p>
    <w:p>
      <w:pPr>
        <w:wordWrap w:val="0"/>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达州市人民政府批准,达州市自然资源和规划局决定拍卖出让</w:t>
      </w:r>
      <w:r>
        <w:rPr>
          <w:rFonts w:hint="eastAsia" w:ascii="仿宋" w:hAnsi="仿宋" w:eastAsia="仿宋"/>
          <w:color w:val="auto"/>
          <w:sz w:val="32"/>
          <w:szCs w:val="32"/>
          <w:lang w:val="en-US" w:eastAsia="zh-CN"/>
        </w:rPr>
        <w:t>达州市马踏洞外围片区C7-04地块</w:t>
      </w:r>
      <w:r>
        <w:rPr>
          <w:rFonts w:ascii="仿宋" w:hAnsi="仿宋" w:eastAsia="仿宋"/>
          <w:color w:val="auto"/>
          <w:sz w:val="32"/>
          <w:szCs w:val="32"/>
        </w:rPr>
        <w:t>国有建设用地使用权。</w:t>
      </w:r>
    </w:p>
    <w:p>
      <w:pPr>
        <w:wordWrap w:val="0"/>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一、本次国有建设用地使用权拍卖出让的出让人为达州市自然资源和规划局，由达州市公共资源交易服务中心具体组织实施。</w:t>
      </w:r>
    </w:p>
    <w:p>
      <w:pPr>
        <w:spacing w:line="600" w:lineRule="exact"/>
        <w:ind w:firstLine="640" w:firstLineChars="200"/>
        <w:rPr>
          <w:rFonts w:hint="eastAsia" w:ascii="仿宋" w:hAnsi="仿宋" w:eastAsia="仿宋" w:cs="Times New Roman"/>
          <w:color w:val="auto"/>
          <w:sz w:val="32"/>
          <w:szCs w:val="32"/>
          <w:lang w:val="en-US" w:eastAsia="zh-CN"/>
        </w:rPr>
      </w:pPr>
      <w:r>
        <w:rPr>
          <w:rFonts w:ascii="仿宋" w:hAnsi="仿宋" w:eastAsia="仿宋"/>
          <w:color w:val="auto"/>
          <w:sz w:val="32"/>
          <w:szCs w:val="32"/>
        </w:rPr>
        <w:t>二、本次国有</w:t>
      </w:r>
      <w:r>
        <w:rPr>
          <w:rFonts w:hint="eastAsia" w:ascii="仿宋" w:hAnsi="仿宋" w:eastAsia="仿宋" w:cs="Times New Roman"/>
          <w:color w:val="auto"/>
          <w:sz w:val="32"/>
          <w:szCs w:val="32"/>
          <w:lang w:val="en-US" w:eastAsia="zh-CN"/>
        </w:rPr>
        <w:t>建设用地使用权拍卖出让遵循公开、公平、公正和诚实信用原则。</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三、出让地块的基本情况及相关要求</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（一）地块位置：</w:t>
      </w:r>
      <w:r>
        <w:rPr>
          <w:rFonts w:hint="default" w:ascii="仿宋" w:hAnsi="仿宋" w:eastAsia="仿宋" w:cs="Times New Roman"/>
          <w:color w:val="auto"/>
          <w:sz w:val="32"/>
          <w:szCs w:val="32"/>
          <w:lang w:val="en-US" w:eastAsia="zh-CN"/>
        </w:rPr>
        <w:t>达州市通川区复兴镇孙家坪社区</w:t>
      </w:r>
      <w:r>
        <w:rPr>
          <w:rFonts w:hint="eastAsia" w:ascii="仿宋" w:hAnsi="仿宋" w:eastAsia="仿宋" w:cs="Times New Roman"/>
          <w:color w:val="auto"/>
          <w:sz w:val="32"/>
          <w:szCs w:val="32"/>
          <w:lang w:val="en-US" w:eastAsia="zh-CN"/>
        </w:rPr>
        <w:t>。</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（二）地块范围：详见《达州市马踏洞外围片区C7-04地块供地勘界图》。</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（三）出让面积：</w:t>
      </w:r>
      <w:r>
        <w:rPr>
          <w:rFonts w:hint="default" w:ascii="仿宋" w:hAnsi="仿宋" w:eastAsia="仿宋" w:cs="Times New Roman"/>
          <w:color w:val="auto"/>
          <w:sz w:val="32"/>
          <w:szCs w:val="32"/>
          <w:lang w:val="en-US" w:eastAsia="zh-CN"/>
        </w:rPr>
        <w:t xml:space="preserve">31507.91 </w:t>
      </w:r>
      <w:r>
        <w:rPr>
          <w:rFonts w:hint="eastAsia" w:ascii="仿宋" w:hAnsi="仿宋" w:eastAsia="仿宋" w:cs="Times New Roman"/>
          <w:color w:val="auto"/>
          <w:sz w:val="32"/>
          <w:szCs w:val="32"/>
          <w:lang w:val="en-US" w:eastAsia="zh-CN"/>
        </w:rPr>
        <w:t>平方米（折合47.26亩）。</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（四）土地用途：</w:t>
      </w:r>
      <w:r>
        <w:rPr>
          <w:rFonts w:hint="eastAsia" w:eastAsia="仿宋_GB2312"/>
          <w:sz w:val="32"/>
          <w:szCs w:val="32"/>
          <w:lang w:eastAsia="zh-CN"/>
        </w:rPr>
        <w:t>二类居住用地(R2);用地用海分类为二类城镇住宅用地</w:t>
      </w:r>
      <w:r>
        <w:rPr>
          <w:rFonts w:hint="eastAsia" w:ascii="仿宋" w:hAnsi="仿宋" w:eastAsia="仿宋" w:cs="Times New Roman"/>
          <w:color w:val="auto"/>
          <w:sz w:val="32"/>
          <w:szCs w:val="32"/>
          <w:lang w:val="en-US" w:eastAsia="zh-CN"/>
        </w:rPr>
        <w:t>。</w:t>
      </w:r>
    </w:p>
    <w:p>
      <w:pPr>
        <w:spacing w:line="600" w:lineRule="exact"/>
        <w:ind w:firstLine="640" w:firstLineChars="200"/>
        <w:rPr>
          <w:rFonts w:hint="eastAsia" w:ascii="仿宋" w:hAnsi="仿宋" w:eastAsia="仿宋" w:cs="仿宋"/>
          <w:color w:val="auto"/>
          <w:sz w:val="18"/>
          <w:szCs w:val="18"/>
        </w:rPr>
      </w:pPr>
      <w:r>
        <w:rPr>
          <w:rFonts w:hint="eastAsia" w:ascii="仿宋" w:hAnsi="仿宋" w:eastAsia="仿宋" w:cs="Times New Roman"/>
          <w:color w:val="auto"/>
          <w:sz w:val="32"/>
          <w:szCs w:val="32"/>
          <w:lang w:val="en-US" w:eastAsia="zh-CN"/>
        </w:rPr>
        <w:t>（五）出让年限： 商业40年、住宅70年</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（六）规划条件：详见《达州市马踏洞外围片区C7-04地块规划条件》。</w:t>
      </w:r>
    </w:p>
    <w:p>
      <w:pPr>
        <w:pStyle w:val="2"/>
        <w:ind w:left="0" w:leftChars="0" w:firstLine="640" w:firstLineChars="200"/>
        <w:rPr>
          <w:rFonts w:hint="default" w:ascii="Times New Roman" w:hAnsi="Times New Roman" w:eastAsia="仿宋_GB2312" w:cs="Times New Roman"/>
          <w:kern w:val="2"/>
          <w:sz w:val="32"/>
          <w:szCs w:val="32"/>
          <w:lang w:val="en-US" w:eastAsia="zh-CN" w:bidi="ar-SA"/>
        </w:rPr>
      </w:pPr>
      <w:r>
        <w:rPr>
          <w:rFonts w:hint="eastAsia" w:ascii="仿宋" w:hAnsi="仿宋" w:eastAsia="仿宋" w:cs="Times New Roman"/>
          <w:color w:val="auto"/>
          <w:sz w:val="32"/>
          <w:szCs w:val="32"/>
          <w:lang w:val="en-US" w:eastAsia="zh-CN"/>
        </w:rPr>
        <w:t>（七）公共配套：</w:t>
      </w:r>
      <w:r>
        <w:rPr>
          <w:rFonts w:hint="default" w:ascii="Times New Roman" w:hAnsi="Times New Roman" w:eastAsia="仿宋_GB2312" w:cs="Times New Roman"/>
          <w:kern w:val="2"/>
          <w:sz w:val="32"/>
          <w:szCs w:val="32"/>
          <w:lang w:val="en-US" w:eastAsia="zh-CN" w:bidi="ar-SA"/>
        </w:rPr>
        <w:t>1.</w:t>
      </w:r>
      <w:r>
        <w:rPr>
          <w:rFonts w:hint="eastAsia" w:ascii="Times New Roman" w:hAnsi="Times New Roman" w:eastAsia="仿宋_GB2312" w:cs="Times New Roman"/>
          <w:kern w:val="2"/>
          <w:sz w:val="32"/>
          <w:szCs w:val="32"/>
          <w:lang w:val="en-US" w:eastAsia="zh-CN" w:bidi="ar-SA"/>
        </w:rPr>
        <w:t>该地块可配建不大于计容总建筑面积10%的商业服务用房（且商业用房在设计方案中须设置商业专用烟道）。其设计方案中商业、居住须分离布局，其临规划主干道的建筑外立面应作公建化设计，建筑临街外立面设置阳台时应封闭。2.根据《达州市人民政府办公室关于印发达州市中心城区新建住宅小区配套建设社区综合服务设施实施办法的通知》（达市府办〔2018〕57号）精神，按照计容住宅建筑面积3‰的比例无偿配建一个社区综合服务设施。社区综合服务设施的建筑面积不计入项目容积率，其不动产权和使用权归地方政府。3.根据《达州市人民政府关于印发达州市“十四五”养老服务发展规划的通知》（达市府发〔2022〕17号）精神，按照每100户不低于30平方米的标准配建养老服务设施（不计入要求配建的社区公共服务用房面积）。在项目产权移交时，建设单位应将养老服务设施以及有关建设资料无偿移交至所在地县（市、区）民政部门，由民政部门履行监管职责，确保养老服务用途。</w:t>
      </w:r>
    </w:p>
    <w:p>
      <w:pPr>
        <w:numPr>
          <w:ilvl w:val="0"/>
          <w:numId w:val="0"/>
        </w:numPr>
        <w:spacing w:line="560" w:lineRule="exact"/>
        <w:ind w:firstLine="640" w:firstLineChars="200"/>
        <w:rPr>
          <w:rFonts w:hint="default" w:ascii="Times New Roman" w:hAnsi="Times New Roman" w:eastAsia="仿宋_GB2312" w:cs="Times New Roman"/>
          <w:kern w:val="2"/>
          <w:sz w:val="32"/>
          <w:szCs w:val="32"/>
          <w:lang w:val="en-US" w:eastAsia="zh-CN" w:bidi="ar-SA"/>
        </w:rPr>
      </w:pPr>
      <w:r>
        <w:rPr>
          <w:rFonts w:hint="eastAsia" w:ascii="仿宋" w:hAnsi="仿宋" w:eastAsia="仿宋" w:cs="Times New Roman"/>
          <w:color w:val="auto"/>
          <w:sz w:val="32"/>
          <w:szCs w:val="32"/>
          <w:lang w:val="en-US" w:eastAsia="zh-CN"/>
        </w:rPr>
        <w:t>（八）</w:t>
      </w:r>
      <w:r>
        <w:rPr>
          <w:rFonts w:hint="eastAsia" w:ascii="Times New Roman" w:hAnsi="Times New Roman" w:eastAsia="仿宋_GB2312" w:cs="Times New Roman"/>
          <w:kern w:val="2"/>
          <w:sz w:val="32"/>
          <w:szCs w:val="32"/>
          <w:lang w:val="en-US" w:eastAsia="zh-CN" w:bidi="ar-SA"/>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将生产、生活污水接入市政管网排放。地块内建筑间距、退用地界线距离、停车泊位等应满足《城市居住区规划设计标准》（GB50180-2018）、《四川省住宅设计标准》（DBJ51/168-2021）、《达州市国土空间规划管理技术规定》（2021版）、《达州市马踏洞外围片区控制性详细规划》等规范及文件的相关规定。</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ascii="仿宋" w:hAnsi="仿宋" w:eastAsia="仿宋" w:cs="Times New Roman"/>
          <w:color w:val="auto"/>
          <w:sz w:val="32"/>
          <w:szCs w:val="32"/>
          <w:lang w:val="en-US" w:eastAsia="zh-CN"/>
        </w:rPr>
        <w:t>（九）</w:t>
      </w:r>
      <w:r>
        <w:rPr>
          <w:rFonts w:hint="eastAsia" w:eastAsia="仿宋_GB2312"/>
          <w:sz w:val="32"/>
          <w:szCs w:val="32"/>
          <w:lang w:val="en-US" w:eastAsia="zh-CN"/>
        </w:rPr>
        <w:t>土地竞得人须严格按照</w:t>
      </w:r>
      <w:r>
        <w:rPr>
          <w:rFonts w:hint="eastAsia" w:ascii="仿宋" w:hAnsi="仿宋" w:eastAsia="仿宋" w:cs="Times New Roman"/>
          <w:color w:val="auto"/>
          <w:sz w:val="32"/>
          <w:szCs w:val="32"/>
          <w:lang w:val="en-US" w:eastAsia="zh-CN"/>
        </w:rPr>
        <w:t>达州市马踏洞外围片区C7-04</w:t>
      </w:r>
      <w:r>
        <w:rPr>
          <w:rFonts w:hint="eastAsia" w:eastAsia="仿宋_GB2312"/>
          <w:sz w:val="32"/>
          <w:szCs w:val="32"/>
          <w:lang w:val="en-US" w:eastAsia="zh-CN"/>
        </w:rPr>
        <w:t>地块规划条件及要求进行开发建设；须严格按照地质灾害防治的相关要求，落实地质灾害防治措施；须严格按照生态环境保护的相关要求，开展环境影响评价，落实生态环境保护措施。</w:t>
      </w:r>
    </w:p>
    <w:p>
      <w:pPr>
        <w:spacing w:line="600" w:lineRule="exact"/>
        <w:ind w:firstLine="640" w:firstLineChars="200"/>
        <w:rPr>
          <w:rFonts w:hint="eastAsia" w:ascii="仿宋" w:hAnsi="仿宋" w:eastAsia="仿宋" w:cs="Times New Roman"/>
          <w:color w:val="auto"/>
          <w:sz w:val="32"/>
          <w:szCs w:val="32"/>
          <w:lang w:val="en-US" w:eastAsia="zh-CN"/>
        </w:rPr>
      </w:pPr>
      <w:r>
        <w:rPr>
          <w:rFonts w:hint="eastAsia" w:eastAsia="仿宋_GB2312"/>
          <w:sz w:val="32"/>
          <w:szCs w:val="32"/>
          <w:lang w:eastAsia="zh-CN"/>
        </w:rPr>
        <w:t>（</w:t>
      </w:r>
      <w:r>
        <w:rPr>
          <w:rFonts w:hint="eastAsia" w:eastAsia="仿宋_GB2312"/>
          <w:sz w:val="32"/>
          <w:szCs w:val="32"/>
          <w:lang w:val="en-US" w:eastAsia="zh-CN"/>
        </w:rPr>
        <w:t>十</w:t>
      </w:r>
      <w:r>
        <w:rPr>
          <w:rFonts w:hint="eastAsia" w:eastAsia="仿宋_GB2312"/>
          <w:sz w:val="32"/>
          <w:szCs w:val="32"/>
          <w:lang w:eastAsia="zh-CN"/>
        </w:rPr>
        <w:t>）</w:t>
      </w:r>
      <w:r>
        <w:rPr>
          <w:rFonts w:eastAsia="仿宋_GB2312"/>
          <w:sz w:val="32"/>
          <w:szCs w:val="32"/>
        </w:rPr>
        <w:t>受让人须自交地之日起1年内开工，自开工之日起3年内建成；受让人不能按期开工，应提前30日向出让人提出延建申请，经出让人同意延建的，其项目竣工时间相应顺延，但延建期限不得超过1年</w:t>
      </w:r>
      <w:r>
        <w:rPr>
          <w:rFonts w:hint="default" w:ascii="仿宋" w:hAnsi="仿宋" w:eastAsia="仿宋" w:cs="Times New Roman"/>
          <w:color w:val="auto"/>
          <w:sz w:val="32"/>
          <w:szCs w:val="32"/>
          <w:lang w:val="en-US" w:eastAsia="zh-CN"/>
        </w:rPr>
        <w:t>。</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四、竞买资格及要求</w:t>
      </w:r>
    </w:p>
    <w:p>
      <w:pPr>
        <w:spacing w:line="600" w:lineRule="exact"/>
        <w:ind w:firstLine="640" w:firstLineChars="200"/>
        <w:rPr>
          <w:rFonts w:ascii="仿宋" w:hAnsi="仿宋" w:eastAsia="仿宋" w:cs="Times New Roman"/>
          <w:color w:val="auto"/>
          <w:sz w:val="32"/>
          <w:szCs w:val="32"/>
        </w:rPr>
      </w:pPr>
      <w:r>
        <w:rPr>
          <w:rFonts w:hint="eastAsia" w:ascii="仿宋" w:hAnsi="仿宋" w:eastAsia="仿宋" w:cs="Times New Roman"/>
          <w:color w:val="auto"/>
          <w:sz w:val="32"/>
          <w:szCs w:val="32"/>
        </w:rPr>
        <w:t>（一）</w:t>
      </w:r>
      <w:r>
        <w:rPr>
          <w:rFonts w:ascii="仿宋" w:hAnsi="仿宋" w:eastAsia="仿宋" w:cs="Times New Roman"/>
          <w:color w:val="auto"/>
          <w:sz w:val="32"/>
          <w:szCs w:val="32"/>
        </w:rPr>
        <w:t>竞买资格</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1.中华人民共和国境内外的法人、自然人和其他组织（除法律法规另有规定的外）均可申请参加，申请人可以单独申请，也可以联合申请。</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2.在达州市内有下列情形之一的，不得申请参与本次拍卖活动。</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①逾期不签成交确认书、土地出让合同的；</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②欠缴土地出让价款的；</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③因企业原因闲置土地一年以上，且尚未完成查处整改的单位和个人；</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④违反土地及城乡规划法律法规受到处罚，且尚未结案的单位和个人。</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（二）要求</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1.竞买申请人按照地块拍卖出让公告的日期及方式索取拍卖文件。申请人应认真审阅、全面准确地理解拍卖文件内容，对本次拍卖出让地块的文件有疑问的，可向出让人</w:t>
      </w:r>
      <w:r>
        <w:rPr>
          <w:rFonts w:hint="eastAsia" w:ascii="仿宋" w:hAnsi="仿宋" w:eastAsia="仿宋" w:cs="Times New Roman"/>
          <w:color w:val="auto"/>
          <w:sz w:val="32"/>
          <w:szCs w:val="32"/>
        </w:rPr>
        <w:t>咨询</w:t>
      </w:r>
      <w:r>
        <w:rPr>
          <w:rFonts w:ascii="仿宋" w:hAnsi="仿宋" w:eastAsia="仿宋" w:cs="Times New Roman"/>
          <w:color w:val="auto"/>
          <w:sz w:val="32"/>
          <w:szCs w:val="32"/>
        </w:rPr>
        <w:t>（咨询电话：</w:t>
      </w:r>
      <w:r>
        <w:rPr>
          <w:rFonts w:hint="eastAsia" w:ascii="仿宋" w:hAnsi="仿宋" w:eastAsia="仿宋" w:cs="Times New Roman"/>
          <w:color w:val="auto"/>
          <w:sz w:val="32"/>
          <w:szCs w:val="32"/>
        </w:rPr>
        <w:t xml:space="preserve"> 0818-3091098</w:t>
      </w:r>
      <w:r>
        <w:rPr>
          <w:rFonts w:ascii="仿宋" w:hAnsi="仿宋" w:eastAsia="仿宋" w:cs="Times New Roman"/>
          <w:color w:val="auto"/>
          <w:sz w:val="32"/>
          <w:szCs w:val="32"/>
        </w:rPr>
        <w:t>）。</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2.竞买申请人除须按规定交纳竞买保证金外，还须提供该竞买保证金不属于银行贷款、股东借款、转贷和募集资金的承诺书及商业金融机构的资信证明。</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五、申请和资格审查</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（一）拍卖文件取得</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竞买申请人可于2023年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日至2023年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日17:00，通过达州市公共资源交易服务网（</w:t>
      </w:r>
      <w:r>
        <w:rPr>
          <w:rFonts w:ascii="仿宋" w:hAnsi="仿宋" w:eastAsia="仿宋" w:cs="Times New Roman"/>
          <w:color w:val="auto"/>
          <w:sz w:val="32"/>
          <w:szCs w:val="32"/>
        </w:rPr>
        <w:fldChar w:fldCharType="begin"/>
      </w:r>
      <w:r>
        <w:rPr>
          <w:rFonts w:ascii="仿宋" w:hAnsi="仿宋" w:eastAsia="仿宋" w:cs="Times New Roman"/>
          <w:color w:val="auto"/>
          <w:sz w:val="32"/>
          <w:szCs w:val="32"/>
        </w:rPr>
        <w:instrText xml:space="preserve"> HYPERLINK "http://www.dzggzy.cn/" </w:instrText>
      </w:r>
      <w:r>
        <w:rPr>
          <w:rFonts w:ascii="仿宋" w:hAnsi="仿宋" w:eastAsia="仿宋" w:cs="Times New Roman"/>
          <w:color w:val="auto"/>
          <w:sz w:val="32"/>
          <w:szCs w:val="32"/>
        </w:rPr>
        <w:fldChar w:fldCharType="separate"/>
      </w:r>
      <w:r>
        <w:rPr>
          <w:rFonts w:ascii="仿宋" w:hAnsi="仿宋" w:eastAsia="仿宋" w:cs="Times New Roman"/>
          <w:color w:val="auto"/>
          <w:sz w:val="32"/>
          <w:szCs w:val="32"/>
        </w:rPr>
        <w:t>http://www.dzggzy.cn</w:t>
      </w:r>
      <w:r>
        <w:rPr>
          <w:rFonts w:ascii="仿宋" w:hAnsi="仿宋" w:eastAsia="仿宋" w:cs="Times New Roman"/>
          <w:color w:val="auto"/>
          <w:sz w:val="32"/>
          <w:szCs w:val="32"/>
        </w:rPr>
        <w:fldChar w:fldCharType="end"/>
      </w:r>
      <w:r>
        <w:rPr>
          <w:rFonts w:ascii="仿宋" w:hAnsi="仿宋" w:eastAsia="仿宋" w:cs="Times New Roman"/>
          <w:color w:val="auto"/>
          <w:sz w:val="32"/>
          <w:szCs w:val="32"/>
        </w:rPr>
        <w:t>）获取拍卖出让文件。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（二）提交申请文件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竞买申请人应于2023年</w:t>
      </w:r>
      <w:r>
        <w:rPr>
          <w:rFonts w:hint="eastAsia" w:ascii="仿宋" w:hAnsi="仿宋" w:eastAsia="仿宋" w:cs="Times New Roman"/>
          <w:color w:val="auto"/>
          <w:sz w:val="32"/>
          <w:szCs w:val="32"/>
        </w:rPr>
        <w:t>11</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23</w:t>
      </w:r>
      <w:r>
        <w:rPr>
          <w:rFonts w:ascii="仿宋" w:hAnsi="仿宋" w:eastAsia="仿宋" w:cs="Times New Roman"/>
          <w:color w:val="auto"/>
          <w:sz w:val="32"/>
          <w:szCs w:val="32"/>
        </w:rPr>
        <w:t>日至2023年</w:t>
      </w:r>
      <w:r>
        <w:rPr>
          <w:rFonts w:hint="eastAsia"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日17:00止，达州市公共资源交易服务网（</w:t>
      </w:r>
      <w:r>
        <w:rPr>
          <w:rFonts w:ascii="仿宋" w:hAnsi="仿宋" w:eastAsia="仿宋" w:cs="Times New Roman"/>
          <w:color w:val="auto"/>
          <w:sz w:val="32"/>
          <w:szCs w:val="32"/>
        </w:rPr>
        <w:fldChar w:fldCharType="begin"/>
      </w:r>
      <w:r>
        <w:rPr>
          <w:rFonts w:ascii="仿宋" w:hAnsi="仿宋" w:eastAsia="仿宋" w:cs="Times New Roman"/>
          <w:color w:val="auto"/>
          <w:sz w:val="32"/>
          <w:szCs w:val="32"/>
        </w:rPr>
        <w:instrText xml:space="preserve"> HYPERLINK "http://www.dzggzy.cn/" </w:instrText>
      </w:r>
      <w:r>
        <w:rPr>
          <w:rFonts w:ascii="仿宋" w:hAnsi="仿宋" w:eastAsia="仿宋" w:cs="Times New Roman"/>
          <w:color w:val="auto"/>
          <w:sz w:val="32"/>
          <w:szCs w:val="32"/>
        </w:rPr>
        <w:fldChar w:fldCharType="separate"/>
      </w:r>
      <w:r>
        <w:rPr>
          <w:rFonts w:ascii="仿宋" w:hAnsi="仿宋" w:eastAsia="仿宋" w:cs="Times New Roman"/>
          <w:color w:val="auto"/>
          <w:sz w:val="32"/>
          <w:szCs w:val="32"/>
        </w:rPr>
        <w:t>http://www.dzggzy.cn</w:t>
      </w:r>
      <w:r>
        <w:rPr>
          <w:rFonts w:ascii="仿宋" w:hAnsi="仿宋" w:eastAsia="仿宋" w:cs="Times New Roman"/>
          <w:color w:val="auto"/>
          <w:sz w:val="32"/>
          <w:szCs w:val="32"/>
        </w:rPr>
        <w:fldChar w:fldCharType="end"/>
      </w:r>
      <w:r>
        <w:rPr>
          <w:rFonts w:ascii="仿宋" w:hAnsi="仿宋" w:eastAsia="仿宋" w:cs="Times New Roman"/>
          <w:color w:val="auto"/>
          <w:sz w:val="32"/>
          <w:szCs w:val="32"/>
        </w:rPr>
        <w:t>）通过系统上传申请文件扫描件并提交申请。申请文件包括：</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1.法人申请的，应提交下列文件：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（1）竞买申请书；</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（2）保证金承诺书；</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（3）商业金融机构的资信证明；</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（4）法人单位有效证明文件；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（5）法定代表人的有效身份证明文件；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（6）申请人委托他人代为办理的，应提交授权委托书及委托代理人的有效身份证明文件；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（7）开户许可证或基本存款账户信息；</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（8）竞买保证金交纳凭证；</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（9）拍卖文件规定需要提交的其它文件。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2.自然人申请的，应提交下列文件：</w:t>
      </w:r>
    </w:p>
    <w:p>
      <w:pPr>
        <w:spacing w:line="60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（4）申请人有效身份证明文件；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（5）申请人委托他人代为办理的，应提交授权委托书及委托代理人的身份证明文件；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3.其他组织申请的，应提交下列文件：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（4）表明该组织合法存在的文件或有效证明；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（5）表明该组织负责人身份的有效证明文件；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（6）申请人委托他人办理的，应提交授权委托书及委托代理人的身份证明文件；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（9）拍卖文件规定需要提交的其它文件。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4.境外申请人申请的，应提交下列文件：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（1）竞买申请书；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（4）境外法人、自然人、其他组织的有效身份证明文件；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（5）申请人委托他人办理的，应提交授权委托书及委托代理人的有效身份证明文件；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上述文件中，申请书必须用中文书写，其他文件可以使用其他语言,但必须附中文译本，所有文件的解释以中文译本为准。</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5.联合申请的，应提交下列文件：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（1）联合申请各方共同签署的申请书；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（2）联合申请各方共同签署的保证金承诺书</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（3）联合体各方商业金融机构的资信证明；</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（4）联合各方的有效身份证明文件；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（6）申请人委托他人办理的，应提交授权委托书及委托代理人的有效身份证明文件；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（7）开户许可证或基本存款账户信息；</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（8）竞买保证金交纳凭证；</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（9）拍卖文件规定需要提交的其它文件。</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（三）资格审查</w:t>
      </w:r>
    </w:p>
    <w:p>
      <w:pPr>
        <w:spacing w:line="600" w:lineRule="exact"/>
        <w:ind w:firstLine="640" w:firstLineChars="200"/>
        <w:rPr>
          <w:rFonts w:ascii="仿宋" w:hAnsi="仿宋" w:eastAsia="仿宋"/>
          <w:color w:val="auto"/>
          <w:sz w:val="32"/>
          <w:szCs w:val="32"/>
        </w:rPr>
      </w:pPr>
      <w:r>
        <w:rPr>
          <w:rFonts w:ascii="仿宋" w:hAnsi="仿宋" w:eastAsia="仿宋"/>
          <w:color w:val="auto"/>
          <w:sz w:val="32"/>
          <w:szCs w:val="32"/>
        </w:rPr>
        <w:t>已提交申请的竞买申请人须在</w:t>
      </w:r>
      <w:r>
        <w:rPr>
          <w:rFonts w:ascii="仿宋" w:hAnsi="仿宋" w:eastAsia="仿宋"/>
          <w:b/>
          <w:color w:val="auto"/>
          <w:sz w:val="32"/>
          <w:szCs w:val="32"/>
        </w:rPr>
        <w:t>资格审查当日（</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日）9:00</w:t>
      </w:r>
      <w:r>
        <w:rPr>
          <w:rFonts w:ascii="仿宋" w:hAnsi="仿宋" w:eastAsia="仿宋"/>
          <w:color w:val="auto"/>
          <w:sz w:val="32"/>
          <w:szCs w:val="32"/>
        </w:rPr>
        <w:t>之前将竞买申请文件原件提交至4B-17，未按时提交原件的视为自行放弃竞买资格。</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达州市公共资源交易服务中心负责组织相关方进行资格审查。按规定时间提交申请和缴纳竞买保证金且通过资格审查的，方能取得竞买资格。经审查，有下列情形之一的，其申请无效：</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1.申请人不具备竞买资格的；</w:t>
      </w:r>
    </w:p>
    <w:p>
      <w:pPr>
        <w:pStyle w:val="29"/>
        <w:widowControl w:val="0"/>
        <w:spacing w:line="600" w:lineRule="exact"/>
        <w:ind w:left="0"/>
        <w:rPr>
          <w:rFonts w:ascii="仿宋" w:hAnsi="仿宋" w:eastAsia="仿宋"/>
          <w:color w:val="auto"/>
          <w:kern w:val="2"/>
          <w:sz w:val="32"/>
          <w:szCs w:val="32"/>
        </w:rPr>
      </w:pPr>
      <w:r>
        <w:rPr>
          <w:rFonts w:ascii="仿宋" w:hAnsi="仿宋" w:eastAsia="仿宋"/>
          <w:color w:val="auto"/>
          <w:kern w:val="2"/>
          <w:sz w:val="32"/>
          <w:szCs w:val="32"/>
        </w:rPr>
        <w:t xml:space="preserve">    2.未按规定交纳竞买保证金的；</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3.申请文件不齐全或不符合法律法规和出让文件规定的；</w:t>
      </w:r>
    </w:p>
    <w:p>
      <w:pPr>
        <w:pStyle w:val="29"/>
        <w:widowControl w:val="0"/>
        <w:spacing w:line="600" w:lineRule="exact"/>
        <w:ind w:left="0" w:firstLine="570"/>
        <w:rPr>
          <w:rFonts w:ascii="仿宋" w:hAnsi="仿宋" w:eastAsia="仿宋"/>
          <w:color w:val="auto"/>
          <w:kern w:val="2"/>
          <w:sz w:val="32"/>
          <w:szCs w:val="32"/>
        </w:rPr>
      </w:pPr>
      <w:r>
        <w:rPr>
          <w:rFonts w:ascii="仿宋" w:hAnsi="仿宋" w:eastAsia="仿宋"/>
          <w:color w:val="auto"/>
          <w:kern w:val="2"/>
          <w:sz w:val="32"/>
          <w:szCs w:val="32"/>
        </w:rPr>
        <w:t>4.委托他人代理，委托文件不齐全或不符合规定的；</w:t>
      </w:r>
    </w:p>
    <w:p>
      <w:pPr>
        <w:pStyle w:val="29"/>
        <w:widowControl w:val="0"/>
        <w:spacing w:line="600" w:lineRule="exact"/>
        <w:ind w:left="0" w:firstLine="585"/>
        <w:rPr>
          <w:rFonts w:ascii="仿宋" w:hAnsi="仿宋" w:eastAsia="仿宋"/>
          <w:color w:val="auto"/>
          <w:kern w:val="2"/>
          <w:sz w:val="32"/>
          <w:szCs w:val="32"/>
        </w:rPr>
      </w:pPr>
      <w:r>
        <w:rPr>
          <w:rFonts w:ascii="仿宋" w:hAnsi="仿宋" w:eastAsia="仿宋"/>
          <w:color w:val="auto"/>
          <w:kern w:val="2"/>
          <w:sz w:val="32"/>
          <w:szCs w:val="32"/>
        </w:rPr>
        <w:t>5.法律法规规定的其他情形。</w:t>
      </w:r>
    </w:p>
    <w:p>
      <w:pPr>
        <w:pStyle w:val="29"/>
        <w:widowControl w:val="0"/>
        <w:spacing w:line="600" w:lineRule="exact"/>
        <w:ind w:left="0" w:firstLine="640" w:firstLineChars="200"/>
        <w:rPr>
          <w:rFonts w:ascii="仿宋" w:hAnsi="仿宋" w:eastAsia="仿宋"/>
          <w:color w:val="auto"/>
          <w:kern w:val="2"/>
          <w:sz w:val="32"/>
          <w:szCs w:val="32"/>
        </w:rPr>
      </w:pPr>
      <w:r>
        <w:rPr>
          <w:rFonts w:ascii="仿宋" w:hAnsi="仿宋" w:eastAsia="仿宋"/>
          <w:color w:val="auto"/>
          <w:kern w:val="2"/>
          <w:sz w:val="32"/>
          <w:szCs w:val="32"/>
        </w:rPr>
        <w:t>（四）确认竞买人资格</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取得竞买资格的竞买申请人，请在</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日1</w:t>
      </w:r>
      <w:r>
        <w:rPr>
          <w:rFonts w:hint="eastAsia" w:ascii="仿宋" w:hAnsi="仿宋" w:eastAsia="仿宋"/>
          <w:b/>
          <w:color w:val="auto"/>
          <w:sz w:val="32"/>
          <w:szCs w:val="32"/>
          <w:u w:val="single"/>
        </w:rPr>
        <w:t>0</w:t>
      </w:r>
      <w:r>
        <w:rPr>
          <w:rFonts w:ascii="仿宋" w:hAnsi="仿宋" w:eastAsia="仿宋"/>
          <w:b/>
          <w:color w:val="auto"/>
          <w:sz w:val="32"/>
          <w:szCs w:val="32"/>
          <w:u w:val="single"/>
        </w:rPr>
        <w:t>：</w:t>
      </w:r>
      <w:r>
        <w:rPr>
          <w:rFonts w:hint="eastAsia" w:ascii="仿宋" w:hAnsi="仿宋" w:eastAsia="仿宋"/>
          <w:b/>
          <w:color w:val="auto"/>
          <w:sz w:val="32"/>
          <w:szCs w:val="32"/>
          <w:u w:val="single"/>
        </w:rPr>
        <w:t>0</w:t>
      </w:r>
      <w:r>
        <w:rPr>
          <w:rFonts w:ascii="仿宋" w:hAnsi="仿宋" w:eastAsia="仿宋"/>
          <w:b/>
          <w:color w:val="auto"/>
          <w:sz w:val="32"/>
          <w:szCs w:val="32"/>
          <w:u w:val="single"/>
        </w:rPr>
        <w:t>0前</w:t>
      </w:r>
      <w:r>
        <w:rPr>
          <w:rFonts w:ascii="仿宋" w:hAnsi="仿宋" w:eastAsia="仿宋"/>
          <w:color w:val="auto"/>
          <w:sz w:val="32"/>
          <w:szCs w:val="32"/>
        </w:rPr>
        <w:t>自行登录达州市公共资源交易服务平台打印竞买资格确认书并带到拍卖现场（打印时间可能因资格审查而延迟）。</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（五）答疑及现场踏勘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竞买申请人取得拍卖出让文件后，应全面仔细阅读其内容并现场踏勘所需竞买的宗地。</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竞买申请人对拍卖出让文件有疑问的，须在提交竞买申请书之前以书面方式向达州市公共资源交易服务</w:t>
      </w:r>
      <w:r>
        <w:rPr>
          <w:rFonts w:hint="eastAsia" w:ascii="仿宋" w:hAnsi="仿宋" w:eastAsia="仿宋"/>
          <w:color w:val="auto"/>
          <w:sz w:val="32"/>
          <w:szCs w:val="32"/>
        </w:rPr>
        <w:t>中心</w:t>
      </w:r>
      <w:r>
        <w:rPr>
          <w:rFonts w:ascii="仿宋" w:hAnsi="仿宋" w:eastAsia="仿宋"/>
          <w:color w:val="auto"/>
          <w:sz w:val="32"/>
          <w:szCs w:val="32"/>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六、本次出让宗地拍卖会时间、地点及拍卖的起叫价、增价幅度</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本次拍卖会地点为：达州市公共资源交易中心开标二厅举行。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本次拍卖会时间为：</w:t>
      </w:r>
      <w:r>
        <w:rPr>
          <w:rFonts w:ascii="仿宋" w:hAnsi="仿宋" w:eastAsia="仿宋"/>
          <w:b/>
          <w:color w:val="auto"/>
          <w:sz w:val="32"/>
          <w:szCs w:val="32"/>
          <w:u w:val="single"/>
        </w:rPr>
        <w:t>2023年</w:t>
      </w:r>
      <w:r>
        <w:rPr>
          <w:rFonts w:hint="eastAsia" w:ascii="仿宋" w:hAnsi="仿宋" w:eastAsia="仿宋"/>
          <w:b/>
          <w:color w:val="auto"/>
          <w:sz w:val="32"/>
          <w:szCs w:val="32"/>
          <w:u w:val="single"/>
        </w:rPr>
        <w:t>1</w:t>
      </w:r>
      <w:r>
        <w:rPr>
          <w:rFonts w:hint="eastAsia" w:ascii="仿宋" w:hAnsi="仿宋" w:eastAsia="仿宋"/>
          <w:b/>
          <w:color w:val="auto"/>
          <w:sz w:val="32"/>
          <w:szCs w:val="32"/>
          <w:u w:val="single"/>
          <w:lang w:val="en-US" w:eastAsia="zh-CN"/>
        </w:rPr>
        <w:t>2</w:t>
      </w:r>
      <w:r>
        <w:rPr>
          <w:rFonts w:ascii="仿宋" w:hAnsi="仿宋" w:eastAsia="仿宋"/>
          <w:b/>
          <w:color w:val="auto"/>
          <w:sz w:val="32"/>
          <w:szCs w:val="32"/>
          <w:u w:val="single"/>
        </w:rPr>
        <w:t>月</w:t>
      </w:r>
      <w:r>
        <w:rPr>
          <w:rFonts w:hint="eastAsia" w:ascii="仿宋" w:hAnsi="仿宋" w:eastAsia="仿宋"/>
          <w:b/>
          <w:color w:val="auto"/>
          <w:sz w:val="32"/>
          <w:szCs w:val="32"/>
          <w:u w:val="single"/>
          <w:lang w:val="en-US" w:eastAsia="zh-CN"/>
        </w:rPr>
        <w:t>13</w:t>
      </w:r>
      <w:r>
        <w:rPr>
          <w:rFonts w:ascii="仿宋" w:hAnsi="仿宋" w:eastAsia="仿宋"/>
          <w:b/>
          <w:color w:val="auto"/>
          <w:sz w:val="32"/>
          <w:szCs w:val="32"/>
          <w:u w:val="single"/>
        </w:rPr>
        <w:t>日上午</w:t>
      </w:r>
      <w:r>
        <w:rPr>
          <w:rFonts w:hint="eastAsia" w:ascii="仿宋" w:hAnsi="仿宋" w:eastAsia="仿宋"/>
          <w:b/>
          <w:color w:val="auto"/>
          <w:sz w:val="32"/>
          <w:szCs w:val="32"/>
          <w:u w:val="single"/>
        </w:rPr>
        <w:t>10</w:t>
      </w:r>
      <w:r>
        <w:rPr>
          <w:rFonts w:ascii="仿宋" w:hAnsi="仿宋" w:eastAsia="仿宋"/>
          <w:b/>
          <w:color w:val="auto"/>
          <w:sz w:val="32"/>
          <w:szCs w:val="32"/>
          <w:u w:val="single"/>
        </w:rPr>
        <w:t>：</w:t>
      </w:r>
      <w:r>
        <w:rPr>
          <w:rFonts w:hint="eastAsia" w:ascii="仿宋" w:hAnsi="仿宋" w:eastAsia="仿宋"/>
          <w:b/>
          <w:color w:val="auto"/>
          <w:sz w:val="32"/>
          <w:szCs w:val="32"/>
          <w:u w:val="single"/>
        </w:rPr>
        <w:t>0</w:t>
      </w:r>
      <w:r>
        <w:rPr>
          <w:rFonts w:ascii="仿宋" w:hAnsi="仿宋" w:eastAsia="仿宋"/>
          <w:b/>
          <w:color w:val="auto"/>
          <w:sz w:val="32"/>
          <w:szCs w:val="32"/>
          <w:u w:val="single"/>
        </w:rPr>
        <w:t>0</w:t>
      </w:r>
      <w:r>
        <w:rPr>
          <w:rFonts w:ascii="仿宋" w:hAnsi="仿宋" w:eastAsia="仿宋"/>
          <w:color w:val="auto"/>
          <w:sz w:val="32"/>
          <w:szCs w:val="32"/>
        </w:rPr>
        <w:t>（拍卖会时间可能因资格审查而延迟）。</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本次拍卖起叫价</w:t>
      </w:r>
      <w:r>
        <w:rPr>
          <w:rFonts w:hint="eastAsia" w:ascii="仿宋" w:hAnsi="仿宋" w:eastAsia="仿宋"/>
          <w:color w:val="auto"/>
          <w:sz w:val="32"/>
          <w:szCs w:val="32"/>
          <w:lang w:val="en-US" w:eastAsia="zh-CN"/>
        </w:rPr>
        <w:t>213</w:t>
      </w:r>
      <w:r>
        <w:rPr>
          <w:rFonts w:ascii="仿宋" w:hAnsi="仿宋" w:eastAsia="仿宋"/>
          <w:color w:val="auto"/>
          <w:sz w:val="32"/>
          <w:szCs w:val="32"/>
        </w:rPr>
        <w:t>万元/亩</w:t>
      </w:r>
      <w:r>
        <w:rPr>
          <w:rFonts w:hint="eastAsia" w:ascii="仿宋" w:hAnsi="仿宋" w:eastAsia="仿宋"/>
          <w:color w:val="auto"/>
          <w:sz w:val="32"/>
          <w:szCs w:val="32"/>
        </w:rPr>
        <w:t>，</w:t>
      </w:r>
      <w:r>
        <w:rPr>
          <w:rFonts w:ascii="仿宋" w:hAnsi="仿宋" w:eastAsia="仿宋"/>
          <w:color w:val="auto"/>
          <w:sz w:val="32"/>
          <w:szCs w:val="32"/>
        </w:rPr>
        <w:t>增价幅度为</w:t>
      </w:r>
      <w:r>
        <w:rPr>
          <w:rFonts w:hint="eastAsia" w:ascii="仿宋" w:hAnsi="仿宋" w:eastAsia="仿宋"/>
          <w:color w:val="auto"/>
          <w:sz w:val="32"/>
          <w:szCs w:val="32"/>
          <w:u w:val="single"/>
          <w:lang w:val="en-US" w:eastAsia="zh-CN"/>
        </w:rPr>
        <w:t>5</w:t>
      </w:r>
      <w:r>
        <w:rPr>
          <w:rFonts w:ascii="仿宋" w:hAnsi="仿宋" w:eastAsia="仿宋"/>
          <w:color w:val="auto"/>
          <w:sz w:val="32"/>
          <w:szCs w:val="32"/>
        </w:rPr>
        <w:t>万元/亩或</w:t>
      </w:r>
      <w:r>
        <w:rPr>
          <w:rFonts w:hint="eastAsia" w:ascii="仿宋" w:hAnsi="仿宋" w:eastAsia="仿宋"/>
          <w:color w:val="auto"/>
          <w:sz w:val="32"/>
          <w:szCs w:val="32"/>
          <w:u w:val="single"/>
          <w:lang w:val="en-US" w:eastAsia="zh-CN"/>
        </w:rPr>
        <w:t>5</w:t>
      </w:r>
      <w:r>
        <w:rPr>
          <w:rFonts w:ascii="仿宋" w:hAnsi="仿宋" w:eastAsia="仿宋"/>
          <w:color w:val="auto"/>
          <w:sz w:val="32"/>
          <w:szCs w:val="32"/>
        </w:rPr>
        <w:t>万元/亩的整倍数。成交总地价=拍卖成交最高亩价×出让面积</w:t>
      </w:r>
      <w:r>
        <w:rPr>
          <w:rFonts w:hint="default" w:ascii="仿宋" w:hAnsi="仿宋" w:eastAsia="仿宋"/>
          <w:color w:val="auto"/>
          <w:sz w:val="32"/>
          <w:szCs w:val="32"/>
        </w:rPr>
        <w:t xml:space="preserve">47.26 </w:t>
      </w:r>
      <w:r>
        <w:rPr>
          <w:rFonts w:ascii="仿宋" w:hAnsi="仿宋" w:eastAsia="仿宋"/>
          <w:color w:val="auto"/>
          <w:sz w:val="32"/>
          <w:szCs w:val="32"/>
        </w:rPr>
        <w:t>亩。</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七、拍卖程序</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（一）拍卖会程序</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1.拍卖主持人亮证并宣布拍卖会开始；</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2.拍卖主持人邀请公证员及记录员就位，并介绍相关人员；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3.拍卖主持人清点竞买人到场情况并按次序入座；</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4.公证员核实竞买人身份和举牌人身份；</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5.设有底价的，公证员检查并展示底价密封情况后，交予拍卖主持人；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6.拍卖主持人介绍拍卖地块的位置、面积、用途、使用年限、规划指标要求、建设时间等；</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8.拍卖主持人逐一询问竞买人是否听清、是否明白；</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9.拍卖主持人报出起叫价，宣布竞价开始；</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10.竞买人举牌应价或者报价；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11.拍卖主持人确认该竞买人应价或者报价后继续竞价；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12.拍卖主持人连续三次宣布同一应价或报价而没有人再应价或报价，拍卖主持人宣布竞价结束（每次的时间间隔不得短于规定时间）；</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13.</w:t>
      </w:r>
      <w:r>
        <w:rPr>
          <w:rFonts w:hint="eastAsia" w:eastAsia="仿宋"/>
          <w:color w:val="auto"/>
          <w:sz w:val="32"/>
          <w:szCs w:val="32"/>
        </w:rPr>
        <w:t>最</w:t>
      </w:r>
      <w:r>
        <w:rPr>
          <w:rFonts w:hint="eastAsia" w:ascii="仿宋" w:hAnsi="仿宋" w:eastAsia="仿宋"/>
          <w:color w:val="auto"/>
          <w:sz w:val="32"/>
          <w:szCs w:val="32"/>
        </w:rPr>
        <w:t>后报价最高者为竞得人</w:t>
      </w:r>
      <w:r>
        <w:rPr>
          <w:rFonts w:ascii="仿宋" w:hAnsi="仿宋" w:eastAsia="仿宋"/>
          <w:color w:val="auto"/>
          <w:sz w:val="32"/>
          <w:szCs w:val="32"/>
        </w:rPr>
        <w:t>，拍卖主持人落槌表示拍卖成交，成交结果对竞得人和出让人均具有法律效力；</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14.公证员现场致公证词；</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15.拍卖主持人主持达州市公共资源交易服务</w:t>
      </w:r>
      <w:r>
        <w:rPr>
          <w:rFonts w:hint="eastAsia" w:ascii="仿宋" w:hAnsi="仿宋" w:eastAsia="仿宋"/>
          <w:color w:val="auto"/>
          <w:sz w:val="32"/>
          <w:szCs w:val="32"/>
        </w:rPr>
        <w:t>中心</w:t>
      </w:r>
      <w:r>
        <w:rPr>
          <w:rFonts w:ascii="仿宋" w:hAnsi="仿宋" w:eastAsia="仿宋"/>
          <w:color w:val="auto"/>
          <w:sz w:val="32"/>
          <w:szCs w:val="32"/>
        </w:rPr>
        <w:t>与竞得人在现场签</w:t>
      </w:r>
      <w:r>
        <w:rPr>
          <w:rFonts w:hint="eastAsia" w:ascii="仿宋" w:hAnsi="仿宋" w:eastAsia="仿宋"/>
          <w:color w:val="auto"/>
          <w:sz w:val="32"/>
          <w:szCs w:val="32"/>
        </w:rPr>
        <w:t>定</w:t>
      </w:r>
      <w:r>
        <w:rPr>
          <w:rFonts w:ascii="仿宋" w:hAnsi="仿宋" w:eastAsia="仿宋"/>
          <w:color w:val="auto"/>
          <w:sz w:val="32"/>
          <w:szCs w:val="32"/>
        </w:rPr>
        <w:t>《成交确认书》。</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（二）竞得人不按规定现场签</w:t>
      </w:r>
      <w:r>
        <w:rPr>
          <w:rFonts w:hint="eastAsia" w:ascii="仿宋" w:hAnsi="仿宋" w:eastAsia="仿宋"/>
          <w:color w:val="auto"/>
          <w:sz w:val="32"/>
          <w:szCs w:val="32"/>
        </w:rPr>
        <w:t>定</w:t>
      </w:r>
      <w:r>
        <w:rPr>
          <w:rFonts w:ascii="仿宋" w:hAnsi="仿宋" w:eastAsia="仿宋"/>
          <w:color w:val="auto"/>
          <w:sz w:val="32"/>
          <w:szCs w:val="32"/>
        </w:rPr>
        <w:t>《成交确认书》的，须承担缔约过失的法律责任，保证金转作违约金不予退还。竞得人拒绝签</w:t>
      </w:r>
      <w:r>
        <w:rPr>
          <w:rFonts w:hint="eastAsia" w:ascii="仿宋" w:hAnsi="仿宋" w:eastAsia="仿宋"/>
          <w:color w:val="auto"/>
          <w:sz w:val="32"/>
          <w:szCs w:val="32"/>
        </w:rPr>
        <w:t>定</w:t>
      </w:r>
      <w:r>
        <w:rPr>
          <w:rFonts w:ascii="仿宋" w:hAnsi="仿宋" w:eastAsia="仿宋"/>
          <w:color w:val="auto"/>
          <w:sz w:val="32"/>
          <w:szCs w:val="32"/>
        </w:rPr>
        <w:t>《成交确认书》不能对抗拍卖成交结果的法律效力。</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（三）出让人与竞得人依据《成交确认书》的约定签订《国有建设用地使用权出让合同》。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（四）出让结果公布：</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八、竞价规则</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（一）本次拍卖采用增价拍卖方式，按价高者得的原则确定竞得人（高于或等于</w:t>
      </w:r>
      <w:r>
        <w:rPr>
          <w:rFonts w:hint="eastAsia" w:ascii="仿宋" w:hAnsi="仿宋" w:eastAsia="仿宋"/>
          <w:color w:val="auto"/>
          <w:sz w:val="32"/>
          <w:szCs w:val="32"/>
        </w:rPr>
        <w:t>起叫价</w:t>
      </w:r>
      <w:r>
        <w:rPr>
          <w:rFonts w:ascii="仿宋" w:hAnsi="仿宋" w:eastAsia="仿宋"/>
          <w:color w:val="auto"/>
          <w:sz w:val="32"/>
          <w:szCs w:val="32"/>
        </w:rPr>
        <w:t>的基础上）。</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（二）凡参加拍卖的竞买人竞买申请一经</w:t>
      </w:r>
      <w:r>
        <w:rPr>
          <w:rFonts w:hint="eastAsia" w:ascii="仿宋" w:hAnsi="仿宋" w:eastAsia="仿宋"/>
          <w:color w:val="auto"/>
          <w:sz w:val="32"/>
          <w:szCs w:val="32"/>
        </w:rPr>
        <w:t>提交</w:t>
      </w:r>
      <w:r>
        <w:rPr>
          <w:rFonts w:ascii="仿宋" w:hAnsi="仿宋" w:eastAsia="仿宋"/>
          <w:color w:val="auto"/>
          <w:sz w:val="32"/>
          <w:szCs w:val="32"/>
        </w:rPr>
        <w:t>后，即视为承认起叫价。</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（四）若设有政府底价，最后应价未达到底价时，拍卖主持人终止本次拍卖活动，拍卖不成交。</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九、注意事项</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（一）特别提醒：资格审查当日，资格审查结束后即进行拍卖活动，通过资格审查的竞买申请人须做好相关准备。</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（二）竞买申请一经提交后，即视为竞买人对出让文件内容及宗地现状无异议并全面接受，愿意在遵照出让文件内容及认可宗地现状的基础上参与竞买并承担因竞买行为产生的任何法律经济后果。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（四）确定竞得人后，竞得人须在拍卖现场与达州市公共资源交易服务</w:t>
      </w:r>
      <w:r>
        <w:rPr>
          <w:rFonts w:hint="eastAsia" w:ascii="仿宋" w:hAnsi="仿宋" w:eastAsia="仿宋"/>
          <w:color w:val="auto"/>
          <w:sz w:val="32"/>
          <w:szCs w:val="32"/>
        </w:rPr>
        <w:t>中心</w:t>
      </w:r>
      <w:r>
        <w:rPr>
          <w:rFonts w:ascii="仿宋" w:hAnsi="仿宋" w:eastAsia="仿宋"/>
          <w:color w:val="auto"/>
          <w:sz w:val="32"/>
          <w:szCs w:val="32"/>
        </w:rPr>
        <w:t>签</w:t>
      </w:r>
      <w:r>
        <w:rPr>
          <w:rFonts w:hint="eastAsia" w:ascii="仿宋" w:hAnsi="仿宋" w:eastAsia="仿宋"/>
          <w:color w:val="auto"/>
          <w:sz w:val="32"/>
          <w:szCs w:val="32"/>
        </w:rPr>
        <w:t>定</w:t>
      </w:r>
      <w:r>
        <w:rPr>
          <w:rFonts w:ascii="仿宋" w:hAnsi="仿宋" w:eastAsia="仿宋"/>
          <w:color w:val="auto"/>
          <w:sz w:val="32"/>
          <w:szCs w:val="32"/>
        </w:rPr>
        <w:t>《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（五）竞得人交纳的竞买保证金，在拍卖结束签</w:t>
      </w:r>
      <w:r>
        <w:rPr>
          <w:rFonts w:hint="eastAsia" w:ascii="仿宋" w:hAnsi="仿宋" w:eastAsia="仿宋"/>
          <w:color w:val="auto"/>
          <w:sz w:val="32"/>
          <w:szCs w:val="32"/>
        </w:rPr>
        <w:t>定</w:t>
      </w:r>
      <w:r>
        <w:rPr>
          <w:rFonts w:ascii="仿宋" w:hAnsi="仿宋" w:eastAsia="仿宋"/>
          <w:color w:val="auto"/>
          <w:sz w:val="32"/>
          <w:szCs w:val="32"/>
        </w:rPr>
        <w:t>《成交确认书》后，</w:t>
      </w:r>
      <w:r>
        <w:rPr>
          <w:rFonts w:hint="eastAsia" w:ascii="仿宋" w:hAnsi="仿宋" w:eastAsia="仿宋"/>
          <w:color w:val="auto"/>
          <w:sz w:val="32"/>
          <w:szCs w:val="32"/>
        </w:rPr>
        <w:t>于支付土地出让价款时可抵作土地出让价款</w:t>
      </w:r>
      <w:r>
        <w:rPr>
          <w:rFonts w:ascii="仿宋" w:hAnsi="仿宋" w:eastAsia="仿宋"/>
          <w:color w:val="auto"/>
          <w:sz w:val="32"/>
          <w:szCs w:val="32"/>
        </w:rPr>
        <w:t>。未竞得人交纳的竞买保证金，将在拍卖活动结束后 5 个工作日内予以退还，且不计利息。</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（六）有下列情形之一的，达州市公共资源交易服务</w:t>
      </w:r>
      <w:r>
        <w:rPr>
          <w:rFonts w:hint="eastAsia" w:ascii="仿宋" w:hAnsi="仿宋" w:eastAsia="仿宋"/>
          <w:color w:val="auto"/>
          <w:sz w:val="32"/>
          <w:szCs w:val="32"/>
        </w:rPr>
        <w:t>中心</w:t>
      </w:r>
      <w:r>
        <w:rPr>
          <w:rFonts w:ascii="仿宋" w:hAnsi="仿宋" w:eastAsia="仿宋"/>
          <w:color w:val="auto"/>
          <w:sz w:val="32"/>
          <w:szCs w:val="32"/>
        </w:rPr>
        <w:t>应当在拍卖会前终止拍卖活动，并通知竞买人：</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1.竞买人串通损害国家利益、社会利益或他人合法权益的；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2.拍卖工作人员私下接触竞买人，足以影响拍卖公正性的；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3.应当依法终止拍卖活动的其他情形。</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（七）竞得人有下列行为之一的，视为违约，出让人可取消其竞得人资格，竞买保证金、定金不予退还：</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1.竞得人逾期或拒绝在现场签</w:t>
      </w:r>
      <w:r>
        <w:rPr>
          <w:rFonts w:hint="eastAsia" w:ascii="仿宋" w:hAnsi="仿宋" w:eastAsia="仿宋"/>
          <w:color w:val="auto"/>
          <w:sz w:val="32"/>
          <w:szCs w:val="32"/>
        </w:rPr>
        <w:t>定</w:t>
      </w:r>
      <w:r>
        <w:rPr>
          <w:rFonts w:ascii="仿宋" w:hAnsi="仿宋" w:eastAsia="仿宋"/>
          <w:color w:val="auto"/>
          <w:sz w:val="32"/>
          <w:szCs w:val="32"/>
        </w:rPr>
        <w:t>《成交确认书》的；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2.竞得人逾期或拒绝签订《国有建设用地使用权出让合同》的；</w:t>
      </w:r>
    </w:p>
    <w:p>
      <w:pPr>
        <w:snapToGrid w:val="0"/>
        <w:spacing w:line="600" w:lineRule="exact"/>
        <w:ind w:firstLine="555"/>
        <w:rPr>
          <w:rFonts w:ascii="仿宋" w:hAnsi="仿宋" w:eastAsia="仿宋"/>
          <w:color w:val="auto"/>
          <w:sz w:val="32"/>
          <w:szCs w:val="32"/>
        </w:rPr>
      </w:pPr>
      <w:r>
        <w:rPr>
          <w:rFonts w:ascii="仿宋" w:hAnsi="仿宋" w:eastAsia="仿宋"/>
          <w:color w:val="auto"/>
          <w:sz w:val="32"/>
          <w:szCs w:val="32"/>
        </w:rPr>
        <w:t>3.竞得人逾期支付交易服务费的</w:t>
      </w:r>
      <w:r>
        <w:rPr>
          <w:rFonts w:hint="eastAsia" w:ascii="仿宋" w:hAnsi="仿宋" w:eastAsia="仿宋"/>
          <w:color w:val="auto"/>
          <w:sz w:val="32"/>
          <w:szCs w:val="32"/>
        </w:rPr>
        <w:t>。</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（八）拍卖成交价即为该幅地块的总地价款，不含交易服务费以及按照法律法规规定应支付的相关税费。竞得人签</w:t>
      </w:r>
      <w:r>
        <w:rPr>
          <w:rFonts w:hint="eastAsia" w:ascii="仿宋" w:hAnsi="仿宋" w:eastAsia="仿宋"/>
          <w:color w:val="auto"/>
          <w:sz w:val="32"/>
          <w:szCs w:val="32"/>
        </w:rPr>
        <w:t>定</w:t>
      </w:r>
      <w:r>
        <w:rPr>
          <w:rFonts w:ascii="仿宋" w:hAnsi="仿宋" w:eastAsia="仿宋"/>
          <w:color w:val="auto"/>
          <w:sz w:val="32"/>
          <w:szCs w:val="32"/>
        </w:rPr>
        <w:t>《成交确认书》之日起8个工作日内须按相关标准向达州市公共资源交易服务中心支付交易服务费。也可由竞得人与按出让文件约定成立的新公司协商支付。</w:t>
      </w:r>
    </w:p>
    <w:p>
      <w:pPr>
        <w:spacing w:line="560" w:lineRule="exact"/>
        <w:ind w:firstLine="640" w:firstLineChars="200"/>
        <w:rPr>
          <w:rFonts w:ascii="仿宋" w:hAnsi="仿宋" w:eastAsia="仿宋"/>
          <w:color w:val="auto"/>
          <w:sz w:val="32"/>
          <w:szCs w:val="32"/>
        </w:rPr>
      </w:pPr>
      <w:r>
        <w:rPr>
          <w:rFonts w:hint="eastAsia" w:ascii="仿宋" w:hAnsi="仿宋" w:eastAsia="仿宋"/>
          <w:color w:val="auto"/>
          <w:sz w:val="32"/>
          <w:szCs w:val="32"/>
        </w:rPr>
        <w:t>（九）</w:t>
      </w:r>
      <w:r>
        <w:rPr>
          <w:rFonts w:ascii="仿宋" w:hAnsi="仿宋" w:eastAsia="仿宋"/>
          <w:color w:val="auto"/>
          <w:sz w:val="32"/>
          <w:szCs w:val="32"/>
        </w:rPr>
        <w:t>土地</w:t>
      </w:r>
      <w:r>
        <w:rPr>
          <w:rFonts w:hint="eastAsia" w:ascii="仿宋" w:hAnsi="仿宋" w:eastAsia="仿宋"/>
          <w:color w:val="auto"/>
          <w:sz w:val="32"/>
          <w:szCs w:val="32"/>
          <w:lang w:val="en-US" w:eastAsia="zh-CN"/>
        </w:rPr>
        <w:t>拍卖</w:t>
      </w:r>
      <w:r>
        <w:rPr>
          <w:rFonts w:ascii="仿宋" w:hAnsi="仿宋" w:eastAsia="仿宋"/>
          <w:color w:val="auto"/>
          <w:sz w:val="32"/>
          <w:szCs w:val="32"/>
        </w:rPr>
        <w:t>出让成交后须当场签订《成交确认书》，自成交之日起10个工作日内须签订《国有建设用地使用权出让合同》，在出让合同签订之日起1个月内登录四川省电子税务</w:t>
      </w:r>
      <w:r>
        <w:rPr>
          <w:rFonts w:hint="eastAsia" w:ascii="仿宋" w:hAnsi="仿宋" w:eastAsia="仿宋"/>
          <w:color w:val="auto"/>
          <w:sz w:val="32"/>
          <w:szCs w:val="32"/>
        </w:rPr>
        <w:t>局网站</w:t>
      </w:r>
      <w:r>
        <w:rPr>
          <w:rFonts w:ascii="仿宋" w:hAnsi="仿宋" w:eastAsia="仿宋"/>
          <w:color w:val="auto"/>
          <w:sz w:val="32"/>
          <w:szCs w:val="32"/>
        </w:rPr>
        <w:t>，申报并缴纳成交价总额50%的首付款，余款在出让合同签订之日起</w:t>
      </w:r>
      <w:r>
        <w:rPr>
          <w:rFonts w:hint="eastAsia" w:ascii="仿宋" w:hAnsi="仿宋" w:eastAsia="仿宋"/>
          <w:color w:val="auto"/>
          <w:sz w:val="32"/>
          <w:szCs w:val="32"/>
          <w:lang w:val="en-US" w:eastAsia="zh-CN"/>
        </w:rPr>
        <w:t>12</w:t>
      </w:r>
      <w:r>
        <w:rPr>
          <w:rFonts w:ascii="仿宋" w:hAnsi="仿宋" w:eastAsia="仿宋"/>
          <w:color w:val="auto"/>
          <w:sz w:val="32"/>
          <w:szCs w:val="32"/>
        </w:rPr>
        <w:t>个月内缴清（不计息）</w:t>
      </w:r>
      <w:r>
        <w:rPr>
          <w:rFonts w:hint="eastAsia" w:ascii="仿宋" w:hAnsi="仿宋" w:eastAsia="仿宋"/>
          <w:color w:val="auto"/>
          <w:sz w:val="32"/>
          <w:szCs w:val="32"/>
        </w:rPr>
        <w:t>。</w:t>
      </w:r>
    </w:p>
    <w:p>
      <w:pPr>
        <w:spacing w:line="560" w:lineRule="exact"/>
        <w:ind w:firstLine="640" w:firstLineChars="200"/>
        <w:rPr>
          <w:rFonts w:eastAsia="仿宋_GB2312"/>
          <w:sz w:val="32"/>
          <w:szCs w:val="32"/>
        </w:rPr>
      </w:pPr>
      <w:r>
        <w:rPr>
          <w:rFonts w:hint="eastAsia" w:ascii="仿宋" w:hAnsi="仿宋" w:eastAsia="仿宋"/>
          <w:color w:val="auto"/>
          <w:sz w:val="32"/>
          <w:szCs w:val="32"/>
        </w:rPr>
        <w:t>（十）土地交付条件及时间：</w:t>
      </w:r>
      <w:r>
        <w:rPr>
          <w:rFonts w:eastAsia="仿宋_GB2312"/>
          <w:sz w:val="32"/>
          <w:szCs w:val="32"/>
        </w:rPr>
        <w:t>土地竞得人在</w:t>
      </w:r>
      <w:r>
        <w:rPr>
          <w:rFonts w:hint="eastAsia" w:eastAsia="仿宋_GB2312"/>
          <w:sz w:val="32"/>
          <w:szCs w:val="32"/>
        </w:rPr>
        <w:t>缴清全部土地出让价款（含违约金）之日</w:t>
      </w:r>
      <w:r>
        <w:rPr>
          <w:rFonts w:eastAsia="仿宋_GB2312"/>
          <w:sz w:val="32"/>
          <w:szCs w:val="32"/>
        </w:rPr>
        <w:t>起5个工作日内以“净地”、按现状土地使用条件交付土地</w:t>
      </w:r>
      <w:r>
        <w:rPr>
          <w:rFonts w:hint="eastAsia" w:eastAsia="仿宋_GB2312"/>
          <w:sz w:val="32"/>
          <w:szCs w:val="32"/>
        </w:rPr>
        <w:t>，并同步办理不动产登记</w:t>
      </w:r>
      <w:r>
        <w:rPr>
          <w:rFonts w:hint="eastAsia" w:eastAsia="仿宋_GB2312"/>
          <w:sz w:val="32"/>
          <w:szCs w:val="32"/>
          <w:lang w:eastAsia="zh-CN"/>
        </w:rPr>
        <w:t>，符合或达到交地条件的，竞得人应及时接收土地，未接地的，交地时间以出让人发出的交地通知时间为准，因竞得人原因导致交地延迟产生的相关经济和法律责任一律由竞得人承担。</w:t>
      </w:r>
      <w:r>
        <w:rPr>
          <w:rFonts w:eastAsia="仿宋_GB2312"/>
          <w:sz w:val="32"/>
          <w:szCs w:val="32"/>
        </w:rPr>
        <w:t>宗地范围内的地下资源、埋藏物不属于国有建设用地使用权出让范围。</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一</w:t>
      </w:r>
      <w:r>
        <w:rPr>
          <w:rFonts w:ascii="仿宋" w:hAnsi="仿宋" w:eastAsia="仿宋"/>
          <w:color w:val="auto"/>
          <w:sz w:val="32"/>
          <w:szCs w:val="32"/>
        </w:rPr>
        <w:t>）对出让地块如涉及电力、通讯、光缆、输气管道等设施的，竞得人应按其管理部门避让等规定和要求办理。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二</w:t>
      </w:r>
      <w:r>
        <w:rPr>
          <w:rFonts w:ascii="仿宋" w:hAnsi="仿宋" w:eastAsia="仿宋"/>
          <w:color w:val="auto"/>
          <w:sz w:val="32"/>
          <w:szCs w:val="32"/>
        </w:rPr>
        <w:t>）拍卖不成交的或成交不签</w:t>
      </w:r>
      <w:r>
        <w:rPr>
          <w:rFonts w:hint="eastAsia" w:ascii="仿宋" w:hAnsi="仿宋" w:eastAsia="仿宋"/>
          <w:color w:val="auto"/>
          <w:sz w:val="32"/>
          <w:szCs w:val="32"/>
        </w:rPr>
        <w:t>定</w:t>
      </w:r>
      <w:r>
        <w:rPr>
          <w:rFonts w:ascii="仿宋" w:hAnsi="仿宋" w:eastAsia="仿宋"/>
          <w:color w:val="auto"/>
          <w:sz w:val="32"/>
          <w:szCs w:val="32"/>
        </w:rPr>
        <w:t>《成交确认书》的，由</w:t>
      </w:r>
      <w:r>
        <w:rPr>
          <w:rFonts w:ascii="仿宋" w:hAnsi="仿宋" w:eastAsia="仿宋"/>
          <w:color w:val="auto"/>
          <w:sz w:val="32"/>
          <w:szCs w:val="32"/>
          <w:u w:val="single"/>
        </w:rPr>
        <w:t>达州市公共资源交易服务中心</w:t>
      </w:r>
      <w:r>
        <w:rPr>
          <w:rFonts w:ascii="仿宋" w:hAnsi="仿宋" w:eastAsia="仿宋"/>
          <w:color w:val="auto"/>
          <w:sz w:val="32"/>
          <w:szCs w:val="32"/>
        </w:rPr>
        <w:t>在2个工作日内书面函告出让人。</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三</w:t>
      </w:r>
      <w:r>
        <w:rPr>
          <w:rFonts w:ascii="仿宋" w:hAnsi="仿宋" w:eastAsia="仿宋"/>
          <w:color w:val="auto"/>
          <w:sz w:val="32"/>
          <w:szCs w:val="32"/>
        </w:rPr>
        <w:t>）参加拍卖活动的人员，应遵守现场的纪律，服从管理人员的管理。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四</w:t>
      </w:r>
      <w:r>
        <w:rPr>
          <w:rFonts w:ascii="仿宋" w:hAnsi="仿宋" w:eastAsia="仿宋"/>
          <w:color w:val="auto"/>
          <w:sz w:val="32"/>
          <w:szCs w:val="32"/>
        </w:rPr>
        <w:t>）其他未尽事宜依照《招标拍卖挂牌出让国有土地使用权规范》办理。</w:t>
      </w:r>
    </w:p>
    <w:p>
      <w:pPr>
        <w:spacing w:line="560" w:lineRule="exact"/>
        <w:ind w:firstLine="640" w:firstLineChars="200"/>
        <w:rPr>
          <w:rFonts w:ascii="仿宋" w:hAnsi="仿宋" w:eastAsia="仿宋"/>
          <w:color w:val="auto"/>
          <w:sz w:val="32"/>
          <w:szCs w:val="32"/>
        </w:rPr>
      </w:pPr>
      <w:r>
        <w:rPr>
          <w:rFonts w:ascii="仿宋" w:hAnsi="仿宋" w:eastAsia="仿宋"/>
          <w:color w:val="auto"/>
          <w:sz w:val="32"/>
          <w:szCs w:val="32"/>
        </w:rPr>
        <w:t>（十</w:t>
      </w:r>
      <w:r>
        <w:rPr>
          <w:rFonts w:hint="eastAsia" w:ascii="仿宋" w:hAnsi="仿宋" w:eastAsia="仿宋"/>
          <w:color w:val="auto"/>
          <w:sz w:val="32"/>
          <w:szCs w:val="32"/>
        </w:rPr>
        <w:t>五</w:t>
      </w:r>
      <w:r>
        <w:rPr>
          <w:rFonts w:ascii="仿宋" w:hAnsi="仿宋" w:eastAsia="仿宋"/>
          <w:color w:val="auto"/>
          <w:sz w:val="32"/>
          <w:szCs w:val="32"/>
        </w:rPr>
        <w:t>）达州市自然资源和规划局、达州市公共资源交易服务中心对本《须知》有解释权。</w:t>
      </w: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pStyle w:val="2"/>
      </w:pPr>
    </w:p>
    <w:p>
      <w:pPr>
        <w:spacing w:line="560" w:lineRule="exact"/>
        <w:ind w:firstLine="640" w:firstLineChars="200"/>
        <w:rPr>
          <w:rFonts w:ascii="仿宋" w:hAnsi="仿宋" w:eastAsia="仿宋"/>
          <w:color w:val="auto"/>
          <w:sz w:val="32"/>
          <w:szCs w:val="32"/>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spacing w:line="560" w:lineRule="exact"/>
        <w:ind w:firstLine="640" w:firstLineChars="200"/>
        <w:rPr>
          <w:rFonts w:ascii="仿宋" w:hAnsi="仿宋" w:eastAsia="仿宋"/>
          <w:color w:val="auto"/>
          <w:sz w:val="32"/>
          <w:szCs w:val="32"/>
        </w:rPr>
      </w:pPr>
    </w:p>
    <w:p>
      <w:pPr>
        <w:spacing w:line="560" w:lineRule="exact"/>
        <w:ind w:firstLine="640" w:firstLineChars="200"/>
        <w:rPr>
          <w:rFonts w:ascii="仿宋" w:hAnsi="仿宋" w:eastAsia="仿宋"/>
          <w:color w:val="auto"/>
          <w:sz w:val="32"/>
          <w:szCs w:val="32"/>
        </w:rPr>
      </w:pPr>
    </w:p>
    <w:p>
      <w:pPr>
        <w:pStyle w:val="2"/>
        <w:rPr>
          <w:rFonts w:ascii="仿宋" w:hAnsi="仿宋" w:eastAsia="仿宋"/>
          <w:color w:val="auto"/>
          <w:sz w:val="32"/>
          <w:szCs w:val="32"/>
        </w:rPr>
      </w:pPr>
    </w:p>
    <w:p>
      <w:pPr>
        <w:pStyle w:val="2"/>
        <w:rPr>
          <w:rFonts w:ascii="仿宋" w:hAnsi="仿宋" w:eastAsia="仿宋"/>
          <w:color w:val="auto"/>
          <w:sz w:val="32"/>
          <w:szCs w:val="32"/>
        </w:rPr>
      </w:pPr>
    </w:p>
    <w:p>
      <w:pPr>
        <w:pStyle w:val="2"/>
        <w:ind w:firstLine="0" w:firstLineChars="0"/>
        <w:rPr>
          <w:color w:val="auto"/>
        </w:rPr>
      </w:pPr>
    </w:p>
    <w:p>
      <w:pPr>
        <w:pStyle w:val="15"/>
        <w:rPr>
          <w:rFonts w:ascii="Times New Roman" w:hAnsi="Times New Roman" w:eastAsia="黑体"/>
          <w:color w:val="auto"/>
          <w:sz w:val="44"/>
          <w:szCs w:val="44"/>
        </w:rPr>
      </w:pPr>
      <w:bookmarkStart w:id="6" w:name="_Toc3391743"/>
      <w:bookmarkStart w:id="7" w:name="_Toc3391972"/>
      <w:r>
        <w:rPr>
          <w:rFonts w:ascii="Times New Roman" w:hAnsi="Times New Roman" w:eastAsia="黑体"/>
          <w:color w:val="auto"/>
          <w:sz w:val="44"/>
          <w:szCs w:val="44"/>
        </w:rPr>
        <w:t>地块规划条件相关资</w:t>
      </w:r>
      <w:bookmarkEnd w:id="6"/>
      <w:bookmarkEnd w:id="7"/>
      <w:r>
        <w:rPr>
          <w:rFonts w:hint="eastAsia" w:ascii="Times New Roman" w:hAnsi="Times New Roman" w:eastAsia="黑体"/>
          <w:color w:val="auto"/>
          <w:sz w:val="44"/>
          <w:szCs w:val="44"/>
        </w:rPr>
        <w:t>料</w:t>
      </w:r>
    </w:p>
    <w:p>
      <w:pPr>
        <w:rPr>
          <w:color w:val="auto"/>
        </w:rPr>
      </w:pPr>
    </w:p>
    <w:p>
      <w:pPr>
        <w:pStyle w:val="2"/>
        <w:rPr>
          <w:color w:val="auto"/>
        </w:rPr>
      </w:pPr>
      <w:r>
        <w:drawing>
          <wp:inline distT="0" distB="0" distL="114300" distR="114300">
            <wp:extent cx="5269230" cy="7407275"/>
            <wp:effectExtent l="0" t="0" r="7620" b="317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5269230" cy="7407275"/>
                    </a:xfrm>
                    <a:prstGeom prst="rect">
                      <a:avLst/>
                    </a:prstGeom>
                    <a:noFill/>
                    <a:ln>
                      <a:noFill/>
                    </a:ln>
                  </pic:spPr>
                </pic:pic>
              </a:graphicData>
            </a:graphic>
          </wp:inline>
        </w:drawing>
      </w:r>
      <w:r>
        <w:drawing>
          <wp:inline distT="0" distB="0" distL="114300" distR="114300">
            <wp:extent cx="5273675" cy="7654290"/>
            <wp:effectExtent l="0" t="0" r="3175" b="381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0"/>
                    <a:stretch>
                      <a:fillRect/>
                    </a:stretch>
                  </pic:blipFill>
                  <pic:spPr>
                    <a:xfrm>
                      <a:off x="0" y="0"/>
                      <a:ext cx="5273675" cy="7654290"/>
                    </a:xfrm>
                    <a:prstGeom prst="rect">
                      <a:avLst/>
                    </a:prstGeom>
                    <a:noFill/>
                    <a:ln>
                      <a:noFill/>
                    </a:ln>
                  </pic:spPr>
                </pic:pic>
              </a:graphicData>
            </a:graphic>
          </wp:inline>
        </w:drawing>
      </w:r>
    </w:p>
    <w:p>
      <w:pPr>
        <w:pStyle w:val="2"/>
        <w:rPr>
          <w:color w:val="auto"/>
        </w:rPr>
      </w:pPr>
    </w:p>
    <w:p>
      <w:pPr>
        <w:pStyle w:val="2"/>
        <w:rPr>
          <w:color w:val="auto"/>
        </w:rPr>
      </w:pPr>
    </w:p>
    <w:p>
      <w:pPr>
        <w:pStyle w:val="2"/>
        <w:rPr>
          <w:color w:val="auto"/>
        </w:rPr>
      </w:pPr>
    </w:p>
    <w:p>
      <w:pPr>
        <w:pStyle w:val="2"/>
        <w:rPr>
          <w:color w:val="auto"/>
        </w:rPr>
      </w:pPr>
    </w:p>
    <w:p>
      <w:pPr>
        <w:pStyle w:val="2"/>
        <w:ind w:firstLine="0" w:firstLineChars="0"/>
        <w:rPr>
          <w:color w:val="auto"/>
        </w:rPr>
      </w:pPr>
    </w:p>
    <w:p>
      <w:pPr>
        <w:widowControl/>
        <w:jc w:val="left"/>
        <w:rPr>
          <w:color w:val="auto"/>
          <w:kern w:val="0"/>
          <w:sz w:val="24"/>
        </w:rPr>
      </w:pPr>
    </w:p>
    <w:p>
      <w:pPr>
        <w:pStyle w:val="15"/>
        <w:rPr>
          <w:rFonts w:ascii="Times New Roman" w:hAnsi="Times New Roman" w:eastAsia="黑体"/>
          <w:color w:val="auto"/>
          <w:sz w:val="44"/>
          <w:szCs w:val="44"/>
        </w:rPr>
      </w:pPr>
      <w:bookmarkStart w:id="8" w:name="_Toc3391744"/>
      <w:bookmarkStart w:id="9" w:name="_Toc3391973"/>
      <w:r>
        <w:rPr>
          <w:rFonts w:ascii="Times New Roman" w:hAnsi="Times New Roman" w:eastAsia="黑体"/>
          <w:color w:val="auto"/>
          <w:sz w:val="44"/>
          <w:szCs w:val="44"/>
        </w:rPr>
        <w:t>用地红线图</w:t>
      </w:r>
      <w:bookmarkEnd w:id="8"/>
      <w:bookmarkEnd w:id="9"/>
    </w:p>
    <w:p>
      <w:pPr>
        <w:jc w:val="center"/>
        <w:rPr>
          <w:color w:val="auto"/>
        </w:rPr>
      </w:pPr>
    </w:p>
    <w:p>
      <w:pPr>
        <w:rPr>
          <w:color w:val="auto"/>
        </w:rPr>
      </w:pPr>
    </w:p>
    <w:p>
      <w:pPr>
        <w:rPr>
          <w:color w:val="auto"/>
        </w:rPr>
      </w:pPr>
    </w:p>
    <w:p>
      <w:pPr>
        <w:widowControl/>
        <w:jc w:val="left"/>
        <w:rPr>
          <w:color w:val="auto"/>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72405" cy="3851910"/>
            <wp:effectExtent l="0" t="0" r="4445" b="1524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1"/>
                    <a:stretch>
                      <a:fillRect/>
                    </a:stretch>
                  </pic:blipFill>
                  <pic:spPr>
                    <a:xfrm>
                      <a:off x="0" y="0"/>
                      <a:ext cx="5272405" cy="3851910"/>
                    </a:xfrm>
                    <a:prstGeom prst="rect">
                      <a:avLst/>
                    </a:prstGeom>
                    <a:noFill/>
                    <a:ln>
                      <a:noFill/>
                    </a:ln>
                  </pic:spPr>
                </pic:pic>
              </a:graphicData>
            </a:graphic>
          </wp:inline>
        </w:drawing>
      </w:r>
    </w:p>
    <w:p>
      <w:pPr>
        <w:pStyle w:val="15"/>
        <w:rPr>
          <w:rFonts w:ascii="Times New Roman" w:hAnsi="Times New Roman" w:eastAsia="黑体"/>
          <w:color w:val="auto"/>
          <w:sz w:val="44"/>
          <w:szCs w:val="44"/>
        </w:rPr>
      </w:pPr>
      <w:r>
        <w:rPr>
          <w:rFonts w:hint="eastAsia" w:ascii="Times New Roman" w:hAnsi="Times New Roman" w:eastAsia="黑体"/>
          <w:color w:val="auto"/>
          <w:sz w:val="44"/>
          <w:szCs w:val="44"/>
          <w:lang w:val="en-US" w:eastAsia="zh-CN"/>
        </w:rPr>
        <w:t>地块供地</w:t>
      </w:r>
      <w:r>
        <w:rPr>
          <w:rFonts w:hint="eastAsia" w:ascii="Times New Roman" w:hAnsi="Times New Roman" w:eastAsia="黑体"/>
          <w:color w:val="auto"/>
          <w:sz w:val="44"/>
          <w:szCs w:val="44"/>
        </w:rPr>
        <w:t>勘界图</w:t>
      </w:r>
      <w:r>
        <w:drawing>
          <wp:inline distT="0" distB="0" distL="114300" distR="114300">
            <wp:extent cx="5572760" cy="6410325"/>
            <wp:effectExtent l="0" t="0" r="889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2"/>
                    <a:stretch>
                      <a:fillRect/>
                    </a:stretch>
                  </pic:blipFill>
                  <pic:spPr>
                    <a:xfrm>
                      <a:off x="0" y="0"/>
                      <a:ext cx="5572760" cy="6410325"/>
                    </a:xfrm>
                    <a:prstGeom prst="rect">
                      <a:avLst/>
                    </a:prstGeom>
                    <a:noFill/>
                    <a:ln>
                      <a:noFill/>
                    </a:ln>
                  </pic:spPr>
                </pic:pic>
              </a:graphicData>
            </a:graphic>
          </wp:inline>
        </w:drawing>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rPr>
          <w:color w:val="auto"/>
        </w:rPr>
      </w:pPr>
    </w:p>
    <w:p>
      <w:pPr>
        <w:rPr>
          <w:color w:val="auto"/>
        </w:rPr>
      </w:pPr>
    </w:p>
    <w:p>
      <w:pPr>
        <w:rPr>
          <w:color w:val="auto"/>
        </w:rPr>
      </w:pPr>
    </w:p>
    <w:p>
      <w:pPr>
        <w:pStyle w:val="15"/>
        <w:spacing w:before="0" w:after="0" w:line="500" w:lineRule="exact"/>
        <w:rPr>
          <w:rFonts w:ascii="Times New Roman" w:hAnsi="Times New Roman" w:eastAsia="黑体"/>
          <w:color w:val="auto"/>
          <w:sz w:val="44"/>
          <w:szCs w:val="44"/>
        </w:rPr>
      </w:pPr>
      <w:bookmarkStart w:id="10" w:name="_Toc3391746"/>
      <w:bookmarkStart w:id="11" w:name="_Toc3391975"/>
      <w:r>
        <w:rPr>
          <w:rFonts w:ascii="Times New Roman" w:hAnsi="Times New Roman" w:eastAsia="黑体"/>
          <w:color w:val="auto"/>
          <w:sz w:val="44"/>
          <w:szCs w:val="44"/>
        </w:rPr>
        <w:t>竞买申请书</w:t>
      </w:r>
      <w:bookmarkEnd w:id="10"/>
      <w:bookmarkEnd w:id="11"/>
    </w:p>
    <w:p>
      <w:pPr>
        <w:pStyle w:val="29"/>
        <w:spacing w:line="420" w:lineRule="exact"/>
        <w:rPr>
          <w:rFonts w:ascii="仿宋" w:hAnsi="仿宋" w:eastAsia="仿宋"/>
          <w:color w:val="auto"/>
          <w:sz w:val="24"/>
          <w:szCs w:val="24"/>
        </w:rPr>
      </w:pPr>
    </w:p>
    <w:p>
      <w:pPr>
        <w:pStyle w:val="29"/>
        <w:spacing w:line="420" w:lineRule="exact"/>
        <w:ind w:left="0"/>
        <w:rPr>
          <w:rFonts w:ascii="仿宋" w:hAnsi="仿宋" w:eastAsia="仿宋"/>
          <w:color w:val="auto"/>
          <w:sz w:val="24"/>
          <w:szCs w:val="24"/>
        </w:rPr>
      </w:pPr>
      <w:r>
        <w:rPr>
          <w:rFonts w:ascii="仿宋" w:hAnsi="仿宋" w:eastAsia="仿宋"/>
          <w:b/>
          <w:color w:val="auto"/>
          <w:sz w:val="24"/>
          <w:szCs w:val="24"/>
          <w:u w:val="single"/>
        </w:rPr>
        <w:t>XXXXXXXX</w:t>
      </w:r>
      <w:r>
        <w:rPr>
          <w:rFonts w:ascii="仿宋" w:hAnsi="仿宋" w:eastAsia="仿宋"/>
          <w:color w:val="auto"/>
          <w:sz w:val="24"/>
          <w:szCs w:val="24"/>
        </w:rPr>
        <w:t>：</w:t>
      </w:r>
    </w:p>
    <w:p>
      <w:pPr>
        <w:pStyle w:val="29"/>
        <w:spacing w:line="420" w:lineRule="exact"/>
        <w:ind w:left="0" w:firstLine="480" w:firstLineChars="200"/>
        <w:jc w:val="left"/>
        <w:rPr>
          <w:rFonts w:ascii="仿宋" w:hAnsi="仿宋" w:eastAsia="仿宋"/>
          <w:color w:val="auto"/>
          <w:sz w:val="28"/>
          <w:szCs w:val="28"/>
          <w:u w:val="single"/>
        </w:rPr>
      </w:pPr>
      <w:r>
        <w:rPr>
          <w:rFonts w:ascii="仿宋" w:hAnsi="仿宋" w:eastAsia="仿宋"/>
          <w:color w:val="auto"/>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29"/>
        <w:spacing w:line="420" w:lineRule="exact"/>
        <w:ind w:left="105" w:leftChars="50" w:firstLine="480" w:firstLineChars="200"/>
        <w:jc w:val="left"/>
        <w:rPr>
          <w:rFonts w:ascii="仿宋" w:hAnsi="仿宋" w:eastAsia="仿宋"/>
          <w:color w:val="auto"/>
          <w:sz w:val="24"/>
          <w:szCs w:val="24"/>
        </w:rPr>
      </w:pPr>
      <w:r>
        <w:rPr>
          <w:rFonts w:ascii="仿宋" w:hAnsi="仿宋" w:eastAsia="仿宋"/>
          <w:color w:val="auto"/>
          <w:sz w:val="24"/>
          <w:szCs w:val="24"/>
        </w:rPr>
        <w:t>我方正式申请参加你中心于</w:t>
      </w:r>
      <w:r>
        <w:rPr>
          <w:rFonts w:ascii="仿宋" w:hAnsi="仿宋" w:eastAsia="仿宋"/>
          <w:color w:val="auto"/>
          <w:sz w:val="24"/>
          <w:szCs w:val="24"/>
          <w:u w:val="single"/>
        </w:rPr>
        <w:t>202 年  月  日</w:t>
      </w:r>
      <w:r>
        <w:rPr>
          <w:rFonts w:ascii="仿宋" w:hAnsi="仿宋" w:eastAsia="仿宋"/>
          <w:color w:val="auto"/>
          <w:sz w:val="24"/>
          <w:szCs w:val="24"/>
        </w:rPr>
        <w:t>在</w:t>
      </w:r>
      <w:r>
        <w:rPr>
          <w:rFonts w:ascii="仿宋" w:hAnsi="仿宋" w:eastAsia="仿宋"/>
          <w:b/>
          <w:color w:val="auto"/>
          <w:sz w:val="24"/>
          <w:szCs w:val="24"/>
          <w:u w:val="single"/>
        </w:rPr>
        <w:t>XXXXXXXX</w:t>
      </w:r>
      <w:r>
        <w:rPr>
          <w:rFonts w:ascii="仿宋" w:hAnsi="仿宋" w:eastAsia="仿宋"/>
          <w:color w:val="auto"/>
          <w:sz w:val="24"/>
          <w:szCs w:val="24"/>
        </w:rPr>
        <w:t>举行的地块国有建设用地使用权拍卖活动，愿意按拍卖出让文件规定缴纳竞买保证金人民币万元（大写）（</w:t>
      </w:r>
      <w:r>
        <w:rPr>
          <w:rFonts w:ascii="仿宋" w:hAnsi="仿宋" w:eastAsia="仿宋"/>
          <w:color w:val="auto"/>
          <w:w w:val="90"/>
          <w:sz w:val="24"/>
          <w:szCs w:val="24"/>
        </w:rPr>
        <w:t>￥</w:t>
      </w:r>
      <w:r>
        <w:rPr>
          <w:rFonts w:ascii="仿宋" w:hAnsi="仿宋" w:eastAsia="仿宋"/>
          <w:color w:val="auto"/>
          <w:sz w:val="24"/>
          <w:szCs w:val="24"/>
        </w:rPr>
        <w:t>万元）。</w:t>
      </w:r>
    </w:p>
    <w:p>
      <w:pPr>
        <w:pStyle w:val="29"/>
        <w:spacing w:line="420" w:lineRule="exact"/>
        <w:ind w:left="0" w:firstLine="480" w:firstLineChars="200"/>
        <w:jc w:val="left"/>
        <w:rPr>
          <w:rFonts w:ascii="仿宋" w:hAnsi="仿宋" w:eastAsia="仿宋"/>
          <w:color w:val="auto"/>
          <w:sz w:val="24"/>
          <w:szCs w:val="24"/>
        </w:rPr>
      </w:pPr>
      <w:r>
        <w:rPr>
          <w:rFonts w:ascii="仿宋" w:hAnsi="仿宋" w:eastAsia="仿宋"/>
          <w:color w:val="auto"/>
          <w:sz w:val="24"/>
          <w:szCs w:val="24"/>
        </w:rPr>
        <w:t>若能竞得该地块，我方承诺：</w:t>
      </w:r>
    </w:p>
    <w:p>
      <w:pPr>
        <w:pStyle w:val="29"/>
        <w:spacing w:line="420" w:lineRule="exact"/>
        <w:ind w:left="0" w:firstLine="482" w:firstLineChars="200"/>
        <w:jc w:val="left"/>
        <w:rPr>
          <w:rFonts w:hint="eastAsia" w:ascii="仿宋" w:hAnsi="仿宋" w:eastAsia="仿宋"/>
          <w:b/>
          <w:color w:val="auto"/>
          <w:sz w:val="24"/>
          <w:szCs w:val="24"/>
          <w:u w:val="single"/>
          <w:lang w:val="en-US" w:eastAsia="zh-CN"/>
        </w:rPr>
      </w:pPr>
      <w:r>
        <w:rPr>
          <w:rFonts w:ascii="仿宋" w:hAnsi="仿宋" w:eastAsia="仿宋"/>
          <w:b/>
          <w:strike w:val="0"/>
          <w:dstrike w:val="0"/>
          <w:color w:val="auto"/>
          <w:sz w:val="24"/>
          <w:szCs w:val="24"/>
        </w:rPr>
        <w:t>（一）竞得土地使用权后</w:t>
      </w:r>
      <w:r>
        <w:rPr>
          <w:rFonts w:hint="eastAsia" w:ascii="仿宋" w:hAnsi="仿宋" w:eastAsia="仿宋"/>
          <w:b/>
          <w:strike w:val="0"/>
          <w:dstrike w:val="0"/>
          <w:color w:val="auto"/>
          <w:sz w:val="24"/>
          <w:szCs w:val="24"/>
          <w:lang w:eastAsia="zh-CN"/>
        </w:rPr>
        <w:t>，</w:t>
      </w:r>
      <w:r>
        <w:rPr>
          <w:rFonts w:hint="eastAsia" w:ascii="仿宋" w:hAnsi="仿宋" w:eastAsia="仿宋"/>
          <w:b/>
          <w:strike w:val="0"/>
          <w:dstrike w:val="0"/>
          <w:color w:val="auto"/>
          <w:sz w:val="24"/>
          <w:szCs w:val="24"/>
          <w:lang w:val="en-US" w:eastAsia="zh-CN"/>
        </w:rPr>
        <w:t>如果</w:t>
      </w:r>
      <w:r>
        <w:rPr>
          <w:rFonts w:ascii="仿宋" w:hAnsi="仿宋" w:eastAsia="仿宋"/>
          <w:b/>
          <w:strike w:val="0"/>
          <w:dstrike w:val="0"/>
          <w:color w:val="auto"/>
          <w:sz w:val="24"/>
          <w:szCs w:val="24"/>
        </w:rPr>
        <w:t>注册成立一家新公司对竞得土地进行开发建设，</w:t>
      </w:r>
      <w:r>
        <w:rPr>
          <w:rFonts w:hint="eastAsia" w:ascii="仿宋" w:hAnsi="仿宋" w:eastAsia="仿宋"/>
          <w:b/>
          <w:strike w:val="0"/>
          <w:dstrike w:val="0"/>
          <w:color w:val="auto"/>
          <w:sz w:val="24"/>
          <w:szCs w:val="24"/>
          <w:lang w:val="en-US" w:eastAsia="zh-CN"/>
        </w:rPr>
        <w:t>需在</w:t>
      </w:r>
      <w:r>
        <w:rPr>
          <w:rFonts w:ascii="仿宋" w:hAnsi="仿宋" w:eastAsia="仿宋"/>
          <w:b/>
          <w:strike w:val="0"/>
          <w:dstrike w:val="0"/>
          <w:color w:val="auto"/>
          <w:sz w:val="24"/>
          <w:szCs w:val="24"/>
        </w:rPr>
        <w:t>3个月内</w:t>
      </w:r>
      <w:r>
        <w:rPr>
          <w:rFonts w:hint="eastAsia" w:ascii="仿宋" w:hAnsi="仿宋" w:eastAsia="仿宋"/>
          <w:b/>
          <w:strike w:val="0"/>
          <w:dstrike w:val="0"/>
          <w:color w:val="auto"/>
          <w:sz w:val="24"/>
          <w:szCs w:val="24"/>
          <w:lang w:val="en-US" w:eastAsia="zh-CN"/>
        </w:rPr>
        <w:t>成立</w:t>
      </w:r>
      <w:r>
        <w:rPr>
          <w:rFonts w:ascii="仿宋" w:hAnsi="仿宋" w:eastAsia="仿宋"/>
          <w:b/>
          <w:strike w:val="0"/>
          <w:dstrike w:val="0"/>
          <w:color w:val="auto"/>
          <w:sz w:val="24"/>
          <w:szCs w:val="24"/>
        </w:rPr>
        <w:t>新公司</w:t>
      </w:r>
      <w:r>
        <w:rPr>
          <w:rFonts w:hint="eastAsia" w:ascii="仿宋" w:hAnsi="仿宋" w:eastAsia="仿宋"/>
          <w:b/>
          <w:strike w:val="0"/>
          <w:dstrike w:val="0"/>
          <w:color w:val="auto"/>
          <w:sz w:val="24"/>
          <w:szCs w:val="24"/>
          <w:lang w:eastAsia="zh-CN"/>
        </w:rPr>
        <w:t>，</w:t>
      </w:r>
      <w:r>
        <w:rPr>
          <w:rFonts w:hint="eastAsia" w:ascii="仿宋" w:hAnsi="仿宋" w:eastAsia="仿宋"/>
          <w:b/>
          <w:strike w:val="0"/>
          <w:dstrike w:val="0"/>
          <w:color w:val="auto"/>
          <w:sz w:val="24"/>
          <w:szCs w:val="24"/>
          <w:lang w:val="en-US" w:eastAsia="zh-CN"/>
        </w:rPr>
        <w:t>且竞得人在</w:t>
      </w:r>
      <w:r>
        <w:rPr>
          <w:rFonts w:ascii="仿宋" w:hAnsi="仿宋" w:eastAsia="仿宋"/>
          <w:b/>
          <w:strike w:val="0"/>
          <w:dstrike w:val="0"/>
          <w:color w:val="auto"/>
          <w:sz w:val="24"/>
          <w:szCs w:val="24"/>
        </w:rPr>
        <w:t>新公司的出资比例必须在51%（含）以上</w:t>
      </w:r>
      <w:r>
        <w:rPr>
          <w:rFonts w:hint="eastAsia" w:ascii="仿宋" w:hAnsi="仿宋" w:eastAsia="仿宋"/>
          <w:b/>
          <w:strike w:val="0"/>
          <w:dstrike w:val="0"/>
          <w:color w:val="auto"/>
          <w:sz w:val="24"/>
          <w:szCs w:val="24"/>
          <w:lang w:eastAsia="zh-CN"/>
        </w:rPr>
        <w:t>。</w:t>
      </w:r>
    </w:p>
    <w:p>
      <w:pPr>
        <w:pStyle w:val="29"/>
        <w:spacing w:line="420" w:lineRule="exact"/>
        <w:ind w:left="0" w:firstLine="480" w:firstLineChars="200"/>
        <w:rPr>
          <w:rFonts w:ascii="仿宋" w:hAnsi="仿宋" w:eastAsia="仿宋"/>
          <w:color w:val="auto"/>
          <w:sz w:val="24"/>
          <w:szCs w:val="24"/>
        </w:rPr>
      </w:pPr>
      <w:r>
        <w:rPr>
          <w:rFonts w:ascii="仿宋" w:hAnsi="仿宋" w:eastAsia="仿宋"/>
          <w:color w:val="auto"/>
          <w:sz w:val="24"/>
          <w:szCs w:val="24"/>
        </w:rPr>
        <w:t>（二）保证按照拍卖出让文件的规定和要求履行全部义务，如有违约行为，我方愿意承担全部法律责任，并赔偿由此产生的损失。</w:t>
      </w:r>
    </w:p>
    <w:p>
      <w:pPr>
        <w:pStyle w:val="29"/>
        <w:spacing w:line="420" w:lineRule="exact"/>
        <w:ind w:left="0" w:firstLine="480" w:firstLineChars="200"/>
        <w:rPr>
          <w:rFonts w:ascii="仿宋" w:hAnsi="仿宋" w:eastAsia="仿宋"/>
          <w:color w:val="auto"/>
          <w:sz w:val="24"/>
          <w:szCs w:val="24"/>
        </w:rPr>
      </w:pPr>
      <w:r>
        <w:rPr>
          <w:rFonts w:ascii="仿宋" w:hAnsi="仿宋" w:eastAsia="仿宋"/>
          <w:color w:val="auto"/>
          <w:sz w:val="24"/>
          <w:szCs w:val="24"/>
        </w:rPr>
        <w:t>（三）若我方不按拍卖出让文件的要求签</w:t>
      </w:r>
      <w:r>
        <w:rPr>
          <w:rFonts w:hint="eastAsia" w:ascii="仿宋" w:hAnsi="仿宋" w:eastAsia="仿宋"/>
          <w:color w:val="auto"/>
          <w:sz w:val="24"/>
          <w:szCs w:val="24"/>
        </w:rPr>
        <w:t>定</w:t>
      </w:r>
      <w:r>
        <w:rPr>
          <w:rFonts w:ascii="仿宋" w:hAnsi="仿宋" w:eastAsia="仿宋"/>
          <w:color w:val="auto"/>
          <w:sz w:val="24"/>
          <w:szCs w:val="24"/>
        </w:rPr>
        <w:t>《成交确认书》或《国有建设用地使用权出让合同》的，或不按《国有建设用地使用权出让合同》的要求缴纳土地价款并达到合同解除条件的，无论缴纳的竞买保证金万元（人民币）已转为何种法律性质的价款，我方均无权要求予以退还。</w:t>
      </w:r>
    </w:p>
    <w:p>
      <w:pPr>
        <w:pStyle w:val="29"/>
        <w:spacing w:line="420" w:lineRule="exact"/>
        <w:ind w:left="0" w:firstLine="482" w:firstLineChars="200"/>
        <w:rPr>
          <w:rFonts w:ascii="仿宋" w:hAnsi="仿宋" w:eastAsia="仿宋"/>
          <w:color w:val="auto"/>
          <w:sz w:val="24"/>
          <w:szCs w:val="24"/>
        </w:rPr>
      </w:pPr>
      <w:r>
        <w:rPr>
          <w:rFonts w:ascii="仿宋" w:hAnsi="仿宋" w:eastAsia="仿宋"/>
          <w:b/>
          <w:color w:val="auto"/>
          <w:sz w:val="24"/>
          <w:szCs w:val="24"/>
        </w:rPr>
        <w:t>附：</w:t>
      </w:r>
      <w:r>
        <w:rPr>
          <w:rFonts w:ascii="仿宋" w:hAnsi="仿宋" w:eastAsia="仿宋"/>
          <w:color w:val="auto"/>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9"/>
        <w:spacing w:line="420" w:lineRule="exact"/>
        <w:ind w:firstLine="470" w:firstLineChars="196"/>
        <w:rPr>
          <w:rFonts w:ascii="仿宋" w:hAnsi="仿宋" w:eastAsia="仿宋"/>
          <w:color w:val="auto"/>
          <w:sz w:val="24"/>
          <w:szCs w:val="24"/>
        </w:rPr>
      </w:pP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竞买申请人（盖章）：</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法定代表人（本人签名）：</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联系人：</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地址：</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电话：</w:t>
      </w:r>
    </w:p>
    <w:p>
      <w:pPr>
        <w:pStyle w:val="29"/>
        <w:spacing w:line="420" w:lineRule="exact"/>
        <w:ind w:left="0"/>
        <w:rPr>
          <w:rFonts w:ascii="仿宋" w:hAnsi="仿宋" w:eastAsia="仿宋"/>
          <w:color w:val="auto"/>
          <w:sz w:val="24"/>
          <w:szCs w:val="24"/>
        </w:rPr>
      </w:pPr>
      <w:r>
        <w:rPr>
          <w:rFonts w:ascii="仿宋" w:hAnsi="仿宋" w:eastAsia="仿宋"/>
          <w:color w:val="auto"/>
          <w:sz w:val="24"/>
          <w:szCs w:val="24"/>
        </w:rPr>
        <w:t>申请日期：  年   月   日</w:t>
      </w:r>
    </w:p>
    <w:p>
      <w:pPr>
        <w:pStyle w:val="29"/>
        <w:spacing w:line="420" w:lineRule="exact"/>
        <w:ind w:left="0" w:firstLine="510"/>
        <w:rPr>
          <w:rFonts w:ascii="仿宋" w:hAnsi="仿宋" w:eastAsia="仿宋"/>
          <w:color w:val="auto"/>
          <w:sz w:val="24"/>
          <w:szCs w:val="24"/>
        </w:rPr>
      </w:pPr>
    </w:p>
    <w:p>
      <w:pPr>
        <w:pStyle w:val="29"/>
        <w:spacing w:line="420" w:lineRule="exact"/>
        <w:ind w:left="0" w:firstLine="510"/>
        <w:rPr>
          <w:rFonts w:ascii="仿宋" w:hAnsi="仿宋" w:eastAsia="仿宋"/>
          <w:b/>
          <w:color w:val="auto"/>
          <w:sz w:val="24"/>
          <w:szCs w:val="24"/>
        </w:rPr>
      </w:pPr>
      <w:r>
        <w:rPr>
          <w:rFonts w:ascii="仿宋" w:hAnsi="仿宋" w:eastAsia="仿宋"/>
          <w:b/>
          <w:color w:val="auto"/>
          <w:sz w:val="24"/>
          <w:szCs w:val="24"/>
        </w:rPr>
        <w:t>（法人或其他组织参与竞买的，竞买时须带上公章）</w:t>
      </w:r>
    </w:p>
    <w:p>
      <w:pPr>
        <w:pStyle w:val="15"/>
        <w:spacing w:before="0" w:after="0" w:line="600" w:lineRule="exact"/>
        <w:rPr>
          <w:rFonts w:ascii="Times New Roman" w:hAnsi="Times New Roman" w:eastAsia="黑体"/>
          <w:color w:val="auto"/>
          <w:sz w:val="44"/>
          <w:szCs w:val="44"/>
        </w:rPr>
      </w:pPr>
      <w:r>
        <w:rPr>
          <w:rFonts w:ascii="Times New Roman" w:hAnsi="Times New Roman" w:eastAsia="宋体"/>
          <w:color w:val="auto"/>
          <w:w w:val="90"/>
        </w:rPr>
        <w:br w:type="page"/>
      </w:r>
      <w:bookmarkStart w:id="12" w:name="_Toc3391747"/>
      <w:bookmarkStart w:id="13" w:name="_Toc3391976"/>
      <w:r>
        <w:rPr>
          <w:rFonts w:ascii="Times New Roman" w:hAnsi="Times New Roman" w:eastAsia="黑体"/>
          <w:color w:val="auto"/>
          <w:sz w:val="44"/>
          <w:szCs w:val="44"/>
        </w:rPr>
        <w:t>保证金承诺书</w:t>
      </w:r>
      <w:bookmarkEnd w:id="12"/>
      <w:bookmarkEnd w:id="13"/>
    </w:p>
    <w:p>
      <w:pPr>
        <w:rPr>
          <w:b/>
          <w:color w:val="auto"/>
          <w:sz w:val="44"/>
          <w:szCs w:val="44"/>
        </w:rPr>
      </w:pPr>
    </w:p>
    <w:p>
      <w:pPr>
        <w:rPr>
          <w:rFonts w:eastAsia="仿宋_GB2312"/>
          <w:color w:val="auto"/>
          <w:sz w:val="30"/>
          <w:szCs w:val="30"/>
        </w:rPr>
      </w:pPr>
      <w:r>
        <w:rPr>
          <w:rFonts w:eastAsia="仿宋_GB2312"/>
          <w:b/>
          <w:color w:val="auto"/>
          <w:sz w:val="30"/>
          <w:szCs w:val="30"/>
          <w:u w:val="single"/>
        </w:rPr>
        <w:t>XXXXXXXX</w:t>
      </w:r>
      <w:r>
        <w:rPr>
          <w:rFonts w:eastAsia="仿宋_GB2312"/>
          <w:color w:val="auto"/>
          <w:sz w:val="30"/>
          <w:szCs w:val="30"/>
        </w:rPr>
        <w:t>：</w:t>
      </w:r>
    </w:p>
    <w:p>
      <w:pPr>
        <w:ind w:firstLine="600" w:firstLineChars="200"/>
        <w:rPr>
          <w:rFonts w:eastAsia="仿宋_GB2312"/>
          <w:color w:val="auto"/>
          <w:sz w:val="30"/>
          <w:szCs w:val="30"/>
        </w:rPr>
      </w:pPr>
      <w:r>
        <w:rPr>
          <w:rFonts w:eastAsia="仿宋_GB2312"/>
          <w:color w:val="auto"/>
          <w:sz w:val="30"/>
          <w:szCs w:val="30"/>
        </w:rPr>
        <w:t>我方承诺参加</w:t>
      </w:r>
      <w:r>
        <w:rPr>
          <w:rFonts w:eastAsia="仿宋_GB2312"/>
          <w:color w:val="auto"/>
          <w:sz w:val="30"/>
          <w:szCs w:val="30"/>
          <w:u w:val="single"/>
        </w:rPr>
        <w:t>202</w:t>
      </w:r>
      <w:r>
        <w:rPr>
          <w:rFonts w:hint="eastAsia" w:eastAsia="仿宋_GB2312"/>
          <w:color w:val="auto"/>
          <w:sz w:val="30"/>
          <w:szCs w:val="30"/>
          <w:u w:val="single"/>
        </w:rPr>
        <w:t>3</w:t>
      </w:r>
      <w:r>
        <w:rPr>
          <w:rFonts w:eastAsia="仿宋_GB2312"/>
          <w:color w:val="auto"/>
          <w:sz w:val="30"/>
          <w:szCs w:val="30"/>
          <w:u w:val="single"/>
        </w:rPr>
        <w:t>年  月  日</w:t>
      </w:r>
      <w:r>
        <w:rPr>
          <w:rFonts w:eastAsia="仿宋_GB2312"/>
          <w:color w:val="auto"/>
          <w:sz w:val="30"/>
          <w:szCs w:val="30"/>
        </w:rPr>
        <w:t>拍卖出让的地块竞买，我方所交保证金不属于银行贷款、股东借款、转贷和募集资金。</w:t>
      </w:r>
    </w:p>
    <w:p>
      <w:pPr>
        <w:ind w:firstLine="600" w:firstLineChars="200"/>
        <w:rPr>
          <w:rFonts w:eastAsia="仿宋_GB2312"/>
          <w:color w:val="auto"/>
          <w:sz w:val="30"/>
          <w:szCs w:val="30"/>
        </w:rPr>
      </w:pPr>
      <w:r>
        <w:rPr>
          <w:rFonts w:eastAsia="仿宋_GB2312"/>
          <w:color w:val="auto"/>
          <w:sz w:val="30"/>
          <w:szCs w:val="30"/>
        </w:rPr>
        <w:t>特此承诺。</w:t>
      </w:r>
    </w:p>
    <w:p>
      <w:pPr>
        <w:rPr>
          <w:rFonts w:eastAsia="仿宋_GB2312"/>
          <w:color w:val="auto"/>
          <w:sz w:val="30"/>
          <w:szCs w:val="30"/>
        </w:rPr>
      </w:pPr>
    </w:p>
    <w:p>
      <w:pPr>
        <w:ind w:firstLine="750" w:firstLineChars="250"/>
        <w:rPr>
          <w:rFonts w:eastAsia="仿宋_GB2312"/>
          <w:color w:val="auto"/>
          <w:sz w:val="30"/>
          <w:szCs w:val="30"/>
        </w:rPr>
      </w:pPr>
      <w:r>
        <w:rPr>
          <w:rFonts w:eastAsia="仿宋_GB2312"/>
          <w:color w:val="auto"/>
          <w:sz w:val="30"/>
          <w:szCs w:val="30"/>
        </w:rPr>
        <w:t>承诺人（法定代表人）签字：</w:t>
      </w:r>
    </w:p>
    <w:p>
      <w:pPr>
        <w:ind w:firstLine="750" w:firstLineChars="250"/>
        <w:rPr>
          <w:rFonts w:eastAsia="仿宋_GB2312"/>
          <w:color w:val="auto"/>
          <w:sz w:val="30"/>
          <w:szCs w:val="30"/>
        </w:rPr>
      </w:pPr>
    </w:p>
    <w:p>
      <w:pPr>
        <w:ind w:firstLine="750" w:firstLineChars="250"/>
        <w:rPr>
          <w:rFonts w:eastAsia="仿宋_GB2312"/>
          <w:color w:val="auto"/>
          <w:sz w:val="30"/>
          <w:szCs w:val="30"/>
        </w:rPr>
      </w:pPr>
    </w:p>
    <w:p>
      <w:pPr>
        <w:ind w:right="900" w:firstLine="750" w:firstLineChars="250"/>
        <w:jc w:val="right"/>
        <w:rPr>
          <w:rFonts w:eastAsia="仿宋_GB2312"/>
          <w:color w:val="auto"/>
          <w:sz w:val="30"/>
          <w:szCs w:val="30"/>
        </w:rPr>
      </w:pPr>
      <w:r>
        <w:rPr>
          <w:rFonts w:eastAsia="仿宋_GB2312"/>
          <w:color w:val="auto"/>
          <w:sz w:val="30"/>
          <w:szCs w:val="30"/>
        </w:rPr>
        <w:t>年   月  日</w:t>
      </w:r>
    </w:p>
    <w:p>
      <w:pPr>
        <w:pStyle w:val="15"/>
        <w:rPr>
          <w:rFonts w:ascii="Times New Roman" w:hAnsi="Times New Roman" w:eastAsia="黑体"/>
          <w:color w:val="auto"/>
          <w:sz w:val="44"/>
          <w:szCs w:val="44"/>
        </w:rPr>
      </w:pPr>
      <w:r>
        <w:rPr>
          <w:rFonts w:ascii="Times New Roman" w:hAnsi="Times New Roman" w:eastAsia="仿宋_GB2312"/>
          <w:color w:val="auto"/>
          <w:sz w:val="30"/>
          <w:szCs w:val="30"/>
        </w:rPr>
        <w:br w:type="page"/>
      </w:r>
      <w:bookmarkStart w:id="14" w:name="_Toc3391748"/>
      <w:bookmarkStart w:id="15" w:name="_Toc3391977"/>
      <w:r>
        <w:rPr>
          <w:rFonts w:ascii="Times New Roman" w:hAnsi="Times New Roman" w:eastAsia="黑体"/>
          <w:color w:val="auto"/>
          <w:sz w:val="44"/>
          <w:szCs w:val="44"/>
        </w:rPr>
        <w:t>法定代表人身份证明书</w:t>
      </w:r>
      <w:bookmarkEnd w:id="14"/>
      <w:bookmarkEnd w:id="15"/>
    </w:p>
    <w:p>
      <w:pPr>
        <w:pStyle w:val="29"/>
        <w:spacing w:line="627" w:lineRule="atLeast"/>
        <w:ind w:left="0"/>
        <w:jc w:val="left"/>
        <w:rPr>
          <w:rFonts w:eastAsia="黑体"/>
          <w:color w:val="auto"/>
          <w:sz w:val="36"/>
          <w:szCs w:val="36"/>
        </w:rPr>
      </w:pPr>
    </w:p>
    <w:p>
      <w:pPr>
        <w:pStyle w:val="29"/>
        <w:spacing w:line="627" w:lineRule="atLeast"/>
        <w:ind w:left="0"/>
        <w:jc w:val="left"/>
        <w:rPr>
          <w:rFonts w:eastAsia="仿宋_GB2312"/>
          <w:color w:val="auto"/>
          <w:sz w:val="30"/>
          <w:szCs w:val="30"/>
        </w:rPr>
      </w:pPr>
      <w:r>
        <w:rPr>
          <w:rFonts w:eastAsia="仿宋_GB2312"/>
          <w:b/>
          <w:color w:val="auto"/>
          <w:sz w:val="30"/>
          <w:szCs w:val="30"/>
          <w:u w:val="single"/>
        </w:rPr>
        <w:t>XXXXXXXX</w:t>
      </w:r>
      <w:r>
        <w:rPr>
          <w:rFonts w:eastAsia="仿宋_GB2312"/>
          <w:color w:val="auto"/>
          <w:sz w:val="30"/>
          <w:szCs w:val="30"/>
        </w:rPr>
        <w:t>：</w:t>
      </w:r>
    </w:p>
    <w:p>
      <w:pPr>
        <w:pStyle w:val="29"/>
        <w:spacing w:line="627" w:lineRule="atLeast"/>
        <w:ind w:left="0" w:firstLine="750" w:firstLineChars="250"/>
        <w:jc w:val="left"/>
        <w:rPr>
          <w:rFonts w:eastAsia="仿宋_GB2312"/>
          <w:color w:val="auto"/>
          <w:sz w:val="30"/>
          <w:szCs w:val="30"/>
        </w:rPr>
      </w:pPr>
      <w:r>
        <w:rPr>
          <w:rFonts w:eastAsia="仿宋_GB2312"/>
          <w:color w:val="auto"/>
          <w:sz w:val="30"/>
          <w:szCs w:val="30"/>
        </w:rPr>
        <w:t>××同志在我单位任职务，系我单位法定代表人，特此证明。</w:t>
      </w:r>
    </w:p>
    <w:p>
      <w:pPr>
        <w:pStyle w:val="29"/>
        <w:spacing w:line="627" w:lineRule="atLeast"/>
        <w:ind w:firstLine="900" w:firstLineChars="300"/>
        <w:jc w:val="left"/>
        <w:rPr>
          <w:rFonts w:eastAsia="仿宋_GB2312"/>
          <w:color w:val="auto"/>
          <w:sz w:val="30"/>
          <w:szCs w:val="30"/>
        </w:rPr>
      </w:pPr>
    </w:p>
    <w:p>
      <w:pPr>
        <w:pStyle w:val="29"/>
        <w:spacing w:line="627" w:lineRule="atLeast"/>
        <w:ind w:right="900" w:firstLine="900" w:firstLineChars="300"/>
        <w:jc w:val="right"/>
        <w:rPr>
          <w:rFonts w:eastAsia="仿宋_GB2312"/>
          <w:color w:val="auto"/>
          <w:sz w:val="30"/>
          <w:szCs w:val="30"/>
        </w:rPr>
      </w:pPr>
      <w:r>
        <w:rPr>
          <w:rFonts w:eastAsia="仿宋_GB2312"/>
          <w:color w:val="auto"/>
          <w:sz w:val="30"/>
          <w:szCs w:val="30"/>
        </w:rPr>
        <w:t>年   月   日</w:t>
      </w: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jc w:val="center"/>
        <w:rPr>
          <w:color w:val="auto"/>
          <w:sz w:val="28"/>
          <w:szCs w:val="28"/>
        </w:rPr>
      </w:pPr>
    </w:p>
    <w:p>
      <w:pPr>
        <w:pStyle w:val="29"/>
        <w:spacing w:line="586" w:lineRule="atLeast"/>
        <w:rPr>
          <w:color w:val="auto"/>
          <w:sz w:val="28"/>
          <w:szCs w:val="28"/>
        </w:rPr>
      </w:pPr>
    </w:p>
    <w:p>
      <w:pPr>
        <w:pStyle w:val="29"/>
        <w:spacing w:line="586" w:lineRule="atLeast"/>
        <w:jc w:val="center"/>
        <w:rPr>
          <w:color w:val="auto"/>
          <w:sz w:val="28"/>
          <w:szCs w:val="28"/>
        </w:rPr>
      </w:pPr>
    </w:p>
    <w:p>
      <w:pPr>
        <w:pStyle w:val="29"/>
        <w:spacing w:line="586" w:lineRule="atLeast"/>
        <w:jc w:val="left"/>
        <w:rPr>
          <w:color w:val="auto"/>
          <w:sz w:val="28"/>
          <w:szCs w:val="28"/>
        </w:rPr>
      </w:pPr>
    </w:p>
    <w:p>
      <w:pPr>
        <w:pStyle w:val="29"/>
        <w:spacing w:line="586" w:lineRule="atLeast"/>
        <w:jc w:val="left"/>
        <w:rPr>
          <w:color w:val="auto"/>
          <w:sz w:val="28"/>
          <w:szCs w:val="28"/>
        </w:rPr>
      </w:pPr>
      <w:r>
        <w:rPr>
          <w:color w:val="auto"/>
          <w:sz w:val="28"/>
          <w:szCs w:val="28"/>
        </w:rPr>
        <w:t>附注：</w:t>
      </w:r>
    </w:p>
    <w:p>
      <w:pPr>
        <w:pStyle w:val="29"/>
        <w:spacing w:line="586" w:lineRule="atLeast"/>
        <w:ind w:firstLine="560" w:firstLineChars="200"/>
        <w:jc w:val="left"/>
        <w:rPr>
          <w:color w:val="auto"/>
          <w:sz w:val="28"/>
          <w:szCs w:val="28"/>
        </w:rPr>
      </w:pPr>
      <w:r>
        <w:rPr>
          <w:color w:val="auto"/>
          <w:sz w:val="28"/>
          <w:szCs w:val="28"/>
        </w:rPr>
        <w:t>①企事业单位、机关、团体的主要负责人为本单位的法定代表人；</w:t>
      </w:r>
    </w:p>
    <w:p>
      <w:pPr>
        <w:pStyle w:val="29"/>
        <w:spacing w:line="586" w:lineRule="atLeast"/>
        <w:ind w:firstLine="570"/>
        <w:jc w:val="left"/>
        <w:rPr>
          <w:color w:val="auto"/>
          <w:sz w:val="28"/>
          <w:szCs w:val="28"/>
        </w:rPr>
      </w:pPr>
      <w:r>
        <w:rPr>
          <w:color w:val="auto"/>
          <w:sz w:val="28"/>
          <w:szCs w:val="28"/>
        </w:rPr>
        <w:t>②法定代表人办公地点：；</w:t>
      </w:r>
    </w:p>
    <w:p>
      <w:pPr>
        <w:pStyle w:val="29"/>
        <w:spacing w:line="586" w:lineRule="atLeast"/>
        <w:ind w:firstLine="570"/>
        <w:jc w:val="left"/>
        <w:rPr>
          <w:color w:val="auto"/>
          <w:sz w:val="28"/>
          <w:szCs w:val="28"/>
        </w:rPr>
      </w:pPr>
      <w:r>
        <w:rPr>
          <w:color w:val="auto"/>
          <w:sz w:val="28"/>
          <w:szCs w:val="28"/>
        </w:rPr>
        <w:t>③法定代表人身份证号码：；</w:t>
      </w:r>
    </w:p>
    <w:p>
      <w:pPr>
        <w:pStyle w:val="29"/>
        <w:spacing w:line="586" w:lineRule="atLeast"/>
        <w:ind w:left="0" w:firstLine="560" w:firstLineChars="200"/>
        <w:jc w:val="left"/>
        <w:rPr>
          <w:color w:val="auto"/>
          <w:sz w:val="28"/>
          <w:szCs w:val="28"/>
        </w:rPr>
      </w:pPr>
      <w:r>
        <w:rPr>
          <w:color w:val="auto"/>
          <w:sz w:val="28"/>
          <w:szCs w:val="28"/>
        </w:rPr>
        <w:t>④法定代表人联系电话：。</w:t>
      </w:r>
    </w:p>
    <w:p>
      <w:pPr>
        <w:pStyle w:val="15"/>
        <w:rPr>
          <w:rFonts w:ascii="Times New Roman" w:hAnsi="Times New Roman" w:eastAsia="黑体"/>
          <w:color w:val="auto"/>
          <w:sz w:val="44"/>
          <w:szCs w:val="44"/>
        </w:rPr>
      </w:pPr>
      <w:r>
        <w:rPr>
          <w:rFonts w:ascii="Times New Roman" w:hAnsi="Times New Roman" w:eastAsia="Dotum"/>
          <w:color w:val="auto"/>
          <w:sz w:val="44"/>
          <w:szCs w:val="44"/>
        </w:rPr>
        <w:br w:type="page"/>
      </w:r>
      <w:bookmarkStart w:id="16" w:name="_Toc3391978"/>
      <w:bookmarkStart w:id="17" w:name="_Toc3391749"/>
      <w:r>
        <w:rPr>
          <w:rFonts w:ascii="Times New Roman" w:hAnsi="Times New Roman" w:eastAsia="黑体"/>
          <w:color w:val="auto"/>
          <w:sz w:val="44"/>
          <w:szCs w:val="44"/>
        </w:rPr>
        <w:t>授权委托书</w:t>
      </w:r>
      <w:bookmarkEnd w:id="16"/>
      <w:bookmarkEnd w:id="17"/>
    </w:p>
    <w:tbl>
      <w:tblPr>
        <w:tblStyle w:val="16"/>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r>
              <w:rPr>
                <w:rFonts w:ascii="仿宋" w:hAnsi="仿宋" w:eastAsia="仿宋"/>
                <w:color w:val="auto"/>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 w:hAnsi="仿宋" w:eastAsia="仿宋"/>
                <w:color w:val="auto"/>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 w:hAnsi="仿宋" w:eastAsia="仿宋"/>
                <w:color w:val="auto"/>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 w:hAnsi="仿宋" w:eastAsia="仿宋"/>
                <w:color w:val="auto"/>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本人授权（受托人）代表本人参加  年  月   日在马踏洞新区龙马大道与鱼泉路交叉口处新政务服务大楼</w:t>
            </w:r>
            <w:r>
              <w:rPr>
                <w:rFonts w:ascii="仿宋" w:hAnsi="仿宋" w:eastAsia="仿宋"/>
                <w:b/>
                <w:color w:val="auto"/>
                <w:kern w:val="0"/>
                <w:sz w:val="24"/>
                <w:u w:val="single"/>
              </w:rPr>
              <w:t>XXXXXXXX</w:t>
            </w:r>
            <w:r>
              <w:rPr>
                <w:rFonts w:ascii="仿宋" w:hAnsi="仿宋" w:eastAsia="仿宋"/>
                <w:color w:val="auto"/>
                <w:kern w:val="0"/>
                <w:sz w:val="24"/>
              </w:rPr>
              <w:t>举行的地块国有建设用地使用权拍卖出让活动，代表本人签</w:t>
            </w:r>
            <w:r>
              <w:rPr>
                <w:rFonts w:hint="eastAsia" w:ascii="仿宋" w:hAnsi="仿宋" w:eastAsia="仿宋"/>
                <w:color w:val="auto"/>
                <w:kern w:val="0"/>
                <w:sz w:val="24"/>
              </w:rPr>
              <w:t>定</w:t>
            </w:r>
            <w:r>
              <w:rPr>
                <w:rFonts w:ascii="仿宋" w:hAnsi="仿宋" w:eastAsia="仿宋"/>
                <w:color w:val="auto"/>
                <w:kern w:val="0"/>
                <w:sz w:val="24"/>
              </w:rPr>
              <w:t>《成交确认书》、《国有建设用地使用权出让合同》等具有法律意义的文件、凭据等。</w:t>
            </w:r>
          </w:p>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 w:hAnsi="仿宋" w:eastAsia="仿宋"/>
                <w:color w:val="auto"/>
                <w:kern w:val="0"/>
                <w:sz w:val="24"/>
              </w:rPr>
            </w:pPr>
            <w:r>
              <w:rPr>
                <w:rFonts w:ascii="仿宋" w:hAnsi="仿宋" w:eastAsia="仿宋"/>
                <w:color w:val="auto"/>
                <w:kern w:val="0"/>
                <w:sz w:val="24"/>
              </w:rPr>
              <w:t>委托人（签名）：</w:t>
            </w:r>
          </w:p>
          <w:p>
            <w:pPr>
              <w:widowControl/>
              <w:spacing w:line="500" w:lineRule="exact"/>
              <w:ind w:firstLine="3360" w:firstLineChars="1400"/>
              <w:jc w:val="left"/>
              <w:rPr>
                <w:rFonts w:ascii="仿宋" w:hAnsi="仿宋" w:eastAsia="仿宋"/>
                <w:color w:val="auto"/>
                <w:kern w:val="0"/>
                <w:sz w:val="24"/>
              </w:rPr>
            </w:pPr>
            <w:r>
              <w:rPr>
                <w:rFonts w:ascii="仿宋" w:hAnsi="仿宋" w:eastAsia="仿宋"/>
                <w:color w:val="auto"/>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 w:hAnsi="仿宋" w:eastAsia="仿宋"/>
                <w:color w:val="auto"/>
                <w:kern w:val="0"/>
                <w:sz w:val="24"/>
              </w:rPr>
            </w:pPr>
            <w:r>
              <w:rPr>
                <w:rFonts w:ascii="仿宋" w:hAnsi="仿宋" w:eastAsia="仿宋"/>
                <w:color w:val="auto"/>
                <w:kern w:val="0"/>
                <w:sz w:val="24"/>
              </w:rPr>
              <w:t>备</w:t>
            </w:r>
          </w:p>
          <w:p>
            <w:pPr>
              <w:widowControl/>
              <w:spacing w:line="400" w:lineRule="exact"/>
              <w:ind w:left="1" w:firstLine="238"/>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r>
              <w:rPr>
                <w:rFonts w:ascii="仿宋" w:hAnsi="仿宋" w:eastAsia="仿宋"/>
                <w:color w:val="auto"/>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 w:hAnsi="仿宋" w:eastAsia="仿宋"/>
                <w:color w:val="auto"/>
                <w:kern w:val="0"/>
                <w:sz w:val="24"/>
              </w:rPr>
            </w:pPr>
          </w:p>
          <w:p>
            <w:pPr>
              <w:widowControl/>
              <w:spacing w:line="400" w:lineRule="exact"/>
              <w:ind w:left="1"/>
              <w:rPr>
                <w:rFonts w:ascii="仿宋" w:hAnsi="仿宋" w:eastAsia="仿宋"/>
                <w:color w:val="auto"/>
                <w:kern w:val="0"/>
                <w:sz w:val="24"/>
              </w:rPr>
            </w:pPr>
            <w:r>
              <w:rPr>
                <w:rFonts w:ascii="仿宋" w:hAnsi="仿宋" w:eastAsia="仿宋"/>
                <w:color w:val="auto"/>
                <w:kern w:val="0"/>
                <w:sz w:val="24"/>
              </w:rPr>
              <w:t>兹证明本委托书确系本单位法定代表人亲自签定</w:t>
            </w:r>
          </w:p>
          <w:p>
            <w:pPr>
              <w:widowControl/>
              <w:spacing w:line="400" w:lineRule="exact"/>
              <w:ind w:left="1"/>
              <w:jc w:val="center"/>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p>
          <w:p>
            <w:pPr>
              <w:widowControl/>
              <w:spacing w:line="400" w:lineRule="exact"/>
              <w:ind w:left="1"/>
              <w:jc w:val="center"/>
              <w:rPr>
                <w:rFonts w:ascii="仿宋" w:hAnsi="仿宋" w:eastAsia="仿宋"/>
                <w:color w:val="auto"/>
                <w:kern w:val="0"/>
                <w:sz w:val="24"/>
              </w:rPr>
            </w:pPr>
            <w:r>
              <w:rPr>
                <w:rFonts w:eastAsia="仿宋"/>
                <w:color w:val="auto"/>
                <w:kern w:val="0"/>
                <w:sz w:val="24"/>
              </w:rPr>
              <w:t> </w:t>
            </w:r>
            <w:r>
              <w:rPr>
                <w:rFonts w:ascii="仿宋" w:hAnsi="仿宋" w:eastAsia="仿宋"/>
                <w:color w:val="auto"/>
                <w:kern w:val="0"/>
                <w:sz w:val="24"/>
              </w:rPr>
              <w:t>单位公章：</w:t>
            </w:r>
          </w:p>
          <w:p>
            <w:pPr>
              <w:widowControl/>
              <w:spacing w:line="400" w:lineRule="exact"/>
              <w:ind w:left="1"/>
              <w:rPr>
                <w:rFonts w:ascii="仿宋" w:hAnsi="仿宋" w:eastAsia="仿宋"/>
                <w:color w:val="auto"/>
                <w:kern w:val="0"/>
                <w:sz w:val="24"/>
              </w:rPr>
            </w:pPr>
          </w:p>
          <w:p>
            <w:pPr>
              <w:widowControl/>
              <w:spacing w:line="400" w:lineRule="exact"/>
              <w:ind w:left="1" w:right="480" w:firstLine="4680" w:firstLineChars="1950"/>
              <w:rPr>
                <w:rFonts w:ascii="仿宋" w:hAnsi="仿宋" w:eastAsia="仿宋"/>
                <w:color w:val="auto"/>
                <w:kern w:val="0"/>
                <w:sz w:val="24"/>
              </w:rPr>
            </w:pPr>
            <w:r>
              <w:rPr>
                <w:rFonts w:ascii="仿宋" w:hAnsi="仿宋" w:eastAsia="仿宋"/>
                <w:color w:val="auto"/>
                <w:kern w:val="0"/>
                <w:sz w:val="24"/>
              </w:rPr>
              <w:t>年月日</w:t>
            </w:r>
          </w:p>
        </w:tc>
      </w:tr>
    </w:tbl>
    <w:p>
      <w:pPr>
        <w:pStyle w:val="29"/>
        <w:spacing w:line="760" w:lineRule="exact"/>
        <w:ind w:left="0"/>
        <w:jc w:val="center"/>
        <w:rPr>
          <w:rFonts w:eastAsia="方正小标宋简体"/>
          <w:color w:val="auto"/>
          <w:spacing w:val="-5"/>
          <w:kern w:val="2"/>
          <w:sz w:val="44"/>
          <w:szCs w:val="44"/>
        </w:rPr>
      </w:pPr>
    </w:p>
    <w:p>
      <w:pPr>
        <w:jc w:val="center"/>
        <w:rPr>
          <w:rFonts w:eastAsia="黑体"/>
          <w:b/>
          <w:bCs/>
          <w:color w:val="auto"/>
          <w:sz w:val="44"/>
          <w:szCs w:val="44"/>
        </w:rPr>
      </w:pPr>
      <w:r>
        <w:rPr>
          <w:rFonts w:eastAsia="方正小标宋简体"/>
          <w:color w:val="auto"/>
          <w:spacing w:val="-5"/>
          <w:sz w:val="44"/>
          <w:szCs w:val="44"/>
        </w:rPr>
        <w:br w:type="page"/>
      </w:r>
      <w:r>
        <w:rPr>
          <w:rFonts w:eastAsia="黑体"/>
          <w:b/>
          <w:bCs/>
          <w:color w:val="auto"/>
          <w:sz w:val="44"/>
          <w:szCs w:val="44"/>
        </w:rPr>
        <w:t>国有建设用地使用权出让成交确认书</w:t>
      </w:r>
    </w:p>
    <w:p>
      <w:pPr>
        <w:spacing w:line="560" w:lineRule="exact"/>
        <w:jc w:val="center"/>
        <w:rPr>
          <w:rFonts w:ascii="仿宋" w:hAnsi="仿宋" w:eastAsia="仿宋"/>
          <w:color w:val="auto"/>
          <w:sz w:val="30"/>
          <w:szCs w:val="30"/>
        </w:rPr>
      </w:pPr>
      <w:r>
        <w:rPr>
          <w:rFonts w:ascii="仿宋" w:hAnsi="仿宋" w:eastAsia="仿宋"/>
          <w:color w:val="auto"/>
          <w:sz w:val="30"/>
          <w:szCs w:val="30"/>
        </w:rPr>
        <w:t>(    )</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受</w:t>
      </w:r>
      <w:r>
        <w:rPr>
          <w:rFonts w:ascii="仿宋" w:hAnsi="仿宋" w:eastAsia="仿宋"/>
          <w:color w:val="auto"/>
          <w:sz w:val="30"/>
          <w:szCs w:val="30"/>
          <w:u w:val="single"/>
        </w:rPr>
        <w:t xml:space="preserve">  （出让人） </w:t>
      </w:r>
      <w:r>
        <w:rPr>
          <w:rFonts w:ascii="仿宋" w:hAnsi="仿宋" w:eastAsia="仿宋"/>
          <w:color w:val="auto"/>
          <w:sz w:val="30"/>
          <w:szCs w:val="30"/>
        </w:rPr>
        <w:t>委托， 年  月  日，</w:t>
      </w:r>
      <w:r>
        <w:rPr>
          <w:rFonts w:ascii="仿宋" w:hAnsi="仿宋" w:eastAsia="仿宋"/>
          <w:b/>
          <w:color w:val="auto"/>
          <w:sz w:val="30"/>
          <w:szCs w:val="30"/>
          <w:u w:val="single"/>
        </w:rPr>
        <w:t>XXXXXXXX</w:t>
      </w:r>
      <w:r>
        <w:rPr>
          <w:rFonts w:ascii="仿宋" w:hAnsi="仿宋" w:eastAsia="仿宋"/>
          <w:color w:val="auto"/>
          <w:sz w:val="30"/>
          <w:szCs w:val="30"/>
        </w:rPr>
        <w:t>对</w:t>
      </w:r>
      <w:r>
        <w:rPr>
          <w:rFonts w:ascii="仿宋" w:hAnsi="仿宋" w:eastAsia="仿宋"/>
          <w:color w:val="auto"/>
          <w:sz w:val="30"/>
          <w:szCs w:val="30"/>
          <w:u w:val="single"/>
        </w:rPr>
        <w:t xml:space="preserve">          号</w:t>
      </w:r>
      <w:r>
        <w:rPr>
          <w:rFonts w:ascii="仿宋" w:hAnsi="仿宋" w:eastAsia="仿宋"/>
          <w:color w:val="auto"/>
          <w:sz w:val="30"/>
          <w:szCs w:val="30"/>
        </w:rPr>
        <w:t xml:space="preserve">国有建设用地使用权进行了公开 </w:t>
      </w:r>
      <w:r>
        <w:rPr>
          <w:rFonts w:ascii="仿宋" w:hAnsi="仿宋" w:eastAsia="仿宋"/>
          <w:color w:val="auto"/>
          <w:sz w:val="30"/>
          <w:szCs w:val="30"/>
          <w:u w:val="single"/>
        </w:rPr>
        <w:t xml:space="preserve"> （招标、拍卖、挂牌）</w:t>
      </w:r>
      <w:r>
        <w:rPr>
          <w:rFonts w:ascii="仿宋" w:hAnsi="仿宋" w:eastAsia="仿宋"/>
          <w:color w:val="auto"/>
          <w:sz w:val="30"/>
          <w:szCs w:val="30"/>
        </w:rPr>
        <w:t>出让，由</w:t>
      </w:r>
      <w:r>
        <w:rPr>
          <w:rFonts w:ascii="仿宋" w:hAnsi="仿宋" w:eastAsia="仿宋"/>
          <w:color w:val="auto"/>
          <w:sz w:val="30"/>
          <w:szCs w:val="30"/>
          <w:u w:val="single"/>
        </w:rPr>
        <w:t xml:space="preserve">   （竞得人）   </w:t>
      </w:r>
      <w:r>
        <w:rPr>
          <w:rFonts w:ascii="仿宋" w:hAnsi="仿宋" w:eastAsia="仿宋"/>
          <w:color w:val="auto"/>
          <w:sz w:val="30"/>
          <w:szCs w:val="30"/>
        </w:rPr>
        <w:t>竞得该宗地的国有建设用地使用权。现将有关事项确认如下：</w:t>
      </w:r>
    </w:p>
    <w:p>
      <w:pPr>
        <w:numPr>
          <w:ilvl w:val="0"/>
          <w:numId w:val="3"/>
        </w:num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该地块面积为，成交单价为(人民币   )：，大写（人民币     ），成交总价为（人民币  ），大写（人民币    ）。</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二、竞得人缴纳的竞买保证金自成交之日起自动转作受让地块的定金。</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三、竞得人签</w:t>
      </w:r>
      <w:r>
        <w:rPr>
          <w:rFonts w:hint="eastAsia" w:ascii="仿宋" w:hAnsi="仿宋" w:eastAsia="仿宋"/>
          <w:color w:val="auto"/>
          <w:sz w:val="30"/>
          <w:szCs w:val="30"/>
        </w:rPr>
        <w:t>定</w:t>
      </w:r>
      <w:r>
        <w:rPr>
          <w:rFonts w:ascii="仿宋" w:hAnsi="仿宋" w:eastAsia="仿宋"/>
          <w:color w:val="auto"/>
          <w:sz w:val="30"/>
          <w:szCs w:val="30"/>
        </w:rPr>
        <w:t>《成交确认书》后，按出让文件约定在8个工作日以内向XXXX支付交易服务费，也可由竞得人与按出让文件约定成立的新公司协商缴纳。</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四、竞得人应在本《成交确认书》签</w:t>
      </w:r>
      <w:r>
        <w:rPr>
          <w:rFonts w:hint="eastAsia" w:ascii="仿宋" w:hAnsi="仿宋" w:eastAsia="仿宋"/>
          <w:color w:val="auto"/>
          <w:sz w:val="30"/>
          <w:szCs w:val="30"/>
        </w:rPr>
        <w:t>定</w:t>
      </w:r>
      <w:r>
        <w:rPr>
          <w:rFonts w:ascii="仿宋" w:hAnsi="仿宋" w:eastAsia="仿宋"/>
          <w:color w:val="auto"/>
          <w:sz w:val="30"/>
          <w:szCs w:val="30"/>
        </w:rPr>
        <w:t>后10个工作日内，持本《成交确认书》与</w:t>
      </w:r>
      <w:r>
        <w:rPr>
          <w:rFonts w:ascii="仿宋" w:hAnsi="仿宋" w:eastAsia="仿宋"/>
          <w:color w:val="auto"/>
          <w:sz w:val="30"/>
          <w:szCs w:val="30"/>
          <w:u w:val="single"/>
        </w:rPr>
        <w:t xml:space="preserve"> （出让人） </w:t>
      </w:r>
      <w:r>
        <w:rPr>
          <w:rFonts w:ascii="仿宋" w:hAnsi="仿宋" w:eastAsia="仿宋"/>
          <w:color w:val="auto"/>
          <w:sz w:val="30"/>
          <w:szCs w:val="30"/>
        </w:rPr>
        <w:t>签订《国有建设用地使用权出让合同》；不按期签订《国有建设用地使用权出让合同》的，视为竞得人自动放弃竞得资格，</w:t>
      </w:r>
      <w:r>
        <w:rPr>
          <w:rFonts w:ascii="仿宋" w:hAnsi="仿宋" w:eastAsia="仿宋"/>
          <w:color w:val="auto"/>
          <w:sz w:val="30"/>
          <w:szCs w:val="30"/>
          <w:u w:val="single"/>
        </w:rPr>
        <w:t>（出让人）</w:t>
      </w:r>
      <w:r>
        <w:rPr>
          <w:rFonts w:ascii="仿宋" w:hAnsi="仿宋" w:eastAsia="仿宋"/>
          <w:color w:val="auto"/>
          <w:sz w:val="30"/>
          <w:szCs w:val="30"/>
        </w:rPr>
        <w:t>终止供地，不退还定金，并承担相应的法律责任。</w:t>
      </w:r>
    </w:p>
    <w:p>
      <w:pPr>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五、本《成交确认书》一式</w:t>
      </w:r>
      <w:r>
        <w:rPr>
          <w:rFonts w:hint="eastAsia" w:ascii="仿宋" w:hAnsi="仿宋" w:eastAsia="仿宋"/>
          <w:color w:val="auto"/>
          <w:sz w:val="30"/>
          <w:szCs w:val="30"/>
        </w:rPr>
        <w:t>叁</w:t>
      </w:r>
      <w:r>
        <w:rPr>
          <w:rFonts w:ascii="仿宋" w:hAnsi="仿宋" w:eastAsia="仿宋"/>
          <w:color w:val="auto"/>
          <w:sz w:val="30"/>
          <w:szCs w:val="30"/>
        </w:rPr>
        <w:t>份，达州市公共资源交易服务</w:t>
      </w:r>
      <w:r>
        <w:rPr>
          <w:rFonts w:hint="eastAsia" w:ascii="仿宋" w:hAnsi="仿宋" w:eastAsia="仿宋"/>
          <w:color w:val="auto"/>
          <w:sz w:val="30"/>
          <w:szCs w:val="30"/>
        </w:rPr>
        <w:t>中心</w:t>
      </w:r>
      <w:r>
        <w:rPr>
          <w:rFonts w:ascii="仿宋" w:hAnsi="仿宋" w:eastAsia="仿宋"/>
          <w:color w:val="auto"/>
          <w:sz w:val="30"/>
          <w:szCs w:val="30"/>
        </w:rPr>
        <w:t xml:space="preserve">、出让人、竞得人各执 </w:t>
      </w:r>
      <w:r>
        <w:rPr>
          <w:rFonts w:hint="eastAsia" w:ascii="仿宋" w:hAnsi="仿宋" w:eastAsia="仿宋"/>
          <w:color w:val="auto"/>
          <w:sz w:val="30"/>
          <w:szCs w:val="30"/>
          <w:lang w:val="en-US" w:eastAsia="zh-CN"/>
        </w:rPr>
        <w:t>壹</w:t>
      </w:r>
      <w:r>
        <w:rPr>
          <w:rFonts w:ascii="仿宋" w:hAnsi="仿宋" w:eastAsia="仿宋"/>
          <w:color w:val="auto"/>
          <w:sz w:val="30"/>
          <w:szCs w:val="30"/>
        </w:rPr>
        <w:t>份。</w:t>
      </w:r>
    </w:p>
    <w:p>
      <w:pPr>
        <w:spacing w:line="560" w:lineRule="exact"/>
        <w:rPr>
          <w:rFonts w:ascii="仿宋" w:hAnsi="仿宋" w:eastAsia="仿宋"/>
          <w:color w:val="auto"/>
          <w:sz w:val="30"/>
          <w:szCs w:val="30"/>
        </w:rPr>
      </w:pPr>
      <w:r>
        <w:rPr>
          <w:rFonts w:ascii="仿宋" w:hAnsi="仿宋" w:eastAsia="仿宋"/>
          <w:b/>
          <w:color w:val="auto"/>
          <w:sz w:val="30"/>
          <w:szCs w:val="30"/>
        </w:rPr>
        <w:t>出让人</w:t>
      </w:r>
      <w:r>
        <w:rPr>
          <w:rFonts w:ascii="仿宋" w:hAnsi="仿宋" w:eastAsia="仿宋"/>
          <w:color w:val="auto"/>
          <w:sz w:val="30"/>
          <w:szCs w:val="30"/>
        </w:rPr>
        <w:t>：</w:t>
      </w:r>
      <w:r>
        <w:rPr>
          <w:rFonts w:hint="eastAsia" w:ascii="仿宋" w:hAnsi="仿宋" w:eastAsia="仿宋"/>
          <w:color w:val="auto"/>
          <w:sz w:val="30"/>
          <w:szCs w:val="30"/>
        </w:rPr>
        <w:t xml:space="preserve">            </w:t>
      </w:r>
      <w:r>
        <w:rPr>
          <w:rFonts w:ascii="仿宋" w:hAnsi="仿宋" w:eastAsia="仿宋"/>
          <w:b/>
          <w:color w:val="auto"/>
          <w:sz w:val="30"/>
          <w:szCs w:val="30"/>
        </w:rPr>
        <w:t>竞得人：</w:t>
      </w:r>
      <w:r>
        <w:rPr>
          <w:rFonts w:hint="eastAsia" w:ascii="仿宋" w:hAnsi="仿宋" w:eastAsia="仿宋"/>
          <w:b/>
          <w:color w:val="auto"/>
          <w:sz w:val="30"/>
          <w:szCs w:val="30"/>
        </w:rPr>
        <w:t xml:space="preserve">     </w:t>
      </w:r>
      <w:r>
        <w:rPr>
          <w:rFonts w:ascii="仿宋" w:hAnsi="仿宋" w:eastAsia="仿宋"/>
          <w:color w:val="auto"/>
          <w:sz w:val="30"/>
          <w:szCs w:val="30"/>
        </w:rPr>
        <w:t>达州市公共资源交易服务</w:t>
      </w:r>
      <w:r>
        <w:rPr>
          <w:rFonts w:hint="eastAsia" w:ascii="仿宋" w:hAnsi="仿宋" w:eastAsia="仿宋"/>
          <w:color w:val="auto"/>
          <w:sz w:val="30"/>
          <w:szCs w:val="30"/>
        </w:rPr>
        <w:t>中心</w:t>
      </w:r>
    </w:p>
    <w:p>
      <w:pPr>
        <w:spacing w:line="560" w:lineRule="exact"/>
        <w:rPr>
          <w:rFonts w:ascii="仿宋" w:hAnsi="仿宋" w:eastAsia="仿宋"/>
          <w:b/>
          <w:color w:val="auto"/>
          <w:sz w:val="30"/>
          <w:szCs w:val="30"/>
        </w:rPr>
      </w:pPr>
      <w:r>
        <w:rPr>
          <w:rFonts w:ascii="仿宋" w:hAnsi="仿宋" w:eastAsia="仿宋"/>
          <w:b/>
          <w:color w:val="auto"/>
          <w:sz w:val="30"/>
          <w:szCs w:val="30"/>
        </w:rPr>
        <w:t>法定代表人：</w:t>
      </w:r>
      <w:r>
        <w:rPr>
          <w:rFonts w:hint="eastAsia" w:ascii="仿宋" w:hAnsi="仿宋" w:eastAsia="仿宋"/>
          <w:b/>
          <w:color w:val="auto"/>
          <w:sz w:val="30"/>
          <w:szCs w:val="30"/>
        </w:rPr>
        <w:t xml:space="preserve">        </w:t>
      </w:r>
      <w:r>
        <w:rPr>
          <w:rFonts w:ascii="仿宋" w:hAnsi="仿宋" w:eastAsia="仿宋"/>
          <w:b/>
          <w:color w:val="auto"/>
          <w:sz w:val="30"/>
          <w:szCs w:val="30"/>
        </w:rPr>
        <w:t>法定代表人：</w:t>
      </w:r>
      <w:r>
        <w:rPr>
          <w:rFonts w:hint="eastAsia" w:ascii="仿宋" w:hAnsi="仿宋" w:eastAsia="仿宋"/>
          <w:b/>
          <w:color w:val="auto"/>
          <w:sz w:val="30"/>
          <w:szCs w:val="30"/>
        </w:rPr>
        <w:t xml:space="preserve">      </w:t>
      </w:r>
      <w:r>
        <w:rPr>
          <w:rFonts w:ascii="仿宋" w:hAnsi="仿宋" w:eastAsia="仿宋"/>
          <w:b/>
          <w:color w:val="auto"/>
          <w:sz w:val="30"/>
          <w:szCs w:val="30"/>
        </w:rPr>
        <w:t>法定代表人：</w:t>
      </w:r>
    </w:p>
    <w:p>
      <w:pPr>
        <w:spacing w:line="560" w:lineRule="exact"/>
        <w:rPr>
          <w:rFonts w:ascii="仿宋" w:hAnsi="仿宋" w:eastAsia="仿宋"/>
          <w:color w:val="auto"/>
          <w:sz w:val="30"/>
          <w:szCs w:val="30"/>
        </w:rPr>
      </w:pP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ascii="仿宋" w:hAnsi="仿宋" w:eastAsia="仿宋"/>
          <w:b/>
          <w:color w:val="auto"/>
          <w:sz w:val="30"/>
          <w:szCs w:val="30"/>
        </w:rPr>
        <w:t>委托代理人</w:t>
      </w:r>
      <w:r>
        <w:rPr>
          <w:rFonts w:hint="eastAsia" w:ascii="仿宋" w:hAnsi="仿宋" w:eastAsia="仿宋"/>
          <w:b/>
          <w:color w:val="auto"/>
          <w:sz w:val="30"/>
          <w:szCs w:val="30"/>
        </w:rPr>
        <w:t xml:space="preserve">：   </w:t>
      </w:r>
      <w:r>
        <w:rPr>
          <w:rFonts w:hint="eastAsia" w:ascii="仿宋" w:hAnsi="仿宋" w:eastAsia="仿宋"/>
          <w:color w:val="auto"/>
          <w:sz w:val="30"/>
          <w:szCs w:val="30"/>
        </w:rPr>
        <w:t xml:space="preserve">    </w:t>
      </w:r>
      <w:r>
        <w:rPr>
          <w:rFonts w:ascii="仿宋" w:hAnsi="仿宋" w:eastAsia="仿宋"/>
          <w:color w:val="auto"/>
          <w:sz w:val="30"/>
          <w:szCs w:val="30"/>
        </w:rPr>
        <w:t xml:space="preserve">    </w:t>
      </w:r>
    </w:p>
    <w:p>
      <w:pPr>
        <w:spacing w:line="560" w:lineRule="exact"/>
        <w:rPr>
          <w:rFonts w:ascii="仿宋" w:hAnsi="仿宋" w:eastAsia="仿宋"/>
          <w:b/>
          <w:color w:val="auto"/>
          <w:sz w:val="30"/>
          <w:szCs w:val="30"/>
        </w:rPr>
      </w:pPr>
      <w:r>
        <w:rPr>
          <w:rFonts w:ascii="仿宋" w:hAnsi="仿宋" w:eastAsia="仿宋"/>
          <w:b/>
          <w:color w:val="auto"/>
          <w:sz w:val="30"/>
          <w:szCs w:val="30"/>
        </w:rPr>
        <w:t xml:space="preserve">公证员：                    </w:t>
      </w:r>
      <w:r>
        <w:rPr>
          <w:rFonts w:ascii="仿宋" w:hAnsi="仿宋" w:eastAsia="仿宋"/>
          <w:color w:val="auto"/>
          <w:sz w:val="30"/>
          <w:szCs w:val="30"/>
        </w:rPr>
        <w:t>签定时间：年   月   日</w:t>
      </w:r>
    </w:p>
    <w:p>
      <w:pPr>
        <w:pStyle w:val="29"/>
        <w:spacing w:line="560" w:lineRule="exact"/>
        <w:ind w:left="0"/>
        <w:jc w:val="left"/>
        <w:rPr>
          <w:rFonts w:eastAsia="仿宋_GB2312"/>
          <w:color w:val="auto"/>
          <w:sz w:val="32"/>
          <w:szCs w:val="32"/>
        </w:rPr>
        <w:sectPr>
          <w:pgSz w:w="11906" w:h="16838"/>
          <w:pgMar w:top="1418" w:right="1418" w:bottom="1418" w:left="1701" w:header="851" w:footer="992" w:gutter="0"/>
          <w:pgNumType w:fmt="numberInDash"/>
          <w:cols w:space="425" w:num="1"/>
          <w:docGrid w:type="lines" w:linePitch="312" w:charSpace="0"/>
        </w:sectPr>
      </w:pPr>
    </w:p>
    <w:p>
      <w:pPr>
        <w:pStyle w:val="29"/>
        <w:spacing w:line="600" w:lineRule="exact"/>
        <w:ind w:left="0"/>
        <w:rPr>
          <w:color w:val="auto"/>
        </w:rPr>
      </w:pPr>
    </w:p>
    <w:p>
      <w:pPr>
        <w:pStyle w:val="29"/>
        <w:spacing w:line="600" w:lineRule="exact"/>
        <w:rPr>
          <w:color w:val="auto"/>
          <w:w w:val="90"/>
          <w:sz w:val="32"/>
          <w:szCs w:val="32"/>
        </w:rPr>
      </w:pPr>
      <w:r>
        <w:rPr>
          <w:color w:val="auto"/>
        </w:rPr>
        <mc:AlternateContent>
          <mc:Choice Requires="wps">
            <w:drawing>
              <wp:anchor distT="0" distB="0" distL="114300" distR="114300" simplePos="0" relativeHeight="25166233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 name="G1" fmla="val 0"/>
                          </a:gdLst>
                          <a:ahLst/>
                          <a:cxnLst/>
                          <a:rect l="G1" t="G1" r="G1" b="G1"/>
                          <a:pathLst>
                            <a:path w="20000" h="20000">
                              <a:moveTo>
                                <a:pt x="10800" y="10800"/>
                              </a:moveTo>
                              <a:lnTo>
                                <a:pt x="0" y="0"/>
                              </a:lnTo>
                              <a:lnTo>
                                <a:pt x="0" y="0"/>
                              </a:lnTo>
                              <a:lnTo>
                                <a:pt x="10800" y="10800"/>
                              </a:lnTo>
                              <a:lnTo>
                                <a:pt x="10800" y="10800"/>
                              </a:lnTo>
                              <a:lnTo>
                                <a:pt x="0" y="0"/>
                              </a:lnTo>
                              <a:lnTo>
                                <a:pt x="0" y="0"/>
                              </a:lnTo>
                              <a:lnTo>
                                <a:pt x="0" y="0"/>
                              </a:lnTo>
                              <a:lnTo>
                                <a:pt x="0" y="0"/>
                              </a:lnTo>
                              <a:lnTo>
                                <a:pt x="0" y="0"/>
                              </a:lnTo>
                              <a:lnTo>
                                <a:pt x="0" y="0"/>
                              </a:lnTo>
                              <a:close/>
                            </a:path>
                          </a:pathLst>
                        </a:custGeom>
                        <a:solidFill>
                          <a:srgbClr val="FFFFFF"/>
                        </a:solidFill>
                        <a:ln w="9525" cap="flat" cmpd="sng">
                          <a:solidFill>
                            <a:srgbClr val="000000"/>
                          </a:solidFill>
                          <a:prstDash val="solid"/>
                          <a:round/>
                          <a:headEnd type="none" w="med" len="med"/>
                          <a:tailEnd type="none" w="med" len="med"/>
                        </a:ln>
                        <a:effectLst/>
                      </wps:spPr>
                      <wps:txbx>
                        <w:txbxContent>
                          <w:p/>
                        </w:txbxContent>
                      </wps:txbx>
                      <wps:bodyPr upright="1"/>
                    </wps:wsp>
                  </a:graphicData>
                </a:graphic>
              </wp:anchor>
            </w:drawing>
          </mc:Choice>
          <mc:Fallback>
            <w:pict>
              <v:shape id="AutoShape 6" o:spid="_x0000_s1026" o:spt="100" style="position:absolute;left:0pt;margin-left:0pt;margin-top:0pt;height:50pt;width:50pt;visibility:hidden;z-index:251662336;mso-width-relative:page;mso-height-relative:page;" fillcolor="#FFFFFF" filled="t" stroked="t"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path="m10800,10800l0,0,0,0,10800,10800,10800,10800,0,0,0,0,0,0,0,0,0,0,0,0xe">
                <v:path textboxrect="0,0,20000,20000"/>
                <v:fill on="t" focussize="0,0"/>
                <v:stroke color="#000000" joinstyle="round"/>
                <v:imagedata o:title=""/>
                <o:lock v:ext="edit" selection="t" aspectratio="f"/>
                <v:textbox>
                  <w:txbxContent>
                    <w:p/>
                  </w:txbxContent>
                </v:textbox>
              </v:shape>
            </w:pict>
          </mc:Fallback>
        </mc:AlternateContent>
      </w:r>
      <w:r>
        <w:rPr>
          <w:rFonts w:eastAsia="黑体"/>
          <w:color w:val="auto"/>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6"/>
        <w:wordWrap w:val="0"/>
        <w:jc w:val="right"/>
        <w:rPr>
          <w:rFonts w:ascii="Times New Roman" w:hAnsi="Times New Roman"/>
          <w:color w:val="auto"/>
        </w:rPr>
      </w:pPr>
      <w:r>
        <w:rPr>
          <w:rFonts w:ascii="Times New Roman" w:hAnsi="Times New Roman"/>
          <w:color w:val="auto"/>
        </w:rPr>
        <w:t>电子监管号：</w:t>
      </w:r>
    </w:p>
    <w:p>
      <w:pPr>
        <w:pStyle w:val="6"/>
        <w:rPr>
          <w:rFonts w:ascii="Times New Roman" w:hAnsi="Times New Roman"/>
          <w:color w:val="auto"/>
        </w:rPr>
      </w:pPr>
    </w:p>
    <w:p>
      <w:pPr>
        <w:pStyle w:val="6"/>
        <w:rPr>
          <w:rFonts w:ascii="Times New Roman" w:hAnsi="Times New Roman" w:eastAsia="黑体"/>
          <w:color w:val="auto"/>
        </w:rPr>
      </w:pPr>
      <w:r>
        <w:rPr>
          <w:rFonts w:ascii="Times New Roman" w:hAnsi="Times New Roman" w:eastAsia="黑体"/>
          <w:color w:val="auto"/>
        </w:rPr>
        <w:t>（样本）</w:t>
      </w:r>
    </w:p>
    <w:p>
      <w:pPr>
        <w:pStyle w:val="6"/>
        <w:rPr>
          <w:rStyle w:val="28"/>
          <w:rFonts w:ascii="Times New Roman" w:hAnsi="Times New Roman"/>
          <w:color w:val="auto"/>
        </w:rPr>
      </w:pPr>
    </w:p>
    <w:p>
      <w:pPr>
        <w:pStyle w:val="6"/>
        <w:rPr>
          <w:rStyle w:val="28"/>
          <w:rFonts w:ascii="Times New Roman" w:hAnsi="Times New Roman"/>
          <w:color w:val="auto"/>
        </w:rPr>
      </w:pPr>
    </w:p>
    <w:p>
      <w:pPr>
        <w:pStyle w:val="3"/>
        <w:jc w:val="center"/>
        <w:rPr>
          <w:rFonts w:eastAsia="宋体"/>
          <w:color w:val="auto"/>
          <w:sz w:val="18"/>
          <w:szCs w:val="18"/>
        </w:rPr>
      </w:pPr>
      <w:bookmarkStart w:id="18" w:name="_Toc3391980"/>
      <w:bookmarkStart w:id="19" w:name="_Toc3391751"/>
      <w:r>
        <w:rPr>
          <w:rFonts w:eastAsia="宋体"/>
          <w:color w:val="auto"/>
        </w:rPr>
        <w:t>国有建设用地使用权出让合同</w:t>
      </w:r>
      <w:bookmarkEnd w:id="18"/>
      <w:bookmarkEnd w:id="19"/>
    </w:p>
    <w:p>
      <w:pPr>
        <w:pStyle w:val="6"/>
        <w:rPr>
          <w:rFonts w:ascii="Times New Roman" w:hAnsi="Times New Roman"/>
          <w:b/>
          <w:bCs/>
          <w:color w:val="auto"/>
          <w:sz w:val="18"/>
          <w:szCs w:val="1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rPr>
          <w:rFonts w:ascii="Times New Roman" w:hAnsi="Times New Roman"/>
          <w:color w:val="auto"/>
          <w:sz w:val="48"/>
          <w:szCs w:val="48"/>
        </w:rPr>
      </w:pPr>
    </w:p>
    <w:p>
      <w:pPr>
        <w:pStyle w:val="6"/>
        <w:spacing w:line="500" w:lineRule="exact"/>
        <w:jc w:val="left"/>
        <w:rPr>
          <w:rFonts w:ascii="Times New Roman" w:hAnsi="Times New Roman"/>
          <w:bCs/>
          <w:color w:val="auto"/>
        </w:rPr>
      </w:pPr>
      <w:r>
        <w:rPr>
          <w:rFonts w:ascii="Times New Roman" w:hAnsi="Times New Roman"/>
          <w:color w:val="auto"/>
        </w:rPr>
        <mc:AlternateContent>
          <mc:Choice Requires="wps">
            <w:drawing>
              <wp:anchor distT="0" distB="0" distL="114300" distR="114300" simplePos="0" relativeHeight="251663360"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2" name="Rectangle 7"/>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19.5pt;margin-top:11.85pt;height:35.1pt;width:48.75pt;z-index:25166336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rFonts w:ascii="Times New Roman" w:hAnsi="Times New Roman"/>
          <w:color w:val="auto"/>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11" name="Rectangle 8"/>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6pt;margin-top:0pt;height:62.4pt;width:288pt;z-index:251664384;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6"/>
        <w:spacing w:line="500" w:lineRule="exact"/>
        <w:jc w:val="left"/>
        <w:rPr>
          <w:rFonts w:ascii="Times New Roman" w:hAnsi="Times New Roman"/>
          <w:b/>
          <w:bCs/>
          <w:color w:val="auto"/>
          <w:sz w:val="36"/>
          <w:szCs w:val="36"/>
        </w:rPr>
      </w:pPr>
    </w:p>
    <w:p>
      <w:pPr>
        <w:pStyle w:val="6"/>
        <w:spacing w:line="578" w:lineRule="exact"/>
        <w:ind w:right="640"/>
        <w:jc w:val="right"/>
        <w:rPr>
          <w:rFonts w:ascii="Times New Roman" w:hAnsi="Times New Roman"/>
          <w:color w:val="auto"/>
          <w:sz w:val="28"/>
          <w:szCs w:val="28"/>
        </w:rPr>
      </w:pPr>
    </w:p>
    <w:p>
      <w:pPr>
        <w:pStyle w:val="6"/>
        <w:spacing w:line="578" w:lineRule="exact"/>
        <w:ind w:right="640"/>
        <w:jc w:val="right"/>
        <w:rPr>
          <w:rFonts w:ascii="Times New Roman" w:hAnsi="Times New Roman"/>
          <w:color w:val="auto"/>
          <w:sz w:val="28"/>
          <w:szCs w:val="28"/>
          <w:u w:val="single"/>
        </w:rPr>
      </w:pPr>
      <w:r>
        <w:rPr>
          <w:rFonts w:ascii="Times New Roman" w:hAnsi="Times New Roman"/>
          <w:color w:val="auto"/>
          <w:sz w:val="28"/>
          <w:szCs w:val="28"/>
        </w:rPr>
        <w:t>合同编号：</w:t>
      </w:r>
    </w:p>
    <w:p>
      <w:pPr>
        <w:pStyle w:val="6"/>
        <w:spacing w:line="578" w:lineRule="exact"/>
        <w:jc w:val="center"/>
        <w:rPr>
          <w:rFonts w:ascii="Times New Roman" w:hAnsi="Times New Roman" w:eastAsia="方正小标宋简体"/>
          <w:color w:val="auto"/>
          <w:sz w:val="44"/>
          <w:szCs w:val="44"/>
        </w:rPr>
      </w:pPr>
    </w:p>
    <w:p>
      <w:pPr>
        <w:pStyle w:val="6"/>
        <w:spacing w:line="578" w:lineRule="exact"/>
        <w:jc w:val="center"/>
        <w:rPr>
          <w:rFonts w:ascii="Times New Roman" w:hAnsi="Times New Roman" w:eastAsia="方正小标宋简体"/>
          <w:color w:val="auto"/>
          <w:sz w:val="44"/>
          <w:szCs w:val="44"/>
        </w:rPr>
      </w:pPr>
      <w:r>
        <w:rPr>
          <w:rFonts w:ascii="Times New Roman" w:hAnsi="Times New Roman" w:eastAsia="方正小标宋简体"/>
          <w:color w:val="auto"/>
          <w:sz w:val="44"/>
          <w:szCs w:val="44"/>
        </w:rPr>
        <w:t>国有建设用地使用权出让合同</w:t>
      </w:r>
    </w:p>
    <w:p>
      <w:pPr>
        <w:pStyle w:val="6"/>
        <w:spacing w:line="578" w:lineRule="exact"/>
        <w:jc w:val="center"/>
        <w:rPr>
          <w:rFonts w:ascii="Times New Roman" w:hAnsi="Times New Roman"/>
          <w:color w:val="auto"/>
          <w:sz w:val="28"/>
          <w:szCs w:val="28"/>
        </w:rPr>
      </w:pPr>
    </w:p>
    <w:p>
      <w:pPr>
        <w:pStyle w:val="6"/>
        <w:spacing w:line="578" w:lineRule="exact"/>
        <w:jc w:val="center"/>
        <w:rPr>
          <w:rFonts w:ascii="仿宋" w:hAnsi="仿宋" w:eastAsia="仿宋"/>
          <w:color w:val="auto"/>
          <w:sz w:val="28"/>
          <w:szCs w:val="28"/>
        </w:rPr>
      </w:pP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本合同双方当事人：</w:t>
      </w:r>
      <w:r>
        <w:rPr>
          <w:rFonts w:hint="eastAsia" w:ascii="仿宋" w:hAnsi="仿宋" w:eastAsia="仿宋"/>
          <w:color w:val="auto"/>
          <w:sz w:val="28"/>
          <w:szCs w:val="28"/>
        </w:rPr>
        <w:t>；</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出让人：；</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通讯地址：；</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邮政编码：；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电话：；</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传真：；</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开户银行：；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账号：。</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受让人：；</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通讯地址：；</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邮政编码：；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电话：；</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传真：；</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开户银行：；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账号：。</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Times New Roman" w:hAnsi="Times New Roman"/>
          <w:color w:val="auto"/>
          <w:sz w:val="28"/>
          <w:szCs w:val="28"/>
        </w:rPr>
      </w:pPr>
    </w:p>
    <w:p>
      <w:pPr>
        <w:pStyle w:val="6"/>
        <w:spacing w:line="578" w:lineRule="exact"/>
        <w:rPr>
          <w:rFonts w:ascii="Times New Roman" w:hAnsi="Times New Roman"/>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第一章总则</w:t>
      </w:r>
    </w:p>
    <w:p>
      <w:pPr>
        <w:pStyle w:val="6"/>
        <w:spacing w:line="578" w:lineRule="exact"/>
        <w:jc w:val="center"/>
        <w:rPr>
          <w:rFonts w:ascii="仿宋" w:hAnsi="仿宋" w:eastAsia="仿宋"/>
          <w:color w:val="auto"/>
          <w:sz w:val="28"/>
          <w:szCs w:val="28"/>
        </w:rPr>
      </w:pPr>
    </w:p>
    <w:p>
      <w:pPr>
        <w:pStyle w:val="6"/>
        <w:spacing w:line="578" w:lineRule="exact"/>
        <w:ind w:firstLine="551" w:firstLineChars="196"/>
        <w:rPr>
          <w:rFonts w:ascii="仿宋" w:hAnsi="仿宋" w:eastAsia="仿宋"/>
          <w:color w:val="auto"/>
          <w:sz w:val="28"/>
          <w:szCs w:val="28"/>
        </w:rPr>
      </w:pPr>
      <w:r>
        <w:rPr>
          <w:rFonts w:ascii="仿宋" w:hAnsi="仿宋" w:eastAsia="仿宋"/>
          <w:b/>
          <w:bCs/>
          <w:color w:val="auto"/>
          <w:sz w:val="28"/>
          <w:szCs w:val="28"/>
        </w:rPr>
        <w:t>第一条</w:t>
      </w:r>
      <w:r>
        <w:rPr>
          <w:rFonts w:ascii="仿宋" w:hAnsi="仿宋" w:eastAsia="仿宋"/>
          <w:color w:val="auto"/>
          <w:sz w:val="28"/>
          <w:szCs w:val="28"/>
        </w:rPr>
        <w:t>根据《中华人民共和国</w:t>
      </w:r>
      <w:r>
        <w:rPr>
          <w:rFonts w:hint="eastAsia" w:ascii="仿宋" w:hAnsi="仿宋" w:eastAsia="仿宋"/>
          <w:color w:val="auto"/>
          <w:sz w:val="28"/>
          <w:szCs w:val="28"/>
        </w:rPr>
        <w:t>民法典</w:t>
      </w:r>
      <w:r>
        <w:rPr>
          <w:rFonts w:ascii="仿宋" w:hAnsi="仿宋" w:eastAsia="仿宋"/>
          <w:color w:val="auto"/>
          <w:sz w:val="28"/>
          <w:szCs w:val="28"/>
        </w:rPr>
        <w:t>》</w:t>
      </w:r>
      <w:r>
        <w:rPr>
          <w:rFonts w:hint="eastAsia" w:ascii="仿宋" w:hAnsi="仿宋" w:eastAsia="仿宋"/>
          <w:color w:val="auto"/>
          <w:sz w:val="28"/>
          <w:szCs w:val="28"/>
        </w:rPr>
        <w:t>、</w:t>
      </w:r>
      <w:r>
        <w:rPr>
          <w:rFonts w:ascii="仿宋" w:hAnsi="仿宋" w:eastAsia="仿宋"/>
          <w:color w:val="auto"/>
          <w:sz w:val="28"/>
          <w:szCs w:val="28"/>
        </w:rPr>
        <w:t>《中华人民共和国土地管理法》、《中华人民共和国城市房地产管理法》等法律、有关行政法规及土地供应政策规定，双方本着平等、自愿、有偿、诚实信用的原则，订立本合同。</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第二条</w:t>
      </w:r>
      <w:r>
        <w:rPr>
          <w:rFonts w:ascii="仿宋" w:hAnsi="仿宋" w:eastAsia="仿宋"/>
          <w:color w:val="auto"/>
          <w:sz w:val="28"/>
          <w:szCs w:val="28"/>
        </w:rPr>
        <w:t>出让土地的所有权属中华人民共和国，出让人根据法律的授权出让国有建设用地使用权，地下资源、埋藏物不属于国有建设用地使用权出让范围。</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第三条</w:t>
      </w:r>
      <w:r>
        <w:rPr>
          <w:rFonts w:ascii="仿宋" w:hAnsi="仿宋" w:eastAsia="仿宋"/>
          <w:color w:val="auto"/>
          <w:sz w:val="28"/>
          <w:szCs w:val="28"/>
        </w:rPr>
        <w:t>受让人对依法取得的国有建设用地，在出让期限内享有占有、使用、收益和依法处置的权利，有权利用该土地依法建造建筑物、构筑物及其附属设施。</w:t>
      </w:r>
    </w:p>
    <w:p>
      <w:pPr>
        <w:pStyle w:val="6"/>
        <w:spacing w:line="578" w:lineRule="exact"/>
        <w:ind w:firstLine="560" w:firstLineChars="200"/>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第二章出让土地的交付与出让价款的缴纳</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第四条</w:t>
      </w:r>
      <w:r>
        <w:rPr>
          <w:rFonts w:ascii="仿宋" w:hAnsi="仿宋" w:eastAsia="仿宋"/>
          <w:color w:val="auto"/>
          <w:sz w:val="28"/>
          <w:szCs w:val="28"/>
        </w:rPr>
        <w:t>本合同项下出让宗地编号为，宗地总面积大写平方米（小写平方米），其中出让宗地面积为大写平方米（小写平方米）。</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本合同项下的出让宗地坐落于。</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本合同项下出让宗地的平面界址为；出让宗地的平面界址图见附件1。</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本合同项下出让宗地的竖向界限以为上界限，以为下界限，高差为米。出让宗地竖向界限见附件2。</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出让宗地空间范围是以上述界址点所构成的垂直面和上、下界限高程平面封闭形成的空间范围。</w:t>
      </w:r>
    </w:p>
    <w:p>
      <w:pPr>
        <w:pStyle w:val="6"/>
        <w:tabs>
          <w:tab w:val="left" w:pos="1260"/>
        </w:tabs>
        <w:spacing w:line="578" w:lineRule="exact"/>
        <w:ind w:firstLine="562" w:firstLineChars="200"/>
        <w:rPr>
          <w:rFonts w:ascii="仿宋" w:hAnsi="仿宋" w:eastAsia="仿宋"/>
          <w:color w:val="auto"/>
          <w:sz w:val="28"/>
          <w:szCs w:val="28"/>
          <w:u w:val="single"/>
        </w:rPr>
      </w:pPr>
      <w:r>
        <w:rPr>
          <w:rFonts w:ascii="仿宋" w:hAnsi="仿宋" w:eastAsia="仿宋"/>
          <w:b/>
          <w:bCs/>
          <w:color w:val="auto"/>
          <w:sz w:val="28"/>
          <w:szCs w:val="28"/>
        </w:rPr>
        <w:t>第五条</w:t>
      </w:r>
      <w:r>
        <w:rPr>
          <w:rFonts w:ascii="仿宋" w:hAnsi="仿宋" w:eastAsia="仿宋"/>
          <w:color w:val="auto"/>
          <w:sz w:val="28"/>
          <w:szCs w:val="28"/>
        </w:rPr>
        <w:t>本合同项下出让宗地的用途为</w:t>
      </w:r>
      <w:r>
        <w:rPr>
          <w:rFonts w:ascii="仿宋" w:hAnsi="仿宋" w:eastAsia="仿宋"/>
          <w:color w:val="auto"/>
          <w:sz w:val="28"/>
          <w:szCs w:val="28"/>
          <w:u w:val="single"/>
        </w:rPr>
        <w:t>：</w:t>
      </w:r>
      <w:r>
        <w:rPr>
          <w:rFonts w:ascii="仿宋" w:hAnsi="仿宋" w:eastAsia="仿宋"/>
          <w:color w:val="auto"/>
          <w:sz w:val="28"/>
          <w:szCs w:val="28"/>
        </w:rPr>
        <w:t>。</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第六条</w:t>
      </w:r>
      <w:r>
        <w:rPr>
          <w:rFonts w:ascii="仿宋" w:hAnsi="仿宋" w:eastAsia="仿宋"/>
          <w:color w:val="auto"/>
          <w:sz w:val="28"/>
          <w:szCs w:val="28"/>
        </w:rPr>
        <w:t>出让人同意在年月日前将出让宗地交付给受让人，出让人同意在交付土地时该宗地应达到本条第</w:t>
      </w:r>
      <w:r>
        <w:rPr>
          <w:rFonts w:ascii="仿宋" w:hAnsi="仿宋" w:eastAsia="仿宋"/>
          <w:color w:val="auto"/>
          <w:sz w:val="28"/>
          <w:szCs w:val="28"/>
          <w:u w:val="single"/>
        </w:rPr>
        <w:t xml:space="preserve"> (二) </w:t>
      </w:r>
      <w:r>
        <w:rPr>
          <w:rFonts w:ascii="仿宋" w:hAnsi="仿宋" w:eastAsia="仿宋"/>
          <w:color w:val="auto"/>
          <w:sz w:val="28"/>
          <w:szCs w:val="28"/>
        </w:rPr>
        <w:t>项规定的土地条件：</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（一）场地平整达到；</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周围基础设施达到；</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（二）现状土地条件。</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第七条</w:t>
      </w:r>
      <w:r>
        <w:rPr>
          <w:rFonts w:ascii="仿宋" w:hAnsi="仿宋" w:eastAsia="仿宋"/>
          <w:color w:val="auto"/>
          <w:sz w:val="28"/>
          <w:szCs w:val="28"/>
        </w:rPr>
        <w:t>本合同项下的国有建设用地使用权出让年期为</w:t>
      </w:r>
    </w:p>
    <w:p>
      <w:pPr>
        <w:pStyle w:val="6"/>
        <w:spacing w:line="578" w:lineRule="exact"/>
        <w:rPr>
          <w:rFonts w:ascii="仿宋" w:hAnsi="仿宋" w:eastAsia="仿宋"/>
          <w:color w:val="auto"/>
          <w:sz w:val="28"/>
          <w:szCs w:val="28"/>
        </w:rPr>
      </w:pPr>
      <w:r>
        <w:rPr>
          <w:rFonts w:ascii="仿宋" w:hAnsi="仿宋" w:eastAsia="仿宋"/>
          <w:color w:val="auto"/>
          <w:sz w:val="28"/>
          <w:szCs w:val="28"/>
        </w:rPr>
        <w:t>年，按本合同第六条约定的交付土地之日起算；原划拨（承租）国有建设用地使用权补办出让手续的，出让年期自合同签订之日起算。</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第八条</w:t>
      </w:r>
      <w:r>
        <w:rPr>
          <w:rFonts w:ascii="仿宋" w:hAnsi="仿宋" w:eastAsia="仿宋"/>
          <w:color w:val="auto"/>
          <w:sz w:val="28"/>
          <w:szCs w:val="28"/>
        </w:rPr>
        <w:t>本合同项下宗地的国有建设用地使用权出让价款为人民币大写元（小写元），每平方米人民币大写元（小写元）。</w:t>
      </w:r>
    </w:p>
    <w:p>
      <w:pPr>
        <w:pStyle w:val="6"/>
        <w:spacing w:line="578" w:lineRule="exact"/>
        <w:ind w:firstLine="562" w:firstLineChars="200"/>
        <w:jc w:val="left"/>
        <w:rPr>
          <w:rFonts w:ascii="仿宋" w:hAnsi="仿宋" w:eastAsia="仿宋"/>
          <w:color w:val="auto"/>
          <w:sz w:val="28"/>
          <w:szCs w:val="28"/>
          <w:u w:val="single"/>
        </w:rPr>
      </w:pPr>
      <w:r>
        <w:rPr>
          <w:rFonts w:ascii="仿宋" w:hAnsi="仿宋" w:eastAsia="仿宋"/>
          <w:b/>
          <w:bCs/>
          <w:color w:val="auto"/>
          <w:sz w:val="28"/>
          <w:szCs w:val="28"/>
        </w:rPr>
        <w:t>第九条</w:t>
      </w:r>
      <w:r>
        <w:rPr>
          <w:rFonts w:ascii="仿宋" w:hAnsi="仿宋" w:eastAsia="仿宋"/>
          <w:color w:val="auto"/>
          <w:sz w:val="28"/>
          <w:szCs w:val="28"/>
        </w:rPr>
        <w:t>本合同项下宗地的定金为人民币大写元（小写元），定金抵作土地出让价款。</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第十条</w:t>
      </w:r>
      <w:r>
        <w:rPr>
          <w:rFonts w:ascii="仿宋" w:hAnsi="仿宋" w:eastAsia="仿宋"/>
          <w:color w:val="auto"/>
          <w:sz w:val="28"/>
          <w:szCs w:val="28"/>
        </w:rPr>
        <w:t>受让人同意按照本条第一款第项的规定向出让人支付国有建设用地使用权出让价款：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（一）本合同签订之日起日内，一次性付清国有建设用地使用权出让价款；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（二）按以下时间和金额分期向出让人支付国有建设用地使用权出让价款。</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该宗地分期支付国有建设用地使用权出让价款不计利息。</w:t>
      </w:r>
    </w:p>
    <w:p>
      <w:pPr>
        <w:pStyle w:val="6"/>
        <w:spacing w:line="578" w:lineRule="exact"/>
        <w:ind w:firstLine="562" w:firstLineChars="200"/>
        <w:rPr>
          <w:rFonts w:ascii="仿宋" w:hAnsi="仿宋" w:eastAsia="仿宋"/>
          <w:color w:val="auto"/>
          <w:kern w:val="0"/>
          <w:sz w:val="28"/>
          <w:szCs w:val="28"/>
        </w:rPr>
      </w:pPr>
      <w:r>
        <w:rPr>
          <w:rFonts w:ascii="仿宋" w:hAnsi="仿宋" w:eastAsia="仿宋"/>
          <w:b/>
          <w:bCs/>
          <w:color w:val="auto"/>
          <w:sz w:val="28"/>
          <w:szCs w:val="28"/>
        </w:rPr>
        <w:t>第十一条</w:t>
      </w:r>
      <w:r>
        <w:rPr>
          <w:rFonts w:ascii="仿宋" w:hAnsi="仿宋" w:eastAsia="仿宋"/>
          <w:color w:val="auto"/>
          <w:sz w:val="28"/>
          <w:szCs w:val="28"/>
        </w:rPr>
        <w:t>受让人应在按本合同约定付清本宗地全部出让价款后，持本合同和出让价款缴纳凭证等相关证明材料，申请出让国有建设用地使用权登记。</w:t>
      </w:r>
    </w:p>
    <w:p>
      <w:pPr>
        <w:pStyle w:val="6"/>
        <w:spacing w:line="578" w:lineRule="exact"/>
        <w:ind w:firstLine="560" w:firstLineChars="200"/>
        <w:rPr>
          <w:rFonts w:ascii="仿宋" w:hAnsi="仿宋" w:eastAsia="仿宋"/>
          <w:color w:val="auto"/>
          <w:kern w:val="0"/>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第三章土地开发建设与利用</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第十二条</w:t>
      </w:r>
      <w:r>
        <w:rPr>
          <w:rFonts w:ascii="仿宋" w:hAnsi="仿宋" w:eastAsia="仿宋"/>
          <w:color w:val="auto"/>
          <w:sz w:val="28"/>
          <w:szCs w:val="28"/>
        </w:rPr>
        <w:t>受让人同意本合同项下宗地开发投资强度按本条项规定执行：</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6"/>
        <w:spacing w:line="578" w:lineRule="exact"/>
        <w:ind w:firstLine="560" w:firstLineChars="200"/>
        <w:rPr>
          <w:rFonts w:ascii="仿宋" w:hAnsi="仿宋" w:eastAsia="仿宋"/>
          <w:color w:val="auto"/>
          <w:sz w:val="28"/>
          <w:szCs w:val="28"/>
          <w:u w:val="single"/>
        </w:rPr>
      </w:pPr>
      <w:r>
        <w:rPr>
          <w:rFonts w:ascii="仿宋" w:hAnsi="仿宋" w:eastAsia="仿宋"/>
          <w:color w:val="auto"/>
          <w:sz w:val="28"/>
          <w:szCs w:val="28"/>
        </w:rPr>
        <w:t>（二）本合同项下宗地用于非工业项目建设，受让人承诺本合同项下宗地的开发投资总额不低于人民币大写万元（小写万元）。</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第十三条</w:t>
      </w:r>
      <w:r>
        <w:rPr>
          <w:rFonts w:ascii="仿宋" w:hAnsi="仿宋" w:eastAsia="仿宋"/>
          <w:color w:val="auto"/>
          <w:sz w:val="28"/>
          <w:szCs w:val="28"/>
        </w:rPr>
        <w:t>受让人在本合同项下宗地范围内新建建筑物、构筑物及其附属设施的，应符合市（县）政府规划管理部门确定的出让宗地规划条件（见附件3）。其中：</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主体建筑物性质；</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附属建筑物性质；</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建筑总面积平方米；</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建筑容积率不高于不低于</w:t>
      </w:r>
      <w:r>
        <w:rPr>
          <w:rFonts w:ascii="仿宋" w:hAnsi="仿宋" w:eastAsia="仿宋"/>
          <w:b/>
          <w:bCs/>
          <w:color w:val="auto"/>
          <w:sz w:val="28"/>
          <w:szCs w:val="28"/>
        </w:rPr>
        <w:t>；</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建筑限高不高于不低于；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建筑密度不高于不低于；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绿地率不高于不低于；</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其他土地利用要求。</w:t>
      </w:r>
    </w:p>
    <w:p>
      <w:pPr>
        <w:pStyle w:val="6"/>
        <w:spacing w:line="578" w:lineRule="exact"/>
        <w:ind w:firstLine="645"/>
        <w:jc w:val="left"/>
        <w:rPr>
          <w:rFonts w:ascii="仿宋" w:hAnsi="仿宋" w:eastAsia="仿宋"/>
          <w:color w:val="auto"/>
          <w:sz w:val="28"/>
          <w:szCs w:val="28"/>
        </w:rPr>
      </w:pPr>
      <w:r>
        <w:rPr>
          <w:rFonts w:ascii="仿宋" w:hAnsi="仿宋" w:eastAsia="仿宋"/>
          <w:b/>
          <w:bCs/>
          <w:color w:val="auto"/>
          <w:sz w:val="28"/>
          <w:szCs w:val="28"/>
        </w:rPr>
        <w:t>第十四条</w:t>
      </w:r>
      <w:r>
        <w:rPr>
          <w:rFonts w:ascii="仿宋" w:hAnsi="仿宋" w:eastAsia="仿宋"/>
          <w:color w:val="auto"/>
          <w:sz w:val="28"/>
          <w:szCs w:val="28"/>
        </w:rPr>
        <w:t>受让人同意本合同项下宗地建设配套按本条第项规定执行：</w:t>
      </w:r>
    </w:p>
    <w:p>
      <w:pPr>
        <w:pStyle w:val="6"/>
        <w:spacing w:line="578" w:lineRule="exact"/>
        <w:ind w:firstLine="645"/>
        <w:jc w:val="left"/>
        <w:rPr>
          <w:rFonts w:ascii="仿宋" w:hAnsi="仿宋" w:eastAsia="仿宋"/>
          <w:color w:val="auto"/>
          <w:sz w:val="28"/>
          <w:szCs w:val="28"/>
        </w:rPr>
      </w:pPr>
      <w:r>
        <w:rPr>
          <w:rFonts w:ascii="仿宋" w:hAnsi="仿宋" w:eastAsia="仿宋"/>
          <w:color w:val="auto"/>
          <w:sz w:val="28"/>
          <w:szCs w:val="28"/>
        </w:rPr>
        <w:t>（一）本合同项下宗地用于工业项目建设，根据规划部门确定的规划设计条件，</w:t>
      </w:r>
      <w:r>
        <w:rPr>
          <w:rFonts w:ascii="仿宋" w:hAnsi="仿宋" w:eastAsia="仿宋"/>
          <w:color w:val="auto"/>
          <w:spacing w:val="2"/>
          <w:sz w:val="28"/>
          <w:szCs w:val="28"/>
        </w:rPr>
        <w:t>本合同受让宗地范围内用于企业内部行政办公及生活服务设施的占地面积不超过受让宗地面积</w:t>
      </w:r>
      <w:r>
        <w:rPr>
          <w:rFonts w:ascii="仿宋" w:hAnsi="仿宋" w:eastAsia="仿宋"/>
          <w:color w:val="auto"/>
          <w:sz w:val="28"/>
          <w:szCs w:val="28"/>
        </w:rPr>
        <w:t>的</w:t>
      </w:r>
    </w:p>
    <w:p>
      <w:pPr>
        <w:pStyle w:val="6"/>
        <w:spacing w:line="578" w:lineRule="exact"/>
        <w:ind w:left="6" w:leftChars="3"/>
        <w:jc w:val="left"/>
        <w:rPr>
          <w:rFonts w:ascii="仿宋" w:hAnsi="仿宋" w:eastAsia="仿宋"/>
          <w:color w:val="auto"/>
          <w:sz w:val="28"/>
          <w:szCs w:val="28"/>
        </w:rPr>
      </w:pPr>
      <w:r>
        <w:rPr>
          <w:rFonts w:ascii="仿宋" w:hAnsi="仿宋" w:eastAsia="仿宋"/>
          <w:color w:val="auto"/>
          <w:sz w:val="28"/>
          <w:szCs w:val="28"/>
          <w:u w:val="single"/>
        </w:rPr>
        <w:t xml:space="preserve">  /  </w:t>
      </w:r>
      <w:r>
        <w:rPr>
          <w:rFonts w:ascii="仿宋" w:hAnsi="仿宋" w:eastAsia="仿宋"/>
          <w:color w:val="auto"/>
          <w:sz w:val="28"/>
          <w:szCs w:val="28"/>
        </w:rPr>
        <w:t>％，即不超过</w:t>
      </w:r>
      <w:r>
        <w:rPr>
          <w:rFonts w:ascii="仿宋" w:hAnsi="仿宋" w:eastAsia="仿宋"/>
          <w:color w:val="auto"/>
          <w:sz w:val="28"/>
          <w:szCs w:val="28"/>
          <w:u w:val="single"/>
        </w:rPr>
        <w:t xml:space="preserve">   /  </w:t>
      </w:r>
      <w:r>
        <w:rPr>
          <w:rFonts w:ascii="仿宋" w:hAnsi="仿宋" w:eastAsia="仿宋"/>
          <w:color w:val="auto"/>
          <w:sz w:val="28"/>
          <w:szCs w:val="28"/>
        </w:rPr>
        <w:t>平方米, 建筑面积不超过</w:t>
      </w:r>
      <w:r>
        <w:rPr>
          <w:rFonts w:ascii="仿宋" w:hAnsi="仿宋" w:eastAsia="仿宋"/>
          <w:color w:val="auto"/>
          <w:sz w:val="28"/>
          <w:szCs w:val="28"/>
          <w:u w:val="single"/>
        </w:rPr>
        <w:t xml:space="preserve">  /         </w:t>
      </w:r>
      <w:r>
        <w:rPr>
          <w:rFonts w:ascii="仿宋" w:hAnsi="仿宋" w:eastAsia="仿宋"/>
          <w:color w:val="auto"/>
          <w:sz w:val="28"/>
          <w:szCs w:val="28"/>
        </w:rPr>
        <w:t>平方米。受让人同意不在受让宗地范围内建造成套住宅、专家楼、宾馆、招待所和培训中心等非生产性设施；</w:t>
      </w:r>
    </w:p>
    <w:p>
      <w:pPr>
        <w:pStyle w:val="6"/>
        <w:spacing w:line="578" w:lineRule="exact"/>
        <w:ind w:firstLine="645"/>
        <w:rPr>
          <w:rFonts w:ascii="仿宋" w:hAnsi="仿宋" w:eastAsia="仿宋"/>
          <w:b/>
          <w:bCs/>
          <w:color w:val="auto"/>
          <w:sz w:val="28"/>
          <w:szCs w:val="28"/>
        </w:rPr>
      </w:pPr>
      <w:r>
        <w:rPr>
          <w:rFonts w:ascii="仿宋" w:hAnsi="仿宋" w:eastAsia="仿宋"/>
          <w:color w:val="auto"/>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仿宋" w:hAnsi="仿宋" w:eastAsia="仿宋"/>
          <w:color w:val="auto"/>
          <w:sz w:val="28"/>
          <w:szCs w:val="28"/>
          <w:u w:val="single"/>
        </w:rPr>
        <w:t xml:space="preserve"> / </w:t>
      </w:r>
      <w:r>
        <w:rPr>
          <w:rFonts w:ascii="仿宋" w:hAnsi="仿宋" w:eastAsia="仿宋"/>
          <w:color w:val="auto"/>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1．移交给政府；</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2．由政府回购；</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3．按政府经济适用住房建设和销售管理的有关规定执行；</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4．。</w:t>
      </w:r>
    </w:p>
    <w:p>
      <w:pPr>
        <w:pStyle w:val="6"/>
        <w:spacing w:line="578" w:lineRule="exact"/>
        <w:ind w:firstLine="562" w:firstLineChars="200"/>
        <w:rPr>
          <w:rFonts w:ascii="仿宋" w:hAnsi="仿宋" w:eastAsia="仿宋"/>
          <w:b/>
          <w:bCs/>
          <w:color w:val="auto"/>
          <w:sz w:val="28"/>
          <w:szCs w:val="28"/>
        </w:rPr>
      </w:pPr>
      <w:r>
        <w:rPr>
          <w:rFonts w:ascii="仿宋" w:hAnsi="仿宋" w:eastAsia="仿宋"/>
          <w:b/>
          <w:bCs/>
          <w:color w:val="auto"/>
          <w:sz w:val="28"/>
          <w:szCs w:val="28"/>
        </w:rPr>
        <w:t>第十五条</w:t>
      </w:r>
      <w:r>
        <w:rPr>
          <w:rFonts w:ascii="仿宋" w:hAnsi="仿宋" w:eastAsia="仿宋"/>
          <w:color w:val="auto"/>
          <w:sz w:val="28"/>
          <w:szCs w:val="28"/>
        </w:rPr>
        <w:t>受让人同意在本合同项下宗地范围内同步修建下列工程配套项目，并在建成后无偿移交给政府：</w:t>
      </w:r>
    </w:p>
    <w:p>
      <w:pPr>
        <w:pStyle w:val="6"/>
        <w:spacing w:line="578" w:lineRule="exact"/>
        <w:ind w:firstLine="645"/>
        <w:rPr>
          <w:rFonts w:ascii="仿宋" w:hAnsi="仿宋" w:eastAsia="仿宋"/>
          <w:color w:val="auto"/>
          <w:sz w:val="28"/>
          <w:szCs w:val="28"/>
          <w:u w:val="single"/>
        </w:rPr>
      </w:pPr>
      <w:r>
        <w:rPr>
          <w:rFonts w:ascii="仿宋" w:hAnsi="仿宋" w:eastAsia="仿宋"/>
          <w:b/>
          <w:bCs/>
          <w:color w:val="auto"/>
          <w:sz w:val="28"/>
          <w:szCs w:val="28"/>
        </w:rPr>
        <w:t>第十六条</w:t>
      </w:r>
      <w:r>
        <w:rPr>
          <w:rFonts w:ascii="仿宋" w:hAnsi="仿宋" w:eastAsia="仿宋"/>
          <w:color w:val="auto"/>
          <w:sz w:val="28"/>
          <w:szCs w:val="28"/>
        </w:rPr>
        <w:t>受让人同意本合同项下宗地建设项目在</w:t>
      </w:r>
    </w:p>
    <w:p>
      <w:pPr>
        <w:pStyle w:val="6"/>
        <w:spacing w:line="578" w:lineRule="exact"/>
        <w:rPr>
          <w:rFonts w:ascii="仿宋" w:hAnsi="仿宋" w:eastAsia="仿宋"/>
          <w:color w:val="auto"/>
          <w:sz w:val="28"/>
          <w:szCs w:val="28"/>
          <w:u w:val="single"/>
        </w:rPr>
      </w:pPr>
      <w:r>
        <w:rPr>
          <w:rFonts w:ascii="仿宋" w:hAnsi="仿宋" w:eastAsia="仿宋"/>
          <w:color w:val="auto"/>
          <w:sz w:val="28"/>
          <w:szCs w:val="28"/>
        </w:rPr>
        <w:t>年月日之前开工，在年月日之前竣工。</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受让人不能按期开工，应提前30日向出让人提出延建申请，经出让人同意延建的，其项目竣工时间相应顺延，但延建期限不得超过一年。</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第十七条</w:t>
      </w:r>
      <w:r>
        <w:rPr>
          <w:rFonts w:ascii="仿宋" w:hAnsi="仿宋" w:eastAsia="仿宋"/>
          <w:color w:val="auto"/>
          <w:sz w:val="28"/>
          <w:szCs w:val="28"/>
        </w:rPr>
        <w:t>受让人在本合同项下宗地内进行建设时，有关用水、用气、污水及其他设施与宗地外主管线、用电变电站接口和引入工程，应按有关规定办理。</w:t>
      </w:r>
    </w:p>
    <w:p>
      <w:pPr>
        <w:pStyle w:val="6"/>
        <w:spacing w:line="578" w:lineRule="exact"/>
        <w:ind w:firstLine="560" w:firstLineChars="200"/>
        <w:rPr>
          <w:rFonts w:ascii="仿宋" w:hAnsi="仿宋" w:eastAsia="仿宋"/>
          <w:b/>
          <w:color w:val="auto"/>
          <w:sz w:val="28"/>
          <w:szCs w:val="28"/>
        </w:rPr>
      </w:pPr>
      <w:r>
        <w:rPr>
          <w:rFonts w:ascii="仿宋" w:hAnsi="仿宋" w:eastAsia="仿宋"/>
          <w:color w:val="auto"/>
          <w:sz w:val="28"/>
          <w:szCs w:val="28"/>
        </w:rPr>
        <w:t>受让人同意政府为公用事业需要而敷设的各种管道与管线进出、通过、穿越受让宗地，但由此影响受让宗地使用功能的，政府或公用事业营建主体应当给予合理补偿。</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第十八条</w:t>
      </w:r>
      <w:r>
        <w:rPr>
          <w:rFonts w:ascii="仿宋" w:hAnsi="仿宋" w:eastAsia="仿宋"/>
          <w:color w:val="auto"/>
          <w:sz w:val="28"/>
          <w:szCs w:val="28"/>
        </w:rPr>
        <w:t>受让人应当按照本合同约定的土地用途、容积率利用土地，不得擅自改变。在出让期限内，需要改变本合同约定的土地用途的，双方同意按照本条第项规定办理：</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（一）由出让人有偿收回建设用地使用权；</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第十九条</w:t>
      </w:r>
      <w:r>
        <w:rPr>
          <w:rFonts w:ascii="仿宋" w:hAnsi="仿宋" w:eastAsia="仿宋"/>
          <w:color w:val="auto"/>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第二十条</w:t>
      </w:r>
      <w:r>
        <w:rPr>
          <w:rFonts w:ascii="仿宋" w:hAnsi="仿宋" w:eastAsia="仿宋"/>
          <w:color w:val="auto"/>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第四章国有建设用地使用权转让、出租、抵押</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第二十一条</w:t>
      </w:r>
      <w:r>
        <w:rPr>
          <w:rFonts w:ascii="仿宋" w:hAnsi="仿宋" w:eastAsia="仿宋"/>
          <w:color w:val="auto"/>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（一）按照本合同约定进行投资开发，完成开发投资总额的百分之二十五以上；</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（二）按照本合同约定进行投资开发，已形成工业用地或其他建设用地条件。</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第二十二条</w:t>
      </w:r>
      <w:r>
        <w:rPr>
          <w:rFonts w:ascii="仿宋" w:hAnsi="仿宋" w:eastAsia="仿宋"/>
          <w:color w:val="auto"/>
          <w:sz w:val="28"/>
          <w:szCs w:val="28"/>
        </w:rPr>
        <w:t>国有建设用地使用权的转让、出租及抵押合同，不得违背国家法律、法规规定和本合同约定。</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第二十三条</w:t>
      </w:r>
      <w:r>
        <w:rPr>
          <w:rFonts w:ascii="仿宋" w:hAnsi="仿宋" w:eastAsia="仿宋"/>
          <w:color w:val="auto"/>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本合同项下的全部或部分国有建设用地使用权出租后，本合同和土地登记文件中载明的权利、义务仍由受让人承担。</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第二十四条</w:t>
      </w:r>
      <w:r>
        <w:rPr>
          <w:rFonts w:ascii="仿宋" w:hAnsi="仿宋" w:eastAsia="仿宋"/>
          <w:color w:val="auto"/>
          <w:sz w:val="28"/>
          <w:szCs w:val="28"/>
        </w:rPr>
        <w:t>国有建设用地使用权转让、抵押的，转让、抵押双方应持本合同和相应的转让、抵押合同及国有土地使用证，到国土资源管理部门申请办理土地变更登记。</w:t>
      </w:r>
    </w:p>
    <w:p>
      <w:pPr>
        <w:pStyle w:val="6"/>
        <w:spacing w:line="578" w:lineRule="exact"/>
        <w:ind w:firstLine="560" w:firstLineChars="200"/>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第五章期限届满</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第二十五条</w:t>
      </w:r>
      <w:r>
        <w:rPr>
          <w:rFonts w:ascii="仿宋" w:hAnsi="仿宋" w:eastAsia="仿宋"/>
          <w:color w:val="auto"/>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住宅建设用地使用权期限届满的，自动续期。</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出让人同意续期的，土地使用者应当依法办理出让、租赁等有偿用地手续，重新签订出让、租赁等土地有偿使用合同，支付土地出让价款、租金等土地有偿使用费。</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第二十六条</w:t>
      </w:r>
      <w:r>
        <w:rPr>
          <w:rFonts w:ascii="仿宋" w:hAnsi="仿宋" w:eastAsia="仿宋"/>
          <w:color w:val="auto"/>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（一）由出让人收回地上建筑物、构筑物及其附属设施，并根据收回时地上建筑物、构筑物及其附属设施的残余价值，给予土地使用者相应补偿；</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（二）由出让人无偿收回地上建筑物、构筑物及其附属设施。</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第二十七条</w:t>
      </w:r>
      <w:r>
        <w:rPr>
          <w:rFonts w:ascii="仿宋" w:hAnsi="仿宋" w:eastAsia="仿宋"/>
          <w:color w:val="auto"/>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第六章不可抗力</w:t>
      </w:r>
    </w:p>
    <w:p>
      <w:pPr>
        <w:pStyle w:val="6"/>
        <w:spacing w:line="578" w:lineRule="exact"/>
        <w:ind w:firstLine="560" w:firstLineChars="200"/>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第二十八条</w:t>
      </w:r>
      <w:r>
        <w:rPr>
          <w:rFonts w:ascii="仿宋" w:hAnsi="仿宋" w:eastAsia="仿宋"/>
          <w:color w:val="auto"/>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第二十九条</w:t>
      </w:r>
      <w:r>
        <w:rPr>
          <w:rFonts w:ascii="仿宋" w:hAnsi="仿宋" w:eastAsia="仿宋"/>
          <w:color w:val="auto"/>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第七章违约责任</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第三十条</w:t>
      </w:r>
      <w:r>
        <w:rPr>
          <w:rFonts w:ascii="仿宋" w:hAnsi="仿宋" w:eastAsia="仿宋"/>
          <w:color w:val="auto"/>
          <w:sz w:val="28"/>
          <w:szCs w:val="28"/>
        </w:rPr>
        <w:t>受让人应当按照本合同约定，按时支付国有建设用地使用权出让价款。受让人不能按时支付国有建设用地使用权出让价款的，自滞纳之日起，</w:t>
      </w:r>
      <w:r>
        <w:rPr>
          <w:rFonts w:ascii="仿宋" w:hAnsi="仿宋" w:eastAsia="仿宋"/>
          <w:color w:val="auto"/>
          <w:spacing w:val="26"/>
          <w:sz w:val="28"/>
          <w:szCs w:val="28"/>
        </w:rPr>
        <w:t>每日按迟延支付款项</w:t>
      </w:r>
      <w:r>
        <w:rPr>
          <w:rFonts w:ascii="仿宋" w:hAnsi="仿宋" w:eastAsia="仿宋"/>
          <w:color w:val="auto"/>
          <w:sz w:val="28"/>
          <w:szCs w:val="28"/>
        </w:rPr>
        <w:t>的</w:t>
      </w:r>
    </w:p>
    <w:p>
      <w:pPr>
        <w:pStyle w:val="6"/>
        <w:spacing w:line="578" w:lineRule="exact"/>
        <w:ind w:hanging="6"/>
        <w:rPr>
          <w:rFonts w:ascii="仿宋" w:hAnsi="仿宋" w:eastAsia="仿宋"/>
          <w:color w:val="auto"/>
          <w:sz w:val="28"/>
          <w:szCs w:val="28"/>
          <w:u w:val="single"/>
        </w:rPr>
      </w:pPr>
      <w:r>
        <w:rPr>
          <w:rFonts w:ascii="仿宋" w:hAnsi="仿宋" w:eastAsia="仿宋"/>
          <w:color w:val="auto"/>
          <w:sz w:val="28"/>
          <w:szCs w:val="28"/>
          <w:u w:val="single"/>
        </w:rPr>
        <w:t xml:space="preserve"> 1  </w:t>
      </w:r>
      <w:r>
        <w:rPr>
          <w:rFonts w:ascii="仿宋" w:hAnsi="仿宋" w:eastAsia="仿宋"/>
          <w:color w:val="auto"/>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第三十一条</w:t>
      </w:r>
      <w:r>
        <w:rPr>
          <w:rFonts w:ascii="仿宋" w:hAnsi="仿宋" w:eastAsia="仿宋"/>
          <w:color w:val="auto"/>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6"/>
        <w:spacing w:line="578" w:lineRule="exact"/>
        <w:rPr>
          <w:rFonts w:ascii="仿宋" w:hAnsi="仿宋" w:eastAsia="仿宋"/>
          <w:color w:val="auto"/>
          <w:sz w:val="28"/>
          <w:szCs w:val="28"/>
        </w:rPr>
      </w:pPr>
      <w:r>
        <w:rPr>
          <w:rFonts w:ascii="仿宋" w:hAnsi="仿宋" w:eastAsia="仿宋"/>
          <w:color w:val="auto"/>
          <w:sz w:val="28"/>
          <w:szCs w:val="28"/>
        </w:rPr>
        <w:t>（一）受让人在本合同约定的开工建设日期届满一年前不少于60日向出让人提出申请的，出让人在扣除定金后退还受让人已支付的国有建设用地使用权出让价款；</w:t>
      </w:r>
    </w:p>
    <w:p>
      <w:pPr>
        <w:pStyle w:val="6"/>
        <w:spacing w:line="578" w:lineRule="exact"/>
        <w:ind w:firstLine="645"/>
        <w:rPr>
          <w:rFonts w:ascii="仿宋" w:hAnsi="仿宋" w:eastAsia="仿宋"/>
          <w:color w:val="auto"/>
          <w:sz w:val="28"/>
          <w:szCs w:val="28"/>
        </w:rPr>
      </w:pPr>
      <w:r>
        <w:rPr>
          <w:rFonts w:ascii="仿宋" w:hAnsi="仿宋" w:eastAsia="仿宋"/>
          <w:color w:val="auto"/>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第三十二条</w:t>
      </w:r>
      <w:r>
        <w:rPr>
          <w:rFonts w:ascii="仿宋" w:hAnsi="仿宋" w:eastAsia="仿宋"/>
          <w:color w:val="auto"/>
          <w:sz w:val="28"/>
          <w:szCs w:val="28"/>
        </w:rPr>
        <w:t>受让人造成土地闲置，闲置满一年不满两年的，应依法缴纳土地闲置费；土地闲置满两年且未开工建设的，出让人有权无偿收回国有建设用地使用权。</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第三十三条</w:t>
      </w:r>
      <w:r>
        <w:rPr>
          <w:rFonts w:ascii="仿宋" w:hAnsi="仿宋" w:eastAsia="仿宋"/>
          <w:color w:val="auto"/>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受让人未能按照本合同约定日期或同意延建所另行约定日期竣工的，每延期一日，应向出让人支付相当于国有建设用地使用权出让价款总额‰的违约金。</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第三十四条</w:t>
      </w:r>
      <w:r>
        <w:rPr>
          <w:rFonts w:ascii="仿宋" w:hAnsi="仿宋" w:eastAsia="仿宋"/>
          <w:color w:val="auto"/>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第三十五条</w:t>
      </w:r>
      <w:r>
        <w:rPr>
          <w:rFonts w:ascii="仿宋" w:hAnsi="仿宋" w:eastAsia="仿宋"/>
          <w:color w:val="auto"/>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第三十六条</w:t>
      </w:r>
      <w:r>
        <w:rPr>
          <w:rFonts w:ascii="仿宋" w:hAnsi="仿宋" w:eastAsia="仿宋"/>
          <w:color w:val="auto"/>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第三十七条</w:t>
      </w:r>
      <w:r>
        <w:rPr>
          <w:rFonts w:ascii="仿宋" w:hAnsi="仿宋" w:eastAsia="仿宋"/>
          <w:color w:val="auto"/>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6"/>
        <w:spacing w:line="578" w:lineRule="exact"/>
        <w:ind w:firstLine="645"/>
        <w:rPr>
          <w:rFonts w:ascii="仿宋" w:hAnsi="仿宋" w:eastAsia="仿宋"/>
          <w:b/>
          <w:color w:val="auto"/>
          <w:sz w:val="28"/>
          <w:szCs w:val="28"/>
        </w:rPr>
      </w:pPr>
      <w:r>
        <w:rPr>
          <w:rFonts w:ascii="仿宋" w:hAnsi="仿宋" w:eastAsia="仿宋"/>
          <w:b/>
          <w:bCs/>
          <w:color w:val="auto"/>
          <w:sz w:val="28"/>
          <w:szCs w:val="28"/>
        </w:rPr>
        <w:t>第三十八条</w:t>
      </w:r>
      <w:r>
        <w:rPr>
          <w:rFonts w:ascii="仿宋" w:hAnsi="仿宋" w:eastAsia="仿宋"/>
          <w:color w:val="auto"/>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6"/>
        <w:spacing w:line="578" w:lineRule="exact"/>
        <w:ind w:firstLine="645"/>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第八章适用法律及争议解决</w:t>
      </w:r>
    </w:p>
    <w:p>
      <w:pPr>
        <w:pStyle w:val="6"/>
        <w:spacing w:line="578" w:lineRule="exact"/>
        <w:jc w:val="center"/>
        <w:rPr>
          <w:rFonts w:ascii="仿宋" w:hAnsi="仿宋" w:eastAsia="仿宋"/>
          <w:color w:val="auto"/>
          <w:sz w:val="28"/>
          <w:szCs w:val="28"/>
        </w:rPr>
      </w:pP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第三十九条</w:t>
      </w:r>
      <w:r>
        <w:rPr>
          <w:rFonts w:ascii="仿宋" w:hAnsi="仿宋" w:eastAsia="仿宋"/>
          <w:color w:val="auto"/>
          <w:sz w:val="28"/>
          <w:szCs w:val="28"/>
        </w:rPr>
        <w:t>本合同订立、效力、解释、履行及争议的解决，适用中华人民共和国法律。</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第四十条</w:t>
      </w:r>
      <w:r>
        <w:rPr>
          <w:rFonts w:ascii="仿宋" w:hAnsi="仿宋" w:eastAsia="仿宋"/>
          <w:color w:val="auto"/>
          <w:sz w:val="28"/>
          <w:szCs w:val="28"/>
        </w:rPr>
        <w:t>因履行本合同发生争议，由争议双方协商解决，协商不成的，按本条第项约定的方式解决：</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（一）提交仲裁委员会仲裁；</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（二）依法向人民法院起诉。</w:t>
      </w:r>
    </w:p>
    <w:p>
      <w:pPr>
        <w:pStyle w:val="6"/>
        <w:spacing w:line="578" w:lineRule="exact"/>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r>
        <w:rPr>
          <w:rFonts w:ascii="仿宋" w:hAnsi="仿宋" w:eastAsia="仿宋"/>
          <w:color w:val="auto"/>
          <w:sz w:val="28"/>
          <w:szCs w:val="28"/>
        </w:rPr>
        <w:t>第九章附则</w:t>
      </w:r>
    </w:p>
    <w:p>
      <w:pPr>
        <w:pStyle w:val="6"/>
        <w:spacing w:line="578" w:lineRule="exact"/>
        <w:jc w:val="center"/>
        <w:rPr>
          <w:rFonts w:ascii="仿宋" w:hAnsi="仿宋" w:eastAsia="仿宋"/>
          <w:color w:val="auto"/>
          <w:sz w:val="28"/>
          <w:szCs w:val="28"/>
        </w:rPr>
      </w:pPr>
    </w:p>
    <w:p>
      <w:pPr>
        <w:pStyle w:val="6"/>
        <w:spacing w:line="578" w:lineRule="exact"/>
        <w:ind w:firstLine="645"/>
        <w:rPr>
          <w:rFonts w:ascii="仿宋" w:hAnsi="仿宋" w:eastAsia="仿宋"/>
          <w:color w:val="auto"/>
          <w:sz w:val="28"/>
          <w:szCs w:val="28"/>
        </w:rPr>
      </w:pPr>
      <w:r>
        <w:rPr>
          <w:rFonts w:ascii="仿宋" w:hAnsi="仿宋" w:eastAsia="仿宋"/>
          <w:b/>
          <w:bCs/>
          <w:color w:val="auto"/>
          <w:sz w:val="28"/>
          <w:szCs w:val="28"/>
        </w:rPr>
        <w:t>第四十一条</w:t>
      </w:r>
      <w:r>
        <w:rPr>
          <w:rFonts w:ascii="仿宋" w:hAnsi="仿宋" w:eastAsia="仿宋"/>
          <w:color w:val="auto"/>
          <w:sz w:val="28"/>
          <w:szCs w:val="28"/>
        </w:rPr>
        <w:t>本合同项下宗地出让方案业经人民政府批准，本合同自双方签订之日起生效。</w:t>
      </w:r>
    </w:p>
    <w:p>
      <w:pPr>
        <w:pStyle w:val="6"/>
        <w:spacing w:line="578" w:lineRule="exact"/>
        <w:ind w:firstLine="562" w:firstLineChars="200"/>
        <w:rPr>
          <w:rFonts w:ascii="仿宋" w:hAnsi="仿宋" w:eastAsia="仿宋"/>
          <w:b/>
          <w:bCs/>
          <w:color w:val="auto"/>
          <w:sz w:val="28"/>
          <w:szCs w:val="28"/>
        </w:rPr>
      </w:pPr>
      <w:r>
        <w:rPr>
          <w:rFonts w:ascii="仿宋" w:hAnsi="仿宋" w:eastAsia="仿宋"/>
          <w:b/>
          <w:bCs/>
          <w:color w:val="auto"/>
          <w:sz w:val="28"/>
          <w:szCs w:val="28"/>
        </w:rPr>
        <w:t>第四十二条</w:t>
      </w:r>
      <w:r>
        <w:rPr>
          <w:rFonts w:ascii="仿宋" w:hAnsi="仿宋" w:eastAsia="仿宋"/>
          <w:color w:val="auto"/>
          <w:sz w:val="28"/>
          <w:szCs w:val="28"/>
        </w:rPr>
        <w:t>本</w:t>
      </w:r>
      <w:r>
        <w:rPr>
          <w:rFonts w:ascii="仿宋" w:hAnsi="仿宋" w:eastAsia="仿宋"/>
          <w:color w:val="auto"/>
          <w:kern w:val="0"/>
          <w:sz w:val="28"/>
          <w:szCs w:val="28"/>
        </w:rPr>
        <w:t>合同双方当事人均保证本合同中所填写的姓名、</w:t>
      </w:r>
      <w:r>
        <w:rPr>
          <w:rFonts w:ascii="仿宋" w:hAnsi="仿宋" w:eastAsia="仿宋"/>
          <w:color w:val="auto"/>
          <w:sz w:val="28"/>
          <w:szCs w:val="28"/>
        </w:rPr>
        <w:t>通讯地址、电话、传真、开户银行、</w:t>
      </w:r>
      <w:r>
        <w:rPr>
          <w:rFonts w:ascii="仿宋" w:hAnsi="仿宋" w:eastAsia="仿宋"/>
          <w:color w:val="auto"/>
          <w:kern w:val="0"/>
          <w:sz w:val="28"/>
          <w:szCs w:val="28"/>
        </w:rPr>
        <w:t>代理人等内容的真实有效，一方的信息如有变更，应于变更之日起15日内以书面形式告知对方，否则由此引起的无法及时告知的责任由信息变更方承担。</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第四十三条</w:t>
      </w:r>
      <w:r>
        <w:rPr>
          <w:rFonts w:ascii="仿宋" w:hAnsi="仿宋" w:eastAsia="仿宋"/>
          <w:color w:val="auto"/>
          <w:sz w:val="28"/>
          <w:szCs w:val="28"/>
        </w:rPr>
        <w:t>本合同和附件共页整，以中文书写为准。</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第四十四条</w:t>
      </w:r>
      <w:r>
        <w:rPr>
          <w:rFonts w:ascii="仿宋" w:hAnsi="仿宋" w:eastAsia="仿宋"/>
          <w:color w:val="auto"/>
          <w:sz w:val="28"/>
          <w:szCs w:val="28"/>
        </w:rPr>
        <w:t>本合同的价款、金额、面积等项应当同时以大、小写表示，大小写数额应当一致，不一致的，以大写为准。</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第四十五条</w:t>
      </w:r>
      <w:r>
        <w:rPr>
          <w:rFonts w:ascii="仿宋" w:hAnsi="仿宋" w:eastAsia="仿宋"/>
          <w:color w:val="auto"/>
          <w:sz w:val="28"/>
          <w:szCs w:val="28"/>
        </w:rPr>
        <w:t>本合同未尽事宜，可由双方约定后作为合同附件，与本合同具有同等法律效力。</w:t>
      </w:r>
    </w:p>
    <w:p>
      <w:pPr>
        <w:pStyle w:val="6"/>
        <w:spacing w:line="578" w:lineRule="exact"/>
        <w:ind w:firstLine="562" w:firstLineChars="200"/>
        <w:rPr>
          <w:rFonts w:ascii="仿宋" w:hAnsi="仿宋" w:eastAsia="仿宋"/>
          <w:color w:val="auto"/>
          <w:sz w:val="28"/>
          <w:szCs w:val="28"/>
        </w:rPr>
      </w:pPr>
      <w:r>
        <w:rPr>
          <w:rFonts w:ascii="仿宋" w:hAnsi="仿宋" w:eastAsia="仿宋"/>
          <w:b/>
          <w:bCs/>
          <w:color w:val="auto"/>
          <w:sz w:val="28"/>
          <w:szCs w:val="28"/>
        </w:rPr>
        <w:t>第四十六条</w:t>
      </w:r>
      <w:r>
        <w:rPr>
          <w:rFonts w:ascii="仿宋" w:hAnsi="仿宋" w:eastAsia="仿宋"/>
          <w:color w:val="auto"/>
          <w:sz w:val="28"/>
          <w:szCs w:val="28"/>
        </w:rPr>
        <w:t>本合同一式</w:t>
      </w:r>
      <w:r>
        <w:rPr>
          <w:rFonts w:ascii="仿宋" w:hAnsi="仿宋" w:eastAsia="仿宋"/>
          <w:color w:val="auto"/>
          <w:sz w:val="28"/>
          <w:szCs w:val="28"/>
          <w:u w:val="single"/>
        </w:rPr>
        <w:t>陆</w:t>
      </w:r>
      <w:r>
        <w:rPr>
          <w:rFonts w:ascii="仿宋" w:hAnsi="仿宋" w:eastAsia="仿宋"/>
          <w:color w:val="auto"/>
          <w:sz w:val="28"/>
          <w:szCs w:val="28"/>
        </w:rPr>
        <w:t>份，出让人</w:t>
      </w:r>
      <w:r>
        <w:rPr>
          <w:rFonts w:ascii="仿宋" w:hAnsi="仿宋" w:eastAsia="仿宋"/>
          <w:color w:val="auto"/>
          <w:sz w:val="28"/>
          <w:szCs w:val="28"/>
          <w:u w:val="single"/>
        </w:rPr>
        <w:t>叁</w:t>
      </w:r>
      <w:r>
        <w:rPr>
          <w:rFonts w:ascii="仿宋" w:hAnsi="仿宋" w:eastAsia="仿宋"/>
          <w:color w:val="auto"/>
          <w:sz w:val="28"/>
          <w:szCs w:val="28"/>
        </w:rPr>
        <w:t>份,受让人</w:t>
      </w:r>
      <w:r>
        <w:rPr>
          <w:rFonts w:ascii="仿宋" w:hAnsi="仿宋" w:eastAsia="仿宋"/>
          <w:color w:val="auto"/>
          <w:sz w:val="28"/>
          <w:szCs w:val="28"/>
          <w:u w:val="single"/>
        </w:rPr>
        <w:t>叁</w:t>
      </w:r>
      <w:r>
        <w:rPr>
          <w:rFonts w:ascii="仿宋" w:hAnsi="仿宋" w:eastAsia="仿宋"/>
          <w:color w:val="auto"/>
          <w:sz w:val="28"/>
          <w:szCs w:val="28"/>
        </w:rPr>
        <w:t>份，具有同等法律效力。</w:t>
      </w:r>
    </w:p>
    <w:p>
      <w:pPr>
        <w:pStyle w:val="6"/>
        <w:spacing w:line="578" w:lineRule="exact"/>
        <w:ind w:firstLine="560" w:firstLineChars="200"/>
        <w:rPr>
          <w:rFonts w:ascii="仿宋" w:hAnsi="仿宋" w:eastAsia="仿宋"/>
          <w:color w:val="auto"/>
          <w:sz w:val="28"/>
          <w:szCs w:val="28"/>
        </w:rPr>
      </w:pPr>
      <w:r>
        <w:rPr>
          <w:rFonts w:ascii="仿宋" w:hAnsi="仿宋" w:eastAsia="仿宋"/>
          <w:color w:val="auto"/>
          <w:sz w:val="28"/>
          <w:szCs w:val="28"/>
        </w:rPr>
        <w:t>补充条款：</w:t>
      </w:r>
    </w:p>
    <w:p>
      <w:pPr>
        <w:pStyle w:val="6"/>
        <w:spacing w:line="578" w:lineRule="exact"/>
        <w:rPr>
          <w:rFonts w:ascii="仿宋" w:hAnsi="仿宋" w:eastAsia="仿宋"/>
          <w:color w:val="auto"/>
          <w:sz w:val="28"/>
          <w:szCs w:val="28"/>
        </w:rPr>
      </w:pPr>
    </w:p>
    <w:p>
      <w:pPr>
        <w:pStyle w:val="6"/>
        <w:spacing w:line="578" w:lineRule="exact"/>
        <w:jc w:val="center"/>
        <w:rPr>
          <w:rFonts w:ascii="仿宋" w:hAnsi="仿宋" w:eastAsia="仿宋"/>
          <w:color w:val="auto"/>
          <w:sz w:val="28"/>
          <w:szCs w:val="28"/>
        </w:rPr>
      </w:pPr>
    </w:p>
    <w:p>
      <w:pPr>
        <w:pStyle w:val="6"/>
        <w:spacing w:line="578" w:lineRule="exact"/>
        <w:ind w:firstLine="560" w:firstLineChars="200"/>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r>
        <w:rPr>
          <w:rFonts w:ascii="仿宋" w:hAnsi="仿宋" w:eastAsia="仿宋"/>
          <w:color w:val="auto"/>
          <w:sz w:val="28"/>
          <w:szCs w:val="28"/>
        </w:rPr>
        <w:t>出让人（章）：受让人（章）：</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r>
        <w:rPr>
          <w:rFonts w:ascii="仿宋" w:hAnsi="仿宋" w:eastAsia="仿宋"/>
          <w:color w:val="auto"/>
          <w:sz w:val="28"/>
          <w:szCs w:val="28"/>
        </w:rPr>
        <w:t>法定代表人（委托代理人）法定代表人(委托代理人)：</w:t>
      </w:r>
    </w:p>
    <w:p>
      <w:pPr>
        <w:pStyle w:val="6"/>
        <w:spacing w:line="578" w:lineRule="exact"/>
        <w:rPr>
          <w:rFonts w:ascii="仿宋" w:hAnsi="仿宋" w:eastAsia="仿宋"/>
          <w:color w:val="auto"/>
          <w:sz w:val="28"/>
          <w:szCs w:val="28"/>
        </w:rPr>
      </w:pPr>
      <w:r>
        <w:rPr>
          <w:rFonts w:ascii="仿宋" w:hAnsi="仿宋" w:eastAsia="仿宋"/>
          <w:color w:val="auto"/>
          <w:sz w:val="28"/>
          <w:szCs w:val="28"/>
        </w:rPr>
        <w:t>（签字）：（签字）：</w:t>
      </w:r>
    </w:p>
    <w:p>
      <w:pPr>
        <w:pStyle w:val="6"/>
        <w:spacing w:line="578" w:lineRule="exact"/>
        <w:rPr>
          <w:rFonts w:ascii="仿宋" w:hAnsi="仿宋" w:eastAsia="仿宋"/>
          <w:color w:val="auto"/>
          <w:sz w:val="28"/>
          <w:szCs w:val="28"/>
        </w:rPr>
      </w:pPr>
    </w:p>
    <w:p>
      <w:pPr>
        <w:pStyle w:val="6"/>
        <w:spacing w:line="578" w:lineRule="exact"/>
        <w:rPr>
          <w:rFonts w:ascii="仿宋" w:hAnsi="仿宋" w:eastAsia="仿宋"/>
          <w:color w:val="auto"/>
          <w:sz w:val="28"/>
          <w:szCs w:val="28"/>
        </w:rPr>
      </w:pPr>
    </w:p>
    <w:p>
      <w:pPr>
        <w:pStyle w:val="6"/>
        <w:ind w:firstLine="4340" w:firstLineChars="1550"/>
        <w:rPr>
          <w:rFonts w:ascii="仿宋" w:hAnsi="仿宋" w:eastAsia="仿宋"/>
          <w:color w:val="auto"/>
        </w:rPr>
      </w:pPr>
      <w:r>
        <w:rPr>
          <w:rFonts w:ascii="仿宋" w:hAnsi="仿宋" w:eastAsia="仿宋"/>
          <w:color w:val="auto"/>
          <w:sz w:val="28"/>
          <w:szCs w:val="28"/>
        </w:rPr>
        <w:t>二〇二</w:t>
      </w:r>
      <w:r>
        <w:rPr>
          <w:rFonts w:hint="eastAsia" w:ascii="仿宋" w:hAnsi="仿宋" w:eastAsia="仿宋"/>
          <w:color w:val="auto"/>
          <w:sz w:val="28"/>
          <w:szCs w:val="28"/>
        </w:rPr>
        <w:t>三</w:t>
      </w:r>
      <w:r>
        <w:rPr>
          <w:rFonts w:ascii="仿宋" w:hAnsi="仿宋" w:eastAsia="仿宋"/>
          <w:color w:val="auto"/>
          <w:sz w:val="28"/>
          <w:szCs w:val="28"/>
        </w:rPr>
        <w:t>年  月  日</w:t>
      </w:r>
    </w:p>
    <w:p>
      <w:pPr>
        <w:pStyle w:val="6"/>
        <w:spacing w:line="578" w:lineRule="exact"/>
        <w:jc w:val="right"/>
        <w:rPr>
          <w:rFonts w:ascii="Times New Roman" w:hAnsi="Times New Roman"/>
          <w:color w:val="auto"/>
          <w:sz w:val="28"/>
          <w:szCs w:val="28"/>
        </w:rPr>
        <w:sectPr>
          <w:pgSz w:w="11906" w:h="16838"/>
          <w:pgMar w:top="1440" w:right="1800" w:bottom="1440" w:left="1800" w:header="851" w:footer="992" w:gutter="0"/>
          <w:pgNumType w:fmt="numberInDash"/>
          <w:cols w:space="425" w:num="1"/>
          <w:docGrid w:type="lines" w:linePitch="312" w:charSpace="0"/>
        </w:sectPr>
      </w:pPr>
    </w:p>
    <w:p>
      <w:pPr>
        <w:pStyle w:val="15"/>
        <w:rPr>
          <w:rFonts w:ascii="Times New Roman" w:hAnsi="Times New Roman" w:eastAsia="黑体"/>
          <w:color w:val="auto"/>
          <w:sz w:val="44"/>
          <w:szCs w:val="44"/>
        </w:rPr>
      </w:pPr>
      <w:bookmarkStart w:id="20" w:name="_Toc3391981"/>
      <w:r>
        <w:rPr>
          <w:rFonts w:ascii="Times New Roman" w:hAnsi="Times New Roman" w:eastAsia="黑体"/>
          <w:color w:val="auto"/>
          <w:sz w:val="44"/>
          <w:szCs w:val="44"/>
        </w:rPr>
        <w:t>国有建设用地交接地确认书</w:t>
      </w:r>
      <w:bookmarkEnd w:id="20"/>
    </w:p>
    <w:p>
      <w:pPr>
        <w:jc w:val="center"/>
        <w:rPr>
          <w:rFonts w:eastAsia="仿宋_GB2312"/>
          <w:color w:val="auto"/>
          <w:sz w:val="32"/>
          <w:szCs w:val="32"/>
        </w:rPr>
      </w:pPr>
      <w:r>
        <w:rPr>
          <w:rFonts w:eastAsia="仿宋_GB2312"/>
          <w:color w:val="auto"/>
          <w:sz w:val="32"/>
          <w:szCs w:val="32"/>
        </w:rPr>
        <w:t>达市自然资交字〔〕号</w:t>
      </w:r>
    </w:p>
    <w:p>
      <w:pPr>
        <w:spacing w:line="560" w:lineRule="exact"/>
        <w:ind w:firstLine="640" w:firstLineChars="200"/>
        <w:rPr>
          <w:rFonts w:eastAsia="仿宋_GB2312"/>
          <w:color w:val="auto"/>
          <w:sz w:val="32"/>
          <w:szCs w:val="32"/>
        </w:rPr>
      </w:pPr>
    </w:p>
    <w:p>
      <w:pPr>
        <w:spacing w:line="560" w:lineRule="exact"/>
        <w:ind w:firstLine="643" w:firstLineChars="200"/>
        <w:rPr>
          <w:rFonts w:ascii="仿宋" w:hAnsi="仿宋" w:eastAsia="仿宋"/>
          <w:b/>
          <w:color w:val="auto"/>
          <w:sz w:val="32"/>
          <w:szCs w:val="32"/>
          <w:u w:val="single"/>
        </w:rPr>
      </w:pPr>
      <w:r>
        <w:rPr>
          <w:rFonts w:ascii="仿宋" w:hAnsi="仿宋" w:eastAsia="仿宋"/>
          <w:b/>
          <w:color w:val="auto"/>
          <w:sz w:val="32"/>
          <w:szCs w:val="32"/>
        </w:rPr>
        <w:t>根据号《国有建设用地使用权出让合同》/《国有建设用地使用权划拨决定书》的相关要求，地块已达到交地条件，从即日起取得该宗地的国有建设用地使用权。局于年月日将该宗地实际交付给，现场接收。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本确认书一式三份，局执二份，接地方执一份。</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特此确认。</w:t>
      </w:r>
    </w:p>
    <w:p>
      <w:pPr>
        <w:spacing w:line="560" w:lineRule="exact"/>
        <w:ind w:firstLine="643" w:firstLineChars="200"/>
        <w:rPr>
          <w:rFonts w:ascii="仿宋" w:hAnsi="仿宋" w:eastAsia="仿宋"/>
          <w:b/>
          <w:color w:val="auto"/>
          <w:sz w:val="32"/>
          <w:szCs w:val="32"/>
        </w:rPr>
      </w:pP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交地方：               （印章）</w:t>
      </w:r>
    </w:p>
    <w:p>
      <w:pPr>
        <w:spacing w:line="560" w:lineRule="exact"/>
        <w:ind w:firstLine="643" w:firstLineChars="200"/>
        <w:rPr>
          <w:rFonts w:ascii="仿宋" w:hAnsi="仿宋" w:eastAsia="仿宋"/>
          <w:b/>
          <w:color w:val="auto"/>
          <w:sz w:val="32"/>
          <w:szCs w:val="32"/>
        </w:rPr>
      </w:pPr>
      <w:r>
        <w:rPr>
          <w:rFonts w:ascii="仿宋" w:hAnsi="仿宋" w:eastAsia="仿宋"/>
          <w:b/>
          <w:color w:val="auto"/>
          <w:sz w:val="32"/>
          <w:szCs w:val="32"/>
        </w:rPr>
        <w:t>接地方：               （印章）</w:t>
      </w:r>
    </w:p>
    <w:p>
      <w:pPr>
        <w:spacing w:line="560" w:lineRule="exact"/>
        <w:ind w:firstLine="643" w:firstLineChars="200"/>
        <w:rPr>
          <w:rFonts w:ascii="仿宋" w:hAnsi="仿宋" w:eastAsia="仿宋"/>
          <w:b/>
          <w:color w:val="auto"/>
          <w:sz w:val="32"/>
          <w:szCs w:val="32"/>
        </w:rPr>
      </w:pPr>
    </w:p>
    <w:p>
      <w:pPr>
        <w:spacing w:line="560" w:lineRule="exact"/>
        <w:ind w:firstLine="4176" w:firstLineChars="1300"/>
        <w:rPr>
          <w:rFonts w:ascii="仿宋" w:hAnsi="仿宋" w:eastAsia="仿宋"/>
          <w:b/>
          <w:color w:val="auto"/>
          <w:sz w:val="32"/>
          <w:szCs w:val="32"/>
        </w:rPr>
      </w:pPr>
      <w:r>
        <w:rPr>
          <w:rFonts w:ascii="仿宋" w:hAnsi="仿宋" w:eastAsia="仿宋"/>
          <w:b/>
          <w:color w:val="auto"/>
          <w:sz w:val="32"/>
          <w:szCs w:val="32"/>
        </w:rPr>
        <w:t>年  月  日</w:t>
      </w:r>
    </w:p>
    <w:p>
      <w:pPr>
        <w:spacing w:line="560" w:lineRule="exact"/>
        <w:rPr>
          <w:rFonts w:ascii="仿宋" w:hAnsi="仿宋" w:eastAsia="仿宋"/>
          <w:color w:val="auto"/>
          <w:sz w:val="32"/>
          <w:szCs w:val="32"/>
        </w:rPr>
      </w:pPr>
    </w:p>
    <w:p>
      <w:pPr>
        <w:spacing w:line="560" w:lineRule="exact"/>
        <w:rPr>
          <w:rFonts w:ascii="仿宋" w:hAnsi="仿宋" w:eastAsia="仿宋"/>
          <w:color w:val="auto"/>
          <w:sz w:val="32"/>
          <w:szCs w:val="32"/>
        </w:rPr>
      </w:pPr>
      <w:r>
        <w:rPr>
          <w:rFonts w:ascii="仿宋" w:hAnsi="仿宋" w:eastAsia="仿宋"/>
          <w:color w:val="auto"/>
          <w:sz w:val="32"/>
          <w:szCs w:val="32"/>
        </w:rPr>
        <w:t>注：1.接地方须为受让方；</w:t>
      </w:r>
    </w:p>
    <w:p>
      <w:pPr>
        <w:spacing w:line="560" w:lineRule="exact"/>
        <w:ind w:firstLine="645"/>
        <w:rPr>
          <w:rFonts w:ascii="仿宋" w:hAnsi="仿宋" w:eastAsia="仿宋"/>
          <w:color w:val="auto"/>
          <w:sz w:val="32"/>
          <w:szCs w:val="32"/>
        </w:rPr>
      </w:pPr>
      <w:r>
        <w:rPr>
          <w:rFonts w:ascii="仿宋" w:hAnsi="仿宋" w:eastAsia="仿宋"/>
          <w:color w:val="auto"/>
          <w:sz w:val="32"/>
          <w:szCs w:val="32"/>
        </w:rPr>
        <w:t>2.接地方到场人员须持受让方的委托书，委托书须现场交给交地方；</w:t>
      </w:r>
    </w:p>
    <w:p>
      <w:pPr>
        <w:spacing w:line="560" w:lineRule="exact"/>
        <w:ind w:firstLine="645"/>
        <w:rPr>
          <w:rFonts w:ascii="仿宋" w:hAnsi="仿宋" w:eastAsia="仿宋"/>
          <w:color w:val="auto"/>
          <w:sz w:val="32"/>
          <w:szCs w:val="32"/>
        </w:rPr>
      </w:pPr>
      <w:r>
        <w:rPr>
          <w:rFonts w:ascii="仿宋" w:hAnsi="仿宋" w:eastAsia="仿宋"/>
          <w:color w:val="auto"/>
          <w:sz w:val="32"/>
          <w:szCs w:val="32"/>
        </w:rPr>
        <w:t>3.接地方须在到场后三日内将加盖印章的确认书返还交地方，否则视为违约；</w:t>
      </w:r>
    </w:p>
    <w:p>
      <w:pPr>
        <w:spacing w:line="560" w:lineRule="exact"/>
        <w:ind w:firstLine="645"/>
        <w:rPr>
          <w:rFonts w:ascii="仿宋" w:hAnsi="仿宋" w:eastAsia="仿宋"/>
          <w:color w:val="auto"/>
          <w:sz w:val="32"/>
          <w:szCs w:val="32"/>
        </w:rPr>
      </w:pPr>
      <w:r>
        <w:rPr>
          <w:rFonts w:ascii="仿宋" w:hAnsi="仿宋" w:eastAsia="仿宋"/>
          <w:color w:val="auto"/>
          <w:sz w:val="32"/>
          <w:szCs w:val="32"/>
        </w:rPr>
        <w:t>4.三份确认书中只二份加盖接地方印章。</w:t>
      </w:r>
    </w:p>
    <w:p>
      <w:pPr>
        <w:spacing w:line="560" w:lineRule="exact"/>
        <w:ind w:firstLine="645"/>
        <w:rPr>
          <w:rFonts w:ascii="仿宋" w:hAnsi="仿宋" w:eastAsia="仿宋"/>
          <w:color w:val="auto"/>
          <w:sz w:val="32"/>
          <w:szCs w:val="32"/>
        </w:rPr>
      </w:pPr>
    </w:p>
    <w:p>
      <w:pPr>
        <w:spacing w:line="560" w:lineRule="exact"/>
        <w:ind w:firstLine="645"/>
        <w:rPr>
          <w:rFonts w:eastAsia="仿宋"/>
          <w:color w:val="auto"/>
          <w:sz w:val="32"/>
          <w:szCs w:val="32"/>
        </w:rPr>
      </w:pPr>
    </w:p>
    <w:p>
      <w:pPr>
        <w:spacing w:line="560" w:lineRule="exact"/>
        <w:jc w:val="center"/>
        <w:rPr>
          <w:rFonts w:eastAsia="黑体"/>
          <w:color w:val="auto"/>
          <w:sz w:val="44"/>
          <w:szCs w:val="44"/>
        </w:rPr>
      </w:pPr>
    </w:p>
    <w:p>
      <w:pPr>
        <w:spacing w:line="560" w:lineRule="exact"/>
        <w:jc w:val="center"/>
        <w:rPr>
          <w:rFonts w:eastAsia="黑体"/>
          <w:color w:val="auto"/>
          <w:sz w:val="44"/>
          <w:szCs w:val="44"/>
        </w:rPr>
      </w:pPr>
      <w:r>
        <w:rPr>
          <w:rFonts w:eastAsia="黑体"/>
          <w:color w:val="auto"/>
          <w:sz w:val="44"/>
          <w:szCs w:val="44"/>
        </w:rPr>
        <w:t>国有建设用地交接地现场人员签到表</w:t>
      </w:r>
    </w:p>
    <w:p>
      <w:pPr>
        <w:spacing w:line="560" w:lineRule="exact"/>
        <w:ind w:firstLine="645"/>
        <w:rPr>
          <w:rFonts w:eastAsia="仿宋"/>
          <w:color w:val="auto"/>
          <w:sz w:val="32"/>
          <w:szCs w:val="32"/>
        </w:rPr>
      </w:pPr>
    </w:p>
    <w:p>
      <w:pPr>
        <w:spacing w:line="560" w:lineRule="exact"/>
        <w:rPr>
          <w:rFonts w:eastAsia="仿宋"/>
          <w:b/>
          <w:color w:val="auto"/>
          <w:sz w:val="32"/>
          <w:szCs w:val="32"/>
        </w:rPr>
      </w:pPr>
      <w:r>
        <w:rPr>
          <w:rFonts w:eastAsia="仿宋"/>
          <w:b/>
          <w:color w:val="auto"/>
          <w:sz w:val="32"/>
          <w:szCs w:val="32"/>
        </w:rPr>
        <w:t>时间：</w:t>
      </w:r>
    </w:p>
    <w:p>
      <w:pPr>
        <w:spacing w:line="560" w:lineRule="exact"/>
        <w:rPr>
          <w:rFonts w:eastAsia="仿宋"/>
          <w:b/>
          <w:color w:val="auto"/>
          <w:sz w:val="32"/>
          <w:szCs w:val="32"/>
        </w:rPr>
      </w:pPr>
      <w:r>
        <w:rPr>
          <w:rFonts w:eastAsia="仿宋"/>
          <w:b/>
          <w:color w:val="auto"/>
          <w:sz w:val="32"/>
          <w:szCs w:val="32"/>
        </w:rPr>
        <w:t>地块名称或编号：</w:t>
      </w:r>
    </w:p>
    <w:p>
      <w:pPr>
        <w:spacing w:line="560" w:lineRule="exact"/>
        <w:rPr>
          <w:rFonts w:eastAsia="仿宋"/>
          <w:b/>
          <w:color w:val="auto"/>
          <w:sz w:val="32"/>
          <w:szCs w:val="32"/>
        </w:rPr>
      </w:pPr>
      <w:r>
        <w:rPr>
          <w:rFonts w:eastAsia="仿宋"/>
          <w:b/>
          <w:color w:val="auto"/>
          <w:sz w:val="32"/>
          <w:szCs w:val="32"/>
        </w:rPr>
        <w:t>人员：</w:t>
      </w:r>
    </w:p>
    <w:tbl>
      <w:tblPr>
        <w:tblStyle w:val="16"/>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auto"/>
                <w:sz w:val="32"/>
                <w:szCs w:val="32"/>
              </w:rPr>
            </w:pPr>
            <w:r>
              <w:rPr>
                <w:rFonts w:eastAsia="仿宋"/>
                <w:b/>
                <w:color w:val="auto"/>
                <w:sz w:val="32"/>
                <w:szCs w:val="32"/>
              </w:rPr>
              <w:t>姓名</w:t>
            </w:r>
          </w:p>
        </w:tc>
        <w:tc>
          <w:tcPr>
            <w:tcW w:w="2736" w:type="dxa"/>
            <w:vAlign w:val="center"/>
          </w:tcPr>
          <w:p>
            <w:pPr>
              <w:spacing w:line="560" w:lineRule="exact"/>
              <w:jc w:val="center"/>
              <w:rPr>
                <w:rFonts w:eastAsia="仿宋"/>
                <w:b/>
                <w:color w:val="auto"/>
                <w:sz w:val="32"/>
                <w:szCs w:val="32"/>
              </w:rPr>
            </w:pPr>
            <w:r>
              <w:rPr>
                <w:rFonts w:eastAsia="仿宋"/>
                <w:b/>
                <w:color w:val="auto"/>
                <w:sz w:val="32"/>
                <w:szCs w:val="32"/>
              </w:rPr>
              <w:t>工作单位</w:t>
            </w:r>
          </w:p>
        </w:tc>
        <w:tc>
          <w:tcPr>
            <w:tcW w:w="1604" w:type="dxa"/>
            <w:vAlign w:val="center"/>
          </w:tcPr>
          <w:p>
            <w:pPr>
              <w:spacing w:line="360" w:lineRule="exact"/>
              <w:jc w:val="center"/>
              <w:rPr>
                <w:rFonts w:eastAsia="仿宋"/>
                <w:b/>
                <w:color w:val="auto"/>
                <w:sz w:val="32"/>
                <w:szCs w:val="32"/>
              </w:rPr>
            </w:pPr>
            <w:r>
              <w:rPr>
                <w:rFonts w:eastAsia="仿宋"/>
                <w:b/>
                <w:color w:val="auto"/>
                <w:sz w:val="32"/>
                <w:szCs w:val="32"/>
              </w:rPr>
              <w:t>职务</w:t>
            </w:r>
          </w:p>
          <w:p>
            <w:pPr>
              <w:spacing w:line="360" w:lineRule="exact"/>
              <w:jc w:val="center"/>
              <w:rPr>
                <w:rFonts w:eastAsia="仿宋"/>
                <w:b/>
                <w:color w:val="auto"/>
                <w:sz w:val="32"/>
                <w:szCs w:val="32"/>
              </w:rPr>
            </w:pPr>
            <w:r>
              <w:rPr>
                <w:rFonts w:eastAsia="仿宋"/>
                <w:b/>
                <w:color w:val="auto"/>
                <w:sz w:val="32"/>
                <w:szCs w:val="32"/>
              </w:rPr>
              <w:t>(或职称)</w:t>
            </w:r>
          </w:p>
        </w:tc>
        <w:tc>
          <w:tcPr>
            <w:tcW w:w="2263" w:type="dxa"/>
            <w:vAlign w:val="center"/>
          </w:tcPr>
          <w:p>
            <w:pPr>
              <w:spacing w:line="560" w:lineRule="exact"/>
              <w:jc w:val="center"/>
              <w:rPr>
                <w:rFonts w:eastAsia="仿宋"/>
                <w:b/>
                <w:color w:val="auto"/>
                <w:sz w:val="32"/>
                <w:szCs w:val="32"/>
              </w:rPr>
            </w:pPr>
            <w:r>
              <w:rPr>
                <w:rFonts w:eastAsia="仿宋"/>
                <w:b/>
                <w:color w:val="auto"/>
                <w:sz w:val="32"/>
                <w:szCs w:val="32"/>
              </w:rPr>
              <w:t>联系电话</w:t>
            </w:r>
          </w:p>
        </w:tc>
        <w:tc>
          <w:tcPr>
            <w:tcW w:w="1093" w:type="dxa"/>
            <w:vAlign w:val="center"/>
          </w:tcPr>
          <w:p>
            <w:pPr>
              <w:spacing w:line="560" w:lineRule="exact"/>
              <w:jc w:val="center"/>
              <w:rPr>
                <w:rFonts w:eastAsia="仿宋"/>
                <w:b/>
                <w:color w:val="auto"/>
                <w:sz w:val="32"/>
                <w:szCs w:val="32"/>
              </w:rPr>
            </w:pPr>
            <w:r>
              <w:rPr>
                <w:rFonts w:eastAsia="仿宋"/>
                <w:b/>
                <w:color w:val="auto"/>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auto"/>
                <w:sz w:val="32"/>
                <w:szCs w:val="32"/>
              </w:rPr>
            </w:pPr>
          </w:p>
        </w:tc>
        <w:tc>
          <w:tcPr>
            <w:tcW w:w="2736" w:type="dxa"/>
            <w:vAlign w:val="center"/>
          </w:tcPr>
          <w:p>
            <w:pPr>
              <w:spacing w:line="560" w:lineRule="exact"/>
              <w:jc w:val="center"/>
              <w:rPr>
                <w:rFonts w:eastAsia="仿宋"/>
                <w:color w:val="auto"/>
                <w:sz w:val="32"/>
                <w:szCs w:val="32"/>
              </w:rPr>
            </w:pPr>
          </w:p>
        </w:tc>
        <w:tc>
          <w:tcPr>
            <w:tcW w:w="1604" w:type="dxa"/>
            <w:vAlign w:val="center"/>
          </w:tcPr>
          <w:p>
            <w:pPr>
              <w:spacing w:line="560" w:lineRule="exact"/>
              <w:jc w:val="center"/>
              <w:rPr>
                <w:rFonts w:eastAsia="仿宋"/>
                <w:color w:val="auto"/>
                <w:sz w:val="32"/>
                <w:szCs w:val="32"/>
              </w:rPr>
            </w:pPr>
          </w:p>
        </w:tc>
        <w:tc>
          <w:tcPr>
            <w:tcW w:w="2263" w:type="dxa"/>
            <w:vAlign w:val="center"/>
          </w:tcPr>
          <w:p>
            <w:pPr>
              <w:spacing w:line="560" w:lineRule="exact"/>
              <w:jc w:val="center"/>
              <w:rPr>
                <w:rFonts w:eastAsia="仿宋"/>
                <w:color w:val="auto"/>
                <w:sz w:val="32"/>
                <w:szCs w:val="32"/>
              </w:rPr>
            </w:pPr>
          </w:p>
        </w:tc>
        <w:tc>
          <w:tcPr>
            <w:tcW w:w="1093" w:type="dxa"/>
            <w:vAlign w:val="center"/>
          </w:tcPr>
          <w:p>
            <w:pPr>
              <w:spacing w:line="560" w:lineRule="exact"/>
              <w:jc w:val="center"/>
              <w:rPr>
                <w:rFonts w:eastAsia="仿宋"/>
                <w:color w:val="auto"/>
                <w:sz w:val="32"/>
                <w:szCs w:val="32"/>
              </w:rPr>
            </w:pPr>
          </w:p>
        </w:tc>
      </w:tr>
    </w:tbl>
    <w:p>
      <w:pPr>
        <w:spacing w:line="560" w:lineRule="exact"/>
        <w:rPr>
          <w:rFonts w:eastAsia="仿宋"/>
          <w:color w:val="auto"/>
          <w:sz w:val="32"/>
          <w:szCs w:val="32"/>
        </w:rPr>
      </w:pPr>
      <w:r>
        <w:rPr>
          <w:rFonts w:eastAsia="仿宋"/>
          <w:color w:val="auto"/>
          <w:sz w:val="32"/>
          <w:szCs w:val="32"/>
        </w:rPr>
        <w:t>注：1.表格内容须由现场人员亲自填写；</w:t>
      </w:r>
    </w:p>
    <w:p>
      <w:pPr>
        <w:spacing w:line="560" w:lineRule="exact"/>
        <w:rPr>
          <w:rFonts w:eastAsia="仿宋"/>
          <w:color w:val="auto"/>
          <w:sz w:val="32"/>
          <w:szCs w:val="32"/>
        </w:rPr>
      </w:pPr>
      <w:r>
        <w:rPr>
          <w:rFonts w:eastAsia="仿宋"/>
          <w:color w:val="auto"/>
          <w:sz w:val="32"/>
          <w:szCs w:val="32"/>
        </w:rPr>
        <w:t xml:space="preserve">    2.接地方主要代表须现场按手印。</w:t>
      </w:r>
    </w:p>
    <w:p>
      <w:pPr>
        <w:pStyle w:val="6"/>
        <w:ind w:left="-141" w:leftChars="-67" w:right="480"/>
        <w:jc w:val="center"/>
        <w:rPr>
          <w:rFonts w:ascii="Times New Roman" w:hAnsi="Times New Roman" w:eastAsia="黑体"/>
          <w:color w:val="auto"/>
          <w:sz w:val="44"/>
          <w:szCs w:val="44"/>
        </w:rPr>
      </w:pPr>
    </w:p>
    <w:p>
      <w:pPr>
        <w:pStyle w:val="6"/>
        <w:ind w:left="-141" w:leftChars="-67" w:right="480"/>
        <w:jc w:val="center"/>
        <w:rPr>
          <w:rFonts w:ascii="Times New Roman" w:hAnsi="Times New Roman" w:eastAsia="黑体"/>
          <w:color w:val="auto"/>
          <w:sz w:val="44"/>
          <w:szCs w:val="44"/>
        </w:rPr>
      </w:pPr>
      <w:r>
        <w:rPr>
          <w:rFonts w:ascii="Times New Roman" w:hAnsi="Times New Roman" w:eastAsia="黑体"/>
          <w:color w:val="auto"/>
          <w:sz w:val="44"/>
          <w:szCs w:val="44"/>
        </w:rPr>
        <w:t>建设项目动工开发申报书</w:t>
      </w:r>
    </w:p>
    <w:p>
      <w:pPr>
        <w:pStyle w:val="6"/>
        <w:ind w:left="-141" w:leftChars="-67" w:right="480"/>
        <w:jc w:val="left"/>
        <w:rPr>
          <w:rFonts w:ascii="Times New Roman" w:hAnsi="Times New Roman"/>
          <w:color w:val="auto"/>
        </w:rPr>
      </w:pPr>
    </w:p>
    <w:p>
      <w:pPr>
        <w:pStyle w:val="6"/>
        <w:ind w:right="480"/>
        <w:jc w:val="left"/>
        <w:rPr>
          <w:rFonts w:ascii="仿宋" w:hAnsi="仿宋" w:eastAsia="仿宋"/>
          <w:color w:val="auto"/>
        </w:rPr>
      </w:pPr>
      <w:r>
        <w:rPr>
          <w:rFonts w:ascii="仿宋" w:hAnsi="仿宋" w:eastAsia="仿宋"/>
          <w:color w:val="auto"/>
        </w:rPr>
        <w:t>×××局：</w:t>
      </w:r>
    </w:p>
    <w:p>
      <w:pPr>
        <w:pStyle w:val="6"/>
        <w:ind w:left="-141" w:leftChars="-67" w:right="480" w:firstLine="480" w:firstLineChars="150"/>
        <w:jc w:val="left"/>
        <w:rPr>
          <w:rFonts w:ascii="仿宋" w:hAnsi="仿宋" w:eastAsia="仿宋"/>
          <w:color w:val="auto"/>
          <w:u w:val="single"/>
        </w:rPr>
      </w:pPr>
      <w:r>
        <w:rPr>
          <w:rFonts w:ascii="仿宋" w:hAnsi="仿宋" w:eastAsia="仿宋"/>
          <w:color w:val="auto"/>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仿宋" w:hAnsi="仿宋" w:eastAsia="仿宋"/>
          <w:color w:val="auto"/>
          <w:u w:val="single"/>
        </w:rPr>
        <w:t>。</w:t>
      </w:r>
    </w:p>
    <w:p>
      <w:pPr>
        <w:pStyle w:val="6"/>
        <w:ind w:left="-141" w:leftChars="-67" w:right="480" w:firstLine="480" w:firstLineChars="150"/>
        <w:jc w:val="left"/>
        <w:rPr>
          <w:rFonts w:ascii="仿宋" w:hAnsi="仿宋" w:eastAsia="仿宋"/>
          <w:color w:val="auto"/>
        </w:rPr>
      </w:pPr>
      <w:r>
        <w:rPr>
          <w:rFonts w:ascii="仿宋" w:hAnsi="仿宋" w:eastAsia="仿宋"/>
          <w:color w:val="auto"/>
        </w:rPr>
        <w:t>我方拟在上述宗地建设项目，目前已取得部分（全部）的建设施工许可证（编号为：），并于  年  月 日已达到动工标准。请予检查复核。</w:t>
      </w:r>
    </w:p>
    <w:p>
      <w:pPr>
        <w:pStyle w:val="6"/>
        <w:ind w:left="-141" w:leftChars="-67" w:right="480"/>
        <w:jc w:val="left"/>
        <w:rPr>
          <w:rFonts w:ascii="仿宋" w:hAnsi="仿宋" w:eastAsia="仿宋"/>
          <w:color w:val="auto"/>
        </w:rPr>
      </w:pPr>
      <w:r>
        <w:rPr>
          <w:rFonts w:ascii="仿宋" w:hAnsi="仿宋" w:eastAsia="仿宋"/>
          <w:color w:val="auto"/>
        </w:rPr>
        <w:t>特此申报。</w:t>
      </w:r>
    </w:p>
    <w:p>
      <w:pPr>
        <w:pStyle w:val="6"/>
        <w:ind w:left="-141" w:leftChars="-67" w:right="480"/>
        <w:jc w:val="left"/>
        <w:rPr>
          <w:rFonts w:ascii="仿宋" w:hAnsi="仿宋" w:eastAsia="仿宋"/>
          <w:color w:val="auto"/>
        </w:rPr>
      </w:pPr>
    </w:p>
    <w:p>
      <w:pPr>
        <w:pStyle w:val="6"/>
        <w:ind w:left="-141" w:leftChars="-67" w:right="480"/>
        <w:jc w:val="left"/>
        <w:rPr>
          <w:rFonts w:ascii="仿宋" w:hAnsi="仿宋" w:eastAsia="仿宋"/>
          <w:color w:val="auto"/>
        </w:rPr>
      </w:pPr>
      <w:r>
        <w:rPr>
          <w:rFonts w:ascii="仿宋" w:hAnsi="仿宋" w:eastAsia="仿宋"/>
          <w:color w:val="auto"/>
        </w:rPr>
        <w:t>单位（印章）/个人：</w:t>
      </w:r>
    </w:p>
    <w:p>
      <w:pPr>
        <w:pStyle w:val="6"/>
        <w:wordWrap w:val="0"/>
        <w:ind w:left="-141" w:leftChars="-67" w:right="800"/>
        <w:jc w:val="right"/>
        <w:rPr>
          <w:rFonts w:ascii="仿宋" w:hAnsi="仿宋" w:eastAsia="仿宋"/>
          <w:color w:val="auto"/>
        </w:rPr>
      </w:pPr>
      <w:r>
        <w:rPr>
          <w:rFonts w:ascii="仿宋" w:hAnsi="仿宋" w:eastAsia="仿宋"/>
          <w:color w:val="auto"/>
        </w:rPr>
        <w:t>年 月 日</w:t>
      </w:r>
    </w:p>
    <w:p>
      <w:pPr>
        <w:pStyle w:val="6"/>
        <w:ind w:left="-141" w:leftChars="-67" w:right="480"/>
        <w:jc w:val="left"/>
        <w:rPr>
          <w:rFonts w:ascii="仿宋" w:hAnsi="仿宋" w:eastAsia="仿宋"/>
          <w:color w:val="auto"/>
        </w:rPr>
      </w:pPr>
    </w:p>
    <w:p>
      <w:pPr>
        <w:pStyle w:val="6"/>
        <w:ind w:left="-141" w:leftChars="-67" w:right="480"/>
        <w:jc w:val="left"/>
        <w:rPr>
          <w:rFonts w:ascii="Times New Roman" w:hAnsi="Times New Roman"/>
          <w:b/>
          <w:bCs/>
          <w:color w:val="auto"/>
        </w:rPr>
      </w:pPr>
      <w:r>
        <w:rPr>
          <w:rFonts w:ascii="Times New Roman" w:hAnsi="Times New Roman"/>
          <w:color w:val="auto"/>
        </w:rPr>
        <w:br w:type="page"/>
      </w:r>
      <w:r>
        <w:rPr>
          <w:rFonts w:ascii="Times New Roman" w:hAnsi="Times New Roman"/>
          <w:b/>
          <w:bCs/>
          <w:color w:val="auto"/>
          <w:sz w:val="24"/>
        </w:rPr>
        <w:object>
          <v:shape id="_x0000_i1025" o:spt="75" type="#_x0000_t75" style="height:530.25pt;width:418.5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pStyle w:val="6"/>
        <w:spacing w:line="578" w:lineRule="atLeast"/>
        <w:ind w:left="-141" w:leftChars="-67" w:right="802"/>
        <w:jc w:val="right"/>
        <w:rPr>
          <w:rFonts w:ascii="Times New Roman" w:hAnsi="Times New Roman" w:eastAsia="仿宋_GB2312"/>
          <w:color w:val="auto"/>
        </w:rPr>
      </w:pPr>
    </w:p>
    <w:p>
      <w:pPr>
        <w:pStyle w:val="6"/>
        <w:ind w:left="-141" w:leftChars="-67" w:right="480"/>
        <w:jc w:val="left"/>
        <w:rPr>
          <w:rFonts w:ascii="Times New Roman" w:hAnsi="Times New Roman"/>
          <w:color w:val="auto"/>
        </w:rPr>
      </w:pPr>
    </w:p>
    <w:p>
      <w:pPr>
        <w:jc w:val="left"/>
        <w:rPr>
          <w:color w:val="auto"/>
          <w:w w:val="90"/>
          <w:sz w:val="32"/>
          <w:szCs w:val="32"/>
        </w:rPr>
      </w:pPr>
    </w:p>
    <w:p>
      <w:pPr>
        <w:rPr>
          <w:color w:val="auto"/>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Cambria">
    <w:altName w:val="Segoe Print"/>
    <w:panose1 w:val="02040503050406030204"/>
    <w:charset w:val="00"/>
    <w:family w:val="roman"/>
    <w:pitch w:val="default"/>
    <w:sig w:usb0="00000000" w:usb1="00000000"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Dotum">
    <w:altName w:val="Times New Roman"/>
    <w:panose1 w:val="020B0600000101010101"/>
    <w:charset w:val="81"/>
    <w:family w:val="modern"/>
    <w:pitch w:val="default"/>
    <w:sig w:usb0="00000000" w:usb1="00000000" w:usb2="00000010" w:usb3="00000000" w:csb0="00080000" w:csb1="00000000"/>
  </w:font>
  <w:font w:name="方正黑体_GBK">
    <w:panose1 w:val="03000509000000000000"/>
    <w:charset w:val="86"/>
    <w:family w:val="script"/>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FoqC7M0BAACoAwAADgAAAAAAAAABACAAAAAeAQAAZHJzL2Uy&#10;b0RvYy54bWxQSwUGAAAAAAYABgBZAQAAXQUAAAAA&#10;">
              <v:fill on="f" focussize="0,0"/>
              <v:stroke on="f"/>
              <v:imagedata o:title=""/>
              <o:lock v:ext="edit" aspectratio="f"/>
              <v:textbox inset="0mm,0mm,0mm,0mm" style="mso-fit-shape-to-text:t;">
                <w:txbxContent>
                  <w:p>
                    <w:pPr>
                      <w:pStyle w:val="9"/>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rwG0/zAEAAKcDAAAOAAAAAAAAAAEAIAAAAB4BAABkcnMvZTJv&#10;RG9jLnhtbFBLBQYAAAAABgAGAFkBAABcBQ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- 43 -</w:t>
                    </w:r>
                    <w:r>
                      <w:rPr>
                        <w:rFonts w:hint="eastAsia" w:ascii="宋体" w:hAnsi="宋体" w:cs="宋体"/>
                        <w:sz w:val="28"/>
                        <w:szCs w:val="28"/>
                      </w:rPr>
                      <w:fldChar w:fldCharType="end"/>
                    </w:r>
                  </w:p>
                </w:txbxContent>
              </v:textbox>
            </v:shape>
          </w:pict>
        </mc:Fallback>
      </mc:AlternateContent>
    </w:r>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pcGobOAQAAqAMAAA4AAAAAAAAAAQAgAAAAHgEAAGRycy9l&#10;Mm9Eb2MueG1sUEsFBgAAAAAGAAYAWQEAAF4FA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- 47 -</w:t>
                    </w:r>
                    <w:r>
                      <w:rPr>
                        <w:rFonts w:hint="eastAsia" w:ascii="宋体" w:hAnsi="宋体" w:cs="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3DF0637B"/>
    <w:multiLevelType w:val="multilevel"/>
    <w:tmpl w:val="3DF0637B"/>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ZGZhZGM4MmM0OTM2ODNjMTE0NDUwMmEwNWY1NjIifQ=="/>
  </w:docVars>
  <w:rsids>
    <w:rsidRoot w:val="007A7BFE"/>
    <w:rsid w:val="00003BD4"/>
    <w:rsid w:val="00010A25"/>
    <w:rsid w:val="000254EF"/>
    <w:rsid w:val="00030AB4"/>
    <w:rsid w:val="00033BBC"/>
    <w:rsid w:val="000474A3"/>
    <w:rsid w:val="00051B03"/>
    <w:rsid w:val="00081EBB"/>
    <w:rsid w:val="0008246D"/>
    <w:rsid w:val="0008327F"/>
    <w:rsid w:val="000B7C33"/>
    <w:rsid w:val="000C75CE"/>
    <w:rsid w:val="00105E12"/>
    <w:rsid w:val="001103D8"/>
    <w:rsid w:val="00116F95"/>
    <w:rsid w:val="001173CB"/>
    <w:rsid w:val="00136196"/>
    <w:rsid w:val="00145618"/>
    <w:rsid w:val="00154218"/>
    <w:rsid w:val="001618B5"/>
    <w:rsid w:val="0017179C"/>
    <w:rsid w:val="001815D9"/>
    <w:rsid w:val="001A22B5"/>
    <w:rsid w:val="001A25BB"/>
    <w:rsid w:val="001A6FDE"/>
    <w:rsid w:val="001D13D4"/>
    <w:rsid w:val="001D35F2"/>
    <w:rsid w:val="001E0754"/>
    <w:rsid w:val="001E3417"/>
    <w:rsid w:val="00200A7B"/>
    <w:rsid w:val="00206E9D"/>
    <w:rsid w:val="002129C7"/>
    <w:rsid w:val="0022243F"/>
    <w:rsid w:val="002404F1"/>
    <w:rsid w:val="00250DAD"/>
    <w:rsid w:val="00250E95"/>
    <w:rsid w:val="00254A55"/>
    <w:rsid w:val="002568FE"/>
    <w:rsid w:val="002961D4"/>
    <w:rsid w:val="002A02F0"/>
    <w:rsid w:val="002D5243"/>
    <w:rsid w:val="002D77C6"/>
    <w:rsid w:val="002F2A29"/>
    <w:rsid w:val="002F7F1F"/>
    <w:rsid w:val="0032608B"/>
    <w:rsid w:val="003331CF"/>
    <w:rsid w:val="00352941"/>
    <w:rsid w:val="003669DF"/>
    <w:rsid w:val="00384A61"/>
    <w:rsid w:val="003851F6"/>
    <w:rsid w:val="00391A0C"/>
    <w:rsid w:val="00393A9F"/>
    <w:rsid w:val="00396031"/>
    <w:rsid w:val="00397272"/>
    <w:rsid w:val="003A5A21"/>
    <w:rsid w:val="003B3C3E"/>
    <w:rsid w:val="003B40B6"/>
    <w:rsid w:val="003C1A39"/>
    <w:rsid w:val="003D3B78"/>
    <w:rsid w:val="003E16CB"/>
    <w:rsid w:val="003F0205"/>
    <w:rsid w:val="003F18DE"/>
    <w:rsid w:val="00400325"/>
    <w:rsid w:val="004022C4"/>
    <w:rsid w:val="00423AD0"/>
    <w:rsid w:val="004446CF"/>
    <w:rsid w:val="004501DA"/>
    <w:rsid w:val="00477280"/>
    <w:rsid w:val="00483946"/>
    <w:rsid w:val="004936E0"/>
    <w:rsid w:val="00493C1F"/>
    <w:rsid w:val="004C01DD"/>
    <w:rsid w:val="004D1F1E"/>
    <w:rsid w:val="004F34AB"/>
    <w:rsid w:val="00506ED5"/>
    <w:rsid w:val="005104C4"/>
    <w:rsid w:val="00513E82"/>
    <w:rsid w:val="00516D84"/>
    <w:rsid w:val="00530F3F"/>
    <w:rsid w:val="005422DC"/>
    <w:rsid w:val="00566B86"/>
    <w:rsid w:val="005B1AAE"/>
    <w:rsid w:val="005C1FAC"/>
    <w:rsid w:val="005C30C3"/>
    <w:rsid w:val="005D37CE"/>
    <w:rsid w:val="005E0695"/>
    <w:rsid w:val="005E2299"/>
    <w:rsid w:val="005E47B9"/>
    <w:rsid w:val="005E6690"/>
    <w:rsid w:val="005F2B38"/>
    <w:rsid w:val="005F4F2A"/>
    <w:rsid w:val="006068DD"/>
    <w:rsid w:val="006117F8"/>
    <w:rsid w:val="006131E8"/>
    <w:rsid w:val="006132E2"/>
    <w:rsid w:val="00616F54"/>
    <w:rsid w:val="006331E2"/>
    <w:rsid w:val="006509D3"/>
    <w:rsid w:val="00680869"/>
    <w:rsid w:val="00684BD5"/>
    <w:rsid w:val="0069550F"/>
    <w:rsid w:val="00696079"/>
    <w:rsid w:val="006B0175"/>
    <w:rsid w:val="006E123F"/>
    <w:rsid w:val="006E1F12"/>
    <w:rsid w:val="006F4134"/>
    <w:rsid w:val="006F7F9A"/>
    <w:rsid w:val="007067E7"/>
    <w:rsid w:val="00710563"/>
    <w:rsid w:val="007154BE"/>
    <w:rsid w:val="007162AB"/>
    <w:rsid w:val="00723C64"/>
    <w:rsid w:val="00725917"/>
    <w:rsid w:val="00734090"/>
    <w:rsid w:val="00736A2D"/>
    <w:rsid w:val="007400B8"/>
    <w:rsid w:val="0074186B"/>
    <w:rsid w:val="00747D69"/>
    <w:rsid w:val="00756C66"/>
    <w:rsid w:val="00761F64"/>
    <w:rsid w:val="00762BD9"/>
    <w:rsid w:val="00772C69"/>
    <w:rsid w:val="00796D82"/>
    <w:rsid w:val="007A7BFE"/>
    <w:rsid w:val="007F78AA"/>
    <w:rsid w:val="00821578"/>
    <w:rsid w:val="00827AE9"/>
    <w:rsid w:val="00833C1C"/>
    <w:rsid w:val="00845B4B"/>
    <w:rsid w:val="00875E1D"/>
    <w:rsid w:val="00876B64"/>
    <w:rsid w:val="008967D8"/>
    <w:rsid w:val="008A14F2"/>
    <w:rsid w:val="008A4C76"/>
    <w:rsid w:val="008B2F47"/>
    <w:rsid w:val="008C0DA3"/>
    <w:rsid w:val="008C3EAA"/>
    <w:rsid w:val="008C681E"/>
    <w:rsid w:val="008C7026"/>
    <w:rsid w:val="008E0A6E"/>
    <w:rsid w:val="008F240E"/>
    <w:rsid w:val="008F4B95"/>
    <w:rsid w:val="008F5E54"/>
    <w:rsid w:val="008F6128"/>
    <w:rsid w:val="00900A63"/>
    <w:rsid w:val="009061D5"/>
    <w:rsid w:val="009104DC"/>
    <w:rsid w:val="00924D67"/>
    <w:rsid w:val="009250F2"/>
    <w:rsid w:val="00927C99"/>
    <w:rsid w:val="009354F7"/>
    <w:rsid w:val="00942600"/>
    <w:rsid w:val="0095371A"/>
    <w:rsid w:val="00955060"/>
    <w:rsid w:val="00963147"/>
    <w:rsid w:val="009708B9"/>
    <w:rsid w:val="00972B36"/>
    <w:rsid w:val="00976397"/>
    <w:rsid w:val="009D6BDA"/>
    <w:rsid w:val="009D7107"/>
    <w:rsid w:val="009E7327"/>
    <w:rsid w:val="009F2DE2"/>
    <w:rsid w:val="009F537C"/>
    <w:rsid w:val="00A00F84"/>
    <w:rsid w:val="00A0549B"/>
    <w:rsid w:val="00A0687B"/>
    <w:rsid w:val="00A40237"/>
    <w:rsid w:val="00A4417E"/>
    <w:rsid w:val="00A461E2"/>
    <w:rsid w:val="00A94261"/>
    <w:rsid w:val="00AA0123"/>
    <w:rsid w:val="00AA0DA1"/>
    <w:rsid w:val="00AC6BF8"/>
    <w:rsid w:val="00AE4E5A"/>
    <w:rsid w:val="00AE54FC"/>
    <w:rsid w:val="00B0422D"/>
    <w:rsid w:val="00B050CF"/>
    <w:rsid w:val="00B05E4A"/>
    <w:rsid w:val="00B21171"/>
    <w:rsid w:val="00B24134"/>
    <w:rsid w:val="00B279CF"/>
    <w:rsid w:val="00B4270D"/>
    <w:rsid w:val="00B47139"/>
    <w:rsid w:val="00B5326E"/>
    <w:rsid w:val="00B5449E"/>
    <w:rsid w:val="00B61E5F"/>
    <w:rsid w:val="00B6267E"/>
    <w:rsid w:val="00B80101"/>
    <w:rsid w:val="00B91F59"/>
    <w:rsid w:val="00BB6FBF"/>
    <w:rsid w:val="00BD4B79"/>
    <w:rsid w:val="00BD795F"/>
    <w:rsid w:val="00C17B93"/>
    <w:rsid w:val="00C3429A"/>
    <w:rsid w:val="00C55427"/>
    <w:rsid w:val="00C576F5"/>
    <w:rsid w:val="00C61267"/>
    <w:rsid w:val="00C63C47"/>
    <w:rsid w:val="00C64C0B"/>
    <w:rsid w:val="00C948E7"/>
    <w:rsid w:val="00CA205D"/>
    <w:rsid w:val="00CA4D9E"/>
    <w:rsid w:val="00CB2065"/>
    <w:rsid w:val="00CB56EF"/>
    <w:rsid w:val="00CB7B57"/>
    <w:rsid w:val="00CC7D23"/>
    <w:rsid w:val="00CD0DB0"/>
    <w:rsid w:val="00CE7D80"/>
    <w:rsid w:val="00CF0F1B"/>
    <w:rsid w:val="00D01A8B"/>
    <w:rsid w:val="00D43162"/>
    <w:rsid w:val="00D6205A"/>
    <w:rsid w:val="00D739C6"/>
    <w:rsid w:val="00D75F6C"/>
    <w:rsid w:val="00D819DC"/>
    <w:rsid w:val="00D82733"/>
    <w:rsid w:val="00D8501D"/>
    <w:rsid w:val="00D871FA"/>
    <w:rsid w:val="00D963D7"/>
    <w:rsid w:val="00DA1179"/>
    <w:rsid w:val="00DA49A2"/>
    <w:rsid w:val="00DC3148"/>
    <w:rsid w:val="00DC5139"/>
    <w:rsid w:val="00DD565B"/>
    <w:rsid w:val="00DE57DC"/>
    <w:rsid w:val="00E16248"/>
    <w:rsid w:val="00E30791"/>
    <w:rsid w:val="00E31F65"/>
    <w:rsid w:val="00E40E21"/>
    <w:rsid w:val="00E63DF6"/>
    <w:rsid w:val="00E665E2"/>
    <w:rsid w:val="00E76646"/>
    <w:rsid w:val="00E86BDE"/>
    <w:rsid w:val="00EB7AF7"/>
    <w:rsid w:val="00EC348C"/>
    <w:rsid w:val="00ED1F99"/>
    <w:rsid w:val="00ED2E61"/>
    <w:rsid w:val="00EE38E6"/>
    <w:rsid w:val="00EE445A"/>
    <w:rsid w:val="00EF304F"/>
    <w:rsid w:val="00F009E2"/>
    <w:rsid w:val="00F40A7A"/>
    <w:rsid w:val="00F43F5A"/>
    <w:rsid w:val="00F44F2F"/>
    <w:rsid w:val="00F509E3"/>
    <w:rsid w:val="00F5183B"/>
    <w:rsid w:val="00F641EE"/>
    <w:rsid w:val="00F747BF"/>
    <w:rsid w:val="00F747FA"/>
    <w:rsid w:val="00F77B2D"/>
    <w:rsid w:val="00F806EA"/>
    <w:rsid w:val="00F838D7"/>
    <w:rsid w:val="00F94038"/>
    <w:rsid w:val="00F9679C"/>
    <w:rsid w:val="00FA3F5A"/>
    <w:rsid w:val="00FB2D89"/>
    <w:rsid w:val="00FD381D"/>
    <w:rsid w:val="00FD5A4C"/>
    <w:rsid w:val="0212321E"/>
    <w:rsid w:val="0296686A"/>
    <w:rsid w:val="079E53BB"/>
    <w:rsid w:val="08C05AA0"/>
    <w:rsid w:val="0C09493C"/>
    <w:rsid w:val="0C460645"/>
    <w:rsid w:val="0D6C6F7B"/>
    <w:rsid w:val="0F6D4611"/>
    <w:rsid w:val="107C759E"/>
    <w:rsid w:val="11C40452"/>
    <w:rsid w:val="11EF4686"/>
    <w:rsid w:val="12D864FD"/>
    <w:rsid w:val="13CF7EEA"/>
    <w:rsid w:val="147F3F75"/>
    <w:rsid w:val="158C5BF9"/>
    <w:rsid w:val="172537EC"/>
    <w:rsid w:val="17F918FB"/>
    <w:rsid w:val="18A0649E"/>
    <w:rsid w:val="18A24305"/>
    <w:rsid w:val="19F8100C"/>
    <w:rsid w:val="1A8C5F8C"/>
    <w:rsid w:val="1C693B1D"/>
    <w:rsid w:val="1CDE6F5E"/>
    <w:rsid w:val="1D6065E5"/>
    <w:rsid w:val="1FC225B8"/>
    <w:rsid w:val="1FE46A9C"/>
    <w:rsid w:val="206750B4"/>
    <w:rsid w:val="21AE3013"/>
    <w:rsid w:val="22E52020"/>
    <w:rsid w:val="254C7485"/>
    <w:rsid w:val="263B5014"/>
    <w:rsid w:val="275A66B9"/>
    <w:rsid w:val="28B8516C"/>
    <w:rsid w:val="28E371A5"/>
    <w:rsid w:val="29BD4113"/>
    <w:rsid w:val="2B3202B6"/>
    <w:rsid w:val="2F6536D3"/>
    <w:rsid w:val="316F5531"/>
    <w:rsid w:val="33283F4F"/>
    <w:rsid w:val="33E522A4"/>
    <w:rsid w:val="35C44594"/>
    <w:rsid w:val="35ED0A47"/>
    <w:rsid w:val="379571AA"/>
    <w:rsid w:val="39614A56"/>
    <w:rsid w:val="3B1D063B"/>
    <w:rsid w:val="3C2D70F4"/>
    <w:rsid w:val="3CD737FF"/>
    <w:rsid w:val="3E296944"/>
    <w:rsid w:val="3E670D70"/>
    <w:rsid w:val="3FB93B43"/>
    <w:rsid w:val="40BA692C"/>
    <w:rsid w:val="42041CCC"/>
    <w:rsid w:val="426C32DB"/>
    <w:rsid w:val="42B50E9F"/>
    <w:rsid w:val="42B75AB6"/>
    <w:rsid w:val="45B6372E"/>
    <w:rsid w:val="45FB75AB"/>
    <w:rsid w:val="45FE14C1"/>
    <w:rsid w:val="474074DF"/>
    <w:rsid w:val="491348B1"/>
    <w:rsid w:val="49EA2C24"/>
    <w:rsid w:val="4B107C9D"/>
    <w:rsid w:val="4D2E0486"/>
    <w:rsid w:val="4D68748F"/>
    <w:rsid w:val="4F9C76EB"/>
    <w:rsid w:val="525745B1"/>
    <w:rsid w:val="53510746"/>
    <w:rsid w:val="53606423"/>
    <w:rsid w:val="55E32AE2"/>
    <w:rsid w:val="573671C0"/>
    <w:rsid w:val="574720D1"/>
    <w:rsid w:val="5B480789"/>
    <w:rsid w:val="5B6065F6"/>
    <w:rsid w:val="5C3A1F35"/>
    <w:rsid w:val="5CBA6606"/>
    <w:rsid w:val="614C0CDA"/>
    <w:rsid w:val="62BF2B11"/>
    <w:rsid w:val="632C625A"/>
    <w:rsid w:val="636E4ABC"/>
    <w:rsid w:val="646B5557"/>
    <w:rsid w:val="650457FC"/>
    <w:rsid w:val="6692027B"/>
    <w:rsid w:val="674F47CD"/>
    <w:rsid w:val="677F42ED"/>
    <w:rsid w:val="696D5534"/>
    <w:rsid w:val="6D0E35D3"/>
    <w:rsid w:val="6D553153"/>
    <w:rsid w:val="6F555FB1"/>
    <w:rsid w:val="712A596C"/>
    <w:rsid w:val="72B26A06"/>
    <w:rsid w:val="73626FCF"/>
    <w:rsid w:val="75837868"/>
    <w:rsid w:val="75C138D0"/>
    <w:rsid w:val="76002116"/>
    <w:rsid w:val="77C03503"/>
    <w:rsid w:val="783807F6"/>
    <w:rsid w:val="79B77BF9"/>
    <w:rsid w:val="79DE5F56"/>
    <w:rsid w:val="7A860D00"/>
    <w:rsid w:val="7A8F7564"/>
    <w:rsid w:val="7B1830CE"/>
    <w:rsid w:val="7BD36567"/>
    <w:rsid w:val="7C136915"/>
    <w:rsid w:val="7CAD6794"/>
    <w:rsid w:val="7CD82419"/>
    <w:rsid w:val="7D493466"/>
    <w:rsid w:val="7D521AC9"/>
    <w:rsid w:val="7D902C36"/>
    <w:rsid w:val="7DF80231"/>
    <w:rsid w:val="7E612F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1"/>
    <w:qFormat/>
    <w:uiPriority w:val="99"/>
    <w:pPr>
      <w:keepNext/>
      <w:keepLines/>
      <w:spacing w:before="340" w:after="330" w:line="559" w:lineRule="auto"/>
      <w:outlineLvl w:val="0"/>
    </w:pPr>
    <w:rPr>
      <w:rFonts w:eastAsia="华文中宋"/>
      <w:b/>
      <w:bCs/>
      <w:kern w:val="44"/>
      <w:sz w:val="44"/>
      <w:szCs w:val="44"/>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4">
    <w:name w:val="Body Text"/>
    <w:basedOn w:val="1"/>
    <w:link w:val="37"/>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31"/>
      <w:szCs w:val="31"/>
      <w:lang w:eastAsia="en-US"/>
    </w:rPr>
  </w:style>
  <w:style w:type="paragraph" w:styleId="5">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6">
    <w:name w:val="Plain Text"/>
    <w:basedOn w:val="1"/>
    <w:link w:val="22"/>
    <w:qFormat/>
    <w:uiPriority w:val="99"/>
    <w:rPr>
      <w:rFonts w:ascii="宋体" w:hAnsi="Courier New"/>
      <w:sz w:val="32"/>
      <w:szCs w:val="20"/>
    </w:rPr>
  </w:style>
  <w:style w:type="paragraph" w:styleId="7">
    <w:name w:val="Date"/>
    <w:basedOn w:val="1"/>
    <w:next w:val="1"/>
    <w:link w:val="33"/>
    <w:semiHidden/>
    <w:unhideWhenUsed/>
    <w:qFormat/>
    <w:uiPriority w:val="99"/>
    <w:pPr>
      <w:ind w:left="100" w:leftChars="2500"/>
    </w:pPr>
  </w:style>
  <w:style w:type="paragraph" w:styleId="8">
    <w:name w:val="Balloon Text"/>
    <w:basedOn w:val="1"/>
    <w:link w:val="23"/>
    <w:qFormat/>
    <w:uiPriority w:val="99"/>
    <w:rPr>
      <w:sz w:val="18"/>
      <w:szCs w:val="18"/>
    </w:rPr>
  </w:style>
  <w:style w:type="paragraph" w:styleId="9">
    <w:name w:val="footer"/>
    <w:basedOn w:val="1"/>
    <w:link w:val="24"/>
    <w:qFormat/>
    <w:uiPriority w:val="99"/>
    <w:pPr>
      <w:tabs>
        <w:tab w:val="center" w:pos="4153"/>
        <w:tab w:val="right" w:pos="8306"/>
      </w:tabs>
      <w:snapToGrid w:val="0"/>
      <w:jc w:val="left"/>
    </w:pPr>
    <w:rPr>
      <w:sz w:val="18"/>
      <w:szCs w:val="18"/>
    </w:rPr>
  </w:style>
  <w:style w:type="paragraph" w:styleId="10">
    <w:name w:val="header"/>
    <w:basedOn w:val="1"/>
    <w:link w:val="25"/>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99"/>
    <w:pPr>
      <w:widowControl/>
      <w:spacing w:after="100" w:line="259" w:lineRule="auto"/>
      <w:jc w:val="left"/>
    </w:pPr>
    <w:rPr>
      <w:rFonts w:ascii="Calibri" w:hAnsi="Calibri"/>
      <w:kern w:val="0"/>
      <w:sz w:val="22"/>
      <w:szCs w:val="22"/>
    </w:rPr>
  </w:style>
  <w:style w:type="paragraph" w:styleId="12">
    <w:name w:val="Subtitle"/>
    <w:basedOn w:val="1"/>
    <w:next w:val="1"/>
    <w:link w:val="26"/>
    <w:qFormat/>
    <w:uiPriority w:val="99"/>
    <w:pPr>
      <w:spacing w:before="240" w:after="60" w:line="312" w:lineRule="auto"/>
      <w:jc w:val="center"/>
      <w:outlineLvl w:val="1"/>
    </w:pPr>
    <w:rPr>
      <w:rFonts w:ascii="Calibri" w:hAnsi="Calibri"/>
      <w:b/>
      <w:bCs/>
      <w:kern w:val="28"/>
      <w:sz w:val="32"/>
      <w:szCs w:val="32"/>
    </w:rPr>
  </w:style>
  <w:style w:type="paragraph" w:styleId="13">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5">
    <w:name w:val="Title"/>
    <w:basedOn w:val="1"/>
    <w:next w:val="1"/>
    <w:link w:val="27"/>
    <w:qFormat/>
    <w:uiPriority w:val="99"/>
    <w:pPr>
      <w:spacing w:before="240" w:after="60"/>
      <w:jc w:val="center"/>
      <w:outlineLvl w:val="0"/>
    </w:pPr>
    <w:rPr>
      <w:rFonts w:ascii="Cambria" w:hAnsi="Cambria" w:eastAsia="华文中宋"/>
      <w:b/>
      <w:bCs/>
      <w:sz w:val="36"/>
      <w:szCs w:val="32"/>
    </w:rPr>
  </w:style>
  <w:style w:type="character" w:styleId="18">
    <w:name w:val="page number"/>
    <w:qFormat/>
    <w:uiPriority w:val="99"/>
    <w:rPr>
      <w:rFonts w:cs="Times New Roman"/>
    </w:rPr>
  </w:style>
  <w:style w:type="character" w:styleId="19">
    <w:name w:val="FollowedHyperlink"/>
    <w:basedOn w:val="17"/>
    <w:semiHidden/>
    <w:unhideWhenUsed/>
    <w:qFormat/>
    <w:uiPriority w:val="99"/>
    <w:rPr>
      <w:color w:val="333333"/>
      <w:u w:val="none"/>
    </w:rPr>
  </w:style>
  <w:style w:type="character" w:styleId="20">
    <w:name w:val="Hyperlink"/>
    <w:qFormat/>
    <w:uiPriority w:val="99"/>
    <w:rPr>
      <w:rFonts w:cs="Times New Roman"/>
      <w:color w:val="0000FF"/>
      <w:u w:val="single"/>
    </w:rPr>
  </w:style>
  <w:style w:type="character" w:customStyle="1" w:styleId="21">
    <w:name w:val="标题 1 Char"/>
    <w:basedOn w:val="17"/>
    <w:link w:val="3"/>
    <w:qFormat/>
    <w:uiPriority w:val="99"/>
    <w:rPr>
      <w:rFonts w:ascii="Times New Roman" w:hAnsi="Times New Roman" w:eastAsia="华文中宋" w:cs="Times New Roman"/>
      <w:b/>
      <w:bCs/>
      <w:kern w:val="44"/>
      <w:sz w:val="44"/>
      <w:szCs w:val="44"/>
    </w:rPr>
  </w:style>
  <w:style w:type="character" w:customStyle="1" w:styleId="22">
    <w:name w:val="纯文本 Char"/>
    <w:basedOn w:val="17"/>
    <w:link w:val="6"/>
    <w:qFormat/>
    <w:uiPriority w:val="99"/>
    <w:rPr>
      <w:rFonts w:ascii="宋体" w:hAnsi="Courier New" w:eastAsia="宋体" w:cs="Times New Roman"/>
      <w:sz w:val="32"/>
      <w:szCs w:val="20"/>
    </w:rPr>
  </w:style>
  <w:style w:type="character" w:customStyle="1" w:styleId="23">
    <w:name w:val="批注框文本 Char"/>
    <w:basedOn w:val="17"/>
    <w:link w:val="8"/>
    <w:qFormat/>
    <w:uiPriority w:val="99"/>
    <w:rPr>
      <w:rFonts w:ascii="Times New Roman" w:hAnsi="Times New Roman" w:eastAsia="宋体" w:cs="Times New Roman"/>
      <w:sz w:val="18"/>
      <w:szCs w:val="18"/>
    </w:rPr>
  </w:style>
  <w:style w:type="character" w:customStyle="1" w:styleId="24">
    <w:name w:val="页脚 Char"/>
    <w:basedOn w:val="17"/>
    <w:link w:val="9"/>
    <w:qFormat/>
    <w:uiPriority w:val="99"/>
    <w:rPr>
      <w:rFonts w:ascii="Times New Roman" w:hAnsi="Times New Roman" w:eastAsia="宋体" w:cs="Times New Roman"/>
      <w:sz w:val="18"/>
      <w:szCs w:val="18"/>
    </w:rPr>
  </w:style>
  <w:style w:type="character" w:customStyle="1" w:styleId="25">
    <w:name w:val="页眉 Char"/>
    <w:basedOn w:val="17"/>
    <w:link w:val="10"/>
    <w:qFormat/>
    <w:uiPriority w:val="99"/>
    <w:rPr>
      <w:rFonts w:ascii="Times New Roman" w:hAnsi="Times New Roman" w:eastAsia="宋体" w:cs="Times New Roman"/>
      <w:sz w:val="18"/>
      <w:szCs w:val="18"/>
    </w:rPr>
  </w:style>
  <w:style w:type="character" w:customStyle="1" w:styleId="26">
    <w:name w:val="副标题 Char"/>
    <w:basedOn w:val="17"/>
    <w:link w:val="12"/>
    <w:qFormat/>
    <w:uiPriority w:val="99"/>
    <w:rPr>
      <w:rFonts w:ascii="Calibri" w:hAnsi="Calibri" w:eastAsia="宋体" w:cs="Times New Roman"/>
      <w:b/>
      <w:bCs/>
      <w:kern w:val="28"/>
      <w:sz w:val="32"/>
      <w:szCs w:val="32"/>
    </w:rPr>
  </w:style>
  <w:style w:type="character" w:customStyle="1" w:styleId="27">
    <w:name w:val="标题 Char"/>
    <w:basedOn w:val="17"/>
    <w:link w:val="15"/>
    <w:qFormat/>
    <w:uiPriority w:val="99"/>
    <w:rPr>
      <w:rFonts w:ascii="Cambria" w:hAnsi="Cambria" w:eastAsia="华文中宋" w:cs="Times New Roman"/>
      <w:b/>
      <w:bCs/>
      <w:sz w:val="36"/>
      <w:szCs w:val="32"/>
    </w:rPr>
  </w:style>
  <w:style w:type="character" w:customStyle="1" w:styleId="28">
    <w:name w:val="Plain Text Char"/>
    <w:qFormat/>
    <w:locked/>
    <w:uiPriority w:val="99"/>
    <w:rPr>
      <w:rFonts w:ascii="宋体" w:hAnsi="Courier New" w:cs="Times New Roman"/>
      <w:kern w:val="2"/>
      <w:sz w:val="32"/>
    </w:rPr>
  </w:style>
  <w:style w:type="paragraph" w:customStyle="1" w:styleId="29">
    <w:name w:val="p0"/>
    <w:basedOn w:val="1"/>
    <w:qFormat/>
    <w:uiPriority w:val="99"/>
    <w:pPr>
      <w:widowControl/>
      <w:spacing w:line="365" w:lineRule="atLeast"/>
      <w:ind w:left="1"/>
    </w:pPr>
    <w:rPr>
      <w:kern w:val="0"/>
      <w:sz w:val="20"/>
      <w:szCs w:val="20"/>
    </w:rPr>
  </w:style>
  <w:style w:type="character" w:customStyle="1" w:styleId="30">
    <w:name w:val="纯文本 Char1"/>
    <w:qFormat/>
    <w:uiPriority w:val="99"/>
    <w:rPr>
      <w:rFonts w:ascii="宋体" w:hAnsi="Courier New" w:cs="Courier New"/>
      <w:kern w:val="2"/>
      <w:sz w:val="21"/>
      <w:szCs w:val="21"/>
    </w:rPr>
  </w:style>
  <w:style w:type="paragraph" w:customStyle="1" w:styleId="31">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2">
    <w:name w:val="List Paragraph"/>
    <w:basedOn w:val="1"/>
    <w:qFormat/>
    <w:uiPriority w:val="99"/>
    <w:pPr>
      <w:ind w:firstLine="420" w:firstLineChars="200"/>
    </w:pPr>
  </w:style>
  <w:style w:type="character" w:customStyle="1" w:styleId="33">
    <w:name w:val="日期 Char"/>
    <w:basedOn w:val="17"/>
    <w:link w:val="7"/>
    <w:semiHidden/>
    <w:qFormat/>
    <w:uiPriority w:val="99"/>
    <w:rPr>
      <w:rFonts w:ascii="Times New Roman" w:hAnsi="Times New Roman" w:eastAsia="宋体" w:cs="Times New Roman"/>
      <w:szCs w:val="24"/>
    </w:rPr>
  </w:style>
  <w:style w:type="character" w:customStyle="1" w:styleId="34">
    <w:name w:val="fontstyle01"/>
    <w:basedOn w:val="17"/>
    <w:qFormat/>
    <w:uiPriority w:val="0"/>
    <w:rPr>
      <w:rFonts w:hint="default" w:ascii="TimesNewRomanPSMT" w:hAnsi="TimesNewRomanPSMT"/>
      <w:color w:val="000000"/>
      <w:sz w:val="22"/>
      <w:szCs w:val="22"/>
    </w:rPr>
  </w:style>
  <w:style w:type="character" w:customStyle="1" w:styleId="35">
    <w:name w:val="fontstyle21"/>
    <w:basedOn w:val="17"/>
    <w:qFormat/>
    <w:uiPriority w:val="0"/>
    <w:rPr>
      <w:rFonts w:hint="default" w:ascii="TimesNewRomanPSMT" w:hAnsi="TimesNewRomanPSMT"/>
      <w:color w:val="000000"/>
      <w:sz w:val="22"/>
      <w:szCs w:val="22"/>
    </w:rPr>
  </w:style>
  <w:style w:type="paragraph" w:customStyle="1" w:styleId="36">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22"/>
      <w:szCs w:val="22"/>
      <w:lang w:eastAsia="en-US"/>
    </w:rPr>
  </w:style>
  <w:style w:type="character" w:customStyle="1" w:styleId="37">
    <w:name w:val="正文文本 Char"/>
    <w:basedOn w:val="17"/>
    <w:link w:val="4"/>
    <w:semiHidden/>
    <w:qFormat/>
    <w:uiPriority w:val="0"/>
    <w:rPr>
      <w:rFonts w:ascii="微软雅黑" w:hAnsi="微软雅黑" w:eastAsia="微软雅黑" w:cs="微软雅黑"/>
      <w:snapToGrid w:val="0"/>
      <w:color w:val="000000"/>
      <w:sz w:val="31"/>
      <w:szCs w:val="31"/>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E77D99-7906-40E3-B9E6-50408AFA2EA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47</Pages>
  <Words>2740</Words>
  <Characters>15623</Characters>
  <Lines>130</Lines>
  <Paragraphs>36</Paragraphs>
  <TotalTime>1</TotalTime>
  <ScaleCrop>false</ScaleCrop>
  <LinksUpToDate>false</LinksUpToDate>
  <CharactersWithSpaces>18327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2023-09-01T07:33:00Z</dcterms:created>
  <dc:creator>NTKO</dc:creator>
  <cp:lastModifiedBy>Shanly</cp:lastModifiedBy>
  <cp:lastPrinted>2023-11-22T14:55:00Z</cp:lastPrinted>
  <dcterms:modified xsi:type="dcterms:W3CDTF">2023-11-22T15:50:25Z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F335A0C3CD99440CAEA7799FA0948B85_13</vt:lpwstr>
  </property>
</Properties>
</file>